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Times New Roman" w:hAnsi="Times New Roman" w:eastAsia="黑体"/>
          <w:sz w:val="32"/>
          <w:szCs w:val="32"/>
        </w:rPr>
      </w:pPr>
      <w:bookmarkStart w:id="1" w:name="_GoBack"/>
      <w:r>
        <w:rPr>
          <w:rFonts w:ascii="Times New Roman" w:hAnsi="Times New Roman" w:eastAsia="黑体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1.25pt;height:0pt;width:0.05pt;z-index:251658240;mso-width-relative:page;mso-height-relative:page;" filled="f" coordsize="21600,21600" o:allowincell="f" o:gfxdata="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3RWBJ0AAAAAMBAAAPAAAAAAAAAAEAIAAAACIAAABk&#10;cnMvZG93bnJldi54bWxQSwECFAAUAAAACACHTuJAxVfmn9UBAACSAwAADgAAAAAAAAABACAAAAAf&#10;AQAAZHJzL2Uyb0RvYy54bWxQSwUGAAAAAAYABgBZAQAAZg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bookmarkEnd w:id="1"/>
      <w:r>
        <w:rPr>
          <w:rFonts w:ascii="Times New Roman" w:hAnsi="Times New Roman" w:eastAsia="黑体"/>
          <w:sz w:val="32"/>
          <w:szCs w:val="32"/>
        </w:rPr>
        <w:t>附件</w:t>
      </w:r>
      <w:bookmarkStart w:id="0" w:name="_Toc400734363"/>
      <w:r>
        <w:rPr>
          <w:rFonts w:hint="eastAsia" w:ascii="Times New Roman" w:hAnsi="Times New Roman" w:eastAsia="黑体"/>
          <w:sz w:val="32"/>
          <w:szCs w:val="32"/>
        </w:rPr>
        <w:t xml:space="preserve"> 1</w:t>
      </w:r>
    </w:p>
    <w:p>
      <w:pPr>
        <w:autoSpaceDE w:val="0"/>
        <w:autoSpaceDN w:val="0"/>
        <w:adjustRightInd w:val="0"/>
        <w:jc w:val="center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iSPEC</w:t>
      </w:r>
      <w:r>
        <w:rPr>
          <w:rFonts w:ascii="Times New Roman" w:hAnsi="Times New Roman" w:eastAsia="方正小标宋简体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sz w:val="44"/>
          <w:szCs w:val="44"/>
        </w:rPr>
        <w:t>20</w:t>
      </w:r>
      <w:r>
        <w:rPr>
          <w:rFonts w:ascii="Times New Roman" w:hAnsi="Times New Roman" w:eastAsia="方正小标宋简体"/>
          <w:sz w:val="44"/>
          <w:szCs w:val="44"/>
        </w:rPr>
        <w:t>技术日程</w:t>
      </w:r>
      <w:bookmarkEnd w:id="0"/>
    </w:p>
    <w:tbl>
      <w:tblPr>
        <w:tblStyle w:val="4"/>
        <w:tblW w:w="14929" w:type="dxa"/>
        <w:jc w:val="center"/>
        <w:tblBorders>
          <w:top w:val="single" w:color="auto" w:sz="4" w:space="0"/>
          <w:left w:val="single" w:color="auto" w:sz="4" w:space="0"/>
          <w:bottom w:val="single" w:color="000000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380"/>
        <w:gridCol w:w="1194"/>
        <w:gridCol w:w="1417"/>
        <w:gridCol w:w="1396"/>
        <w:gridCol w:w="1417"/>
        <w:gridCol w:w="1418"/>
        <w:gridCol w:w="1417"/>
        <w:gridCol w:w="1417"/>
        <w:gridCol w:w="1559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411" w:type="dxa"/>
            <w:gridSpan w:val="2"/>
            <w:tcBorders>
              <w:bottom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b/>
                <w:color w:val="FF0000"/>
                <w:kern w:val="0"/>
                <w:szCs w:val="21"/>
              </w:rPr>
            </w:pPr>
            <w:r>
              <w:rPr>
                <w:rFonts w:hint="eastAsia" w:hAnsi="华文仿宋" w:eastAsia="华文仿宋"/>
                <w:b/>
                <w:color w:val="FF0000"/>
                <w:kern w:val="0"/>
                <w:szCs w:val="21"/>
              </w:rPr>
              <w:t>日期&amp;时间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b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b/>
                <w:color w:val="FF0000"/>
                <w:kern w:val="0"/>
                <w:szCs w:val="21"/>
              </w:rPr>
              <w:t>主会场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b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b/>
                <w:color w:val="FF0000"/>
                <w:kern w:val="0"/>
                <w:szCs w:val="21"/>
              </w:rPr>
              <w:t>分会场1</w:t>
            </w:r>
          </w:p>
        </w:tc>
        <w:tc>
          <w:tcPr>
            <w:tcW w:w="1396" w:type="dxa"/>
            <w:tcBorders>
              <w:bottom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b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b/>
                <w:color w:val="FF0000"/>
                <w:kern w:val="0"/>
                <w:szCs w:val="21"/>
              </w:rPr>
              <w:t>分会场2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b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b/>
                <w:color w:val="FF0000"/>
                <w:kern w:val="0"/>
                <w:szCs w:val="21"/>
              </w:rPr>
              <w:t>分会场3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b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b/>
                <w:color w:val="FF0000"/>
                <w:kern w:val="0"/>
                <w:szCs w:val="21"/>
              </w:rPr>
              <w:t>分会场4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华文仿宋"/>
                <w:b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b/>
                <w:color w:val="FF0000"/>
                <w:kern w:val="0"/>
                <w:szCs w:val="21"/>
              </w:rPr>
              <w:t>分会场5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b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b/>
                <w:color w:val="FF0000"/>
                <w:kern w:val="0"/>
                <w:szCs w:val="21"/>
              </w:rPr>
              <w:t>分会场6</w:t>
            </w:r>
          </w:p>
        </w:tc>
        <w:tc>
          <w:tcPr>
            <w:tcW w:w="2842" w:type="dxa"/>
            <w:gridSpan w:val="2"/>
            <w:tcBorders>
              <w:bottom w:val="single" w:color="auto" w:sz="4" w:space="0"/>
            </w:tcBorders>
            <w:shd w:val="clear" w:color="auto" w:fill="92D05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b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b/>
                <w:color w:val="FF0000"/>
                <w:kern w:val="0"/>
                <w:szCs w:val="21"/>
              </w:rPr>
              <w:t>分会场6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31" w:type="dxa"/>
            <w:vMerge w:val="restart"/>
            <w:tcBorders>
              <w:top w:val="single" w:color="auto" w:sz="4" w:space="0"/>
            </w:tcBorders>
            <w:shd w:val="clear" w:color="auto" w:fill="FFC00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11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.23</w:t>
            </w:r>
          </w:p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星期一</w:t>
            </w:r>
          </w:p>
        </w:tc>
        <w:tc>
          <w:tcPr>
            <w:tcW w:w="138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0900</w:t>
            </w:r>
            <w:r>
              <w:rPr>
                <w:rFonts w:eastAsia="华文仿宋"/>
                <w:color w:val="FF0000"/>
                <w:kern w:val="0"/>
                <w:szCs w:val="21"/>
              </w:rPr>
              <w:t>-12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00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开幕式</w:t>
            </w:r>
          </w:p>
          <w:p>
            <w:pPr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主旨报告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396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283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31" w:type="dxa"/>
            <w:vMerge w:val="continue"/>
            <w:shd w:val="clear" w:color="auto" w:fill="FFC000"/>
            <w:noWrap w:val="0"/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14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00</w:t>
            </w:r>
            <w:r>
              <w:rPr>
                <w:rFonts w:eastAsia="华文仿宋"/>
                <w:color w:val="FF0000"/>
                <w:kern w:val="0"/>
                <w:szCs w:val="21"/>
              </w:rPr>
              <w:t>-1700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主旨报告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1031" w:type="dxa"/>
            <w:vMerge w:val="restart"/>
            <w:shd w:val="clear" w:color="auto" w:fill="FFC00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11.24</w:t>
            </w:r>
          </w:p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星期二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0900-1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20</w:t>
            </w:r>
            <w:r>
              <w:rPr>
                <w:rFonts w:eastAsia="华文仿宋"/>
                <w:color w:val="FF0000"/>
                <w:kern w:val="0"/>
                <w:szCs w:val="21"/>
              </w:rPr>
              <w:t>0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 xml:space="preserve">Panel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1</w:t>
            </w:r>
            <w:r>
              <w:rPr>
                <w:rFonts w:eastAsia="华文仿宋"/>
                <w:color w:val="FF0000"/>
                <w:kern w:val="0"/>
                <w:szCs w:val="21"/>
              </w:rPr>
              <w:t xml:space="preserve">: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大规模交直流混联电网安全运行关键技术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 xml:space="preserve">Panel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2</w:t>
            </w:r>
            <w:r>
              <w:rPr>
                <w:rFonts w:eastAsia="华文仿宋"/>
                <w:color w:val="FF0000"/>
                <w:kern w:val="0"/>
                <w:szCs w:val="21"/>
              </w:rPr>
              <w:t xml:space="preserve">: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智慧能源与智能配用电技术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 xml:space="preserve">Panel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3</w:t>
            </w:r>
            <w:r>
              <w:rPr>
                <w:rFonts w:eastAsia="华文仿宋"/>
                <w:color w:val="FF0000"/>
                <w:kern w:val="0"/>
                <w:szCs w:val="21"/>
              </w:rPr>
              <w:t>: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基于数据驱动的电力系统建模、分析与控制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 xml:space="preserve">Panel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4</w:t>
            </w:r>
            <w:r>
              <w:rPr>
                <w:rFonts w:eastAsia="华文仿宋"/>
                <w:color w:val="FF0000"/>
                <w:kern w:val="0"/>
                <w:szCs w:val="21"/>
              </w:rPr>
              <w:t xml:space="preserve">: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储能技术在智能电网中的应用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 xml:space="preserve">Panel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5</w:t>
            </w:r>
            <w:r>
              <w:rPr>
                <w:rFonts w:eastAsia="华文仿宋"/>
                <w:color w:val="FF0000"/>
                <w:kern w:val="0"/>
                <w:szCs w:val="21"/>
              </w:rPr>
              <w:t xml:space="preserve">: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智慧能源系统数据分析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（线上）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论文宣讲</w:t>
            </w:r>
            <w:r>
              <w:rPr>
                <w:rFonts w:eastAsia="华文仿宋"/>
                <w:color w:val="FF0000"/>
                <w:kern w:val="0"/>
                <w:szCs w:val="21"/>
              </w:rPr>
              <w:t>4:</w:t>
            </w:r>
          </w:p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灵活性资源与终端用能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论文张贴</w:t>
            </w:r>
            <w:r>
              <w:rPr>
                <w:rFonts w:eastAsia="华文仿宋"/>
                <w:color w:val="FF0000"/>
                <w:kern w:val="0"/>
                <w:szCs w:val="21"/>
              </w:rPr>
              <w:t xml:space="preserve"> 3: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物理-信息-社会耦合系统</w:t>
            </w: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论文张贴</w:t>
            </w:r>
            <w:r>
              <w:rPr>
                <w:rFonts w:eastAsia="华文仿宋"/>
                <w:color w:val="FF0000"/>
                <w:kern w:val="0"/>
                <w:szCs w:val="21"/>
              </w:rPr>
              <w:t xml:space="preserve"> 2: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综合能源系统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031" w:type="dxa"/>
            <w:vMerge w:val="continue"/>
            <w:shd w:val="clear" w:color="auto" w:fill="FFC000"/>
            <w:noWrap w:val="0"/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1400-1700</w:t>
            </w:r>
          </w:p>
        </w:tc>
        <w:tc>
          <w:tcPr>
            <w:tcW w:w="1194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 xml:space="preserve">Panel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6</w:t>
            </w:r>
            <w:r>
              <w:rPr>
                <w:rFonts w:eastAsia="华文仿宋"/>
                <w:color w:val="FF0000"/>
                <w:kern w:val="0"/>
                <w:szCs w:val="21"/>
              </w:rPr>
              <w:t>: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促进能源转型的电力市场</w:t>
            </w:r>
          </w:p>
        </w:tc>
        <w:tc>
          <w:tcPr>
            <w:tcW w:w="1396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 xml:space="preserve">Panel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7</w:t>
            </w:r>
            <w:r>
              <w:rPr>
                <w:rFonts w:eastAsia="华文仿宋"/>
                <w:color w:val="FF0000"/>
                <w:kern w:val="0"/>
                <w:szCs w:val="21"/>
              </w:rPr>
              <w:t xml:space="preserve">: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风电引发振荡的机理、监测与控制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 xml:space="preserve">Panel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8</w:t>
            </w:r>
            <w:r>
              <w:rPr>
                <w:rFonts w:eastAsia="华文仿宋"/>
                <w:color w:val="FF0000"/>
                <w:kern w:val="0"/>
                <w:szCs w:val="21"/>
              </w:rPr>
              <w:t xml:space="preserve">: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提升电力系统弹性的规划、运行、控制与保护技术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 xml:space="preserve">Panel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9</w:t>
            </w:r>
            <w:r>
              <w:rPr>
                <w:rFonts w:eastAsia="华文仿宋"/>
                <w:color w:val="FF0000"/>
                <w:kern w:val="0"/>
                <w:szCs w:val="21"/>
              </w:rPr>
              <w:t>: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氢能在智能电网和能源互联网中的应用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 xml:space="preserve">Panel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10</w:t>
            </w:r>
            <w:r>
              <w:rPr>
                <w:rFonts w:eastAsia="华文仿宋"/>
                <w:color w:val="FF0000"/>
                <w:kern w:val="0"/>
                <w:szCs w:val="21"/>
              </w:rPr>
              <w:t xml:space="preserve">: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海上风电规划与运行关键技术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 xml:space="preserve">论文宣讲 </w:t>
            </w:r>
            <w:r>
              <w:rPr>
                <w:rFonts w:eastAsia="华文仿宋"/>
                <w:color w:val="FF0000"/>
                <w:kern w:val="0"/>
                <w:szCs w:val="21"/>
              </w:rPr>
              <w:t>2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:</w:t>
            </w:r>
          </w:p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综合能源系统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 xml:space="preserve">论文张贴 </w:t>
            </w:r>
            <w:r>
              <w:rPr>
                <w:rFonts w:eastAsia="华文仿宋"/>
                <w:color w:val="FF0000"/>
                <w:kern w:val="0"/>
                <w:szCs w:val="21"/>
              </w:rPr>
              <w:t>5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: 新兴技术应用（大数据、区块链）</w:t>
            </w: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论文张贴 4: 灵活性资源与终端用能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031" w:type="dxa"/>
            <w:vMerge w:val="restart"/>
            <w:shd w:val="clear" w:color="auto" w:fill="FFC000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11.25</w:t>
            </w:r>
          </w:p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星期三</w:t>
            </w: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0900-1200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 xml:space="preserve">Panel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11</w:t>
            </w:r>
            <w:r>
              <w:rPr>
                <w:rFonts w:eastAsia="华文仿宋"/>
                <w:color w:val="FF0000"/>
                <w:kern w:val="0"/>
                <w:szCs w:val="21"/>
              </w:rPr>
              <w:t xml:space="preserve">: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需求侧灵活资源参与电力系统运行</w:t>
            </w:r>
          </w:p>
        </w:tc>
        <w:tc>
          <w:tcPr>
            <w:tcW w:w="139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 xml:space="preserve">Panel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12</w:t>
            </w:r>
            <w:r>
              <w:rPr>
                <w:rFonts w:eastAsia="华文仿宋"/>
                <w:color w:val="FF0000"/>
                <w:kern w:val="0"/>
                <w:szCs w:val="21"/>
              </w:rPr>
              <w:t>: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可持续发展电力与能源系统中的信息物理系统技术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 xml:space="preserve">Panel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13</w:t>
            </w:r>
            <w:r>
              <w:rPr>
                <w:rFonts w:eastAsia="华文仿宋"/>
                <w:color w:val="FF0000"/>
                <w:kern w:val="0"/>
                <w:szCs w:val="21"/>
              </w:rPr>
              <w:t>:</w:t>
            </w:r>
            <w:r>
              <w:rPr>
                <w:rFonts w:hint="eastAsia"/>
                <w:color w:val="FF0000"/>
                <w:szCs w:val="21"/>
              </w:rPr>
              <w:t xml:space="preserve">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电力装备的智能感知与分析诊断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Panel 14: 交直流配电网电力扰动分析与灵活运行控制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Panel 15: 电力和能源系统分析中的大数据和人工智能技术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论文宣讲</w:t>
            </w:r>
            <w:r>
              <w:rPr>
                <w:rFonts w:eastAsia="华文仿宋"/>
                <w:color w:val="FF0000"/>
                <w:kern w:val="0"/>
                <w:szCs w:val="21"/>
              </w:rPr>
              <w:t xml:space="preserve"> 3:</w:t>
            </w:r>
          </w:p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物理-信息-社会耦合系统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论文张贴</w:t>
            </w:r>
            <w:r>
              <w:rPr>
                <w:rFonts w:eastAsia="华文仿宋"/>
                <w:color w:val="FF0000"/>
                <w:kern w:val="0"/>
                <w:szCs w:val="21"/>
              </w:rPr>
              <w:t>1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:</w:t>
            </w:r>
          </w:p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高比例可再生能源</w:t>
            </w: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031" w:type="dxa"/>
            <w:vMerge w:val="continue"/>
            <w:shd w:val="clear" w:color="auto" w:fill="FFC000"/>
            <w:noWrap w:val="0"/>
            <w:vAlign w:val="center"/>
          </w:tcPr>
          <w:p>
            <w:pPr>
              <w:widowControl/>
              <w:spacing w:line="240" w:lineRule="exact"/>
              <w:ind w:firstLine="420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</w:p>
        </w:tc>
        <w:tc>
          <w:tcPr>
            <w:tcW w:w="138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1400-1700</w:t>
            </w:r>
          </w:p>
        </w:tc>
        <w:tc>
          <w:tcPr>
            <w:tcW w:w="1194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Panel 16: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能源系统中超导新技术及应用</w:t>
            </w:r>
          </w:p>
        </w:tc>
        <w:tc>
          <w:tcPr>
            <w:tcW w:w="139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Panel 17: 能源转型中高压直流输电的机遇与挑战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Panel 18: 高比例新能源电力系统供需平衡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Panel</w:t>
            </w:r>
            <w:r>
              <w:rPr>
                <w:rFonts w:eastAsia="华文仿宋"/>
                <w:color w:val="FF0000"/>
                <w:kern w:val="0"/>
                <w:szCs w:val="21"/>
              </w:rPr>
              <w:t xml:space="preserve"> 19：</w:t>
            </w:r>
          </w:p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交通能源互联网关键技术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 xml:space="preserve">论文宣讲 </w:t>
            </w:r>
            <w:r>
              <w:rPr>
                <w:rFonts w:eastAsia="华文仿宋"/>
                <w:color w:val="FF0000"/>
                <w:kern w:val="0"/>
                <w:szCs w:val="21"/>
              </w:rPr>
              <w:t>1</w:t>
            </w:r>
            <w:r>
              <w:rPr>
                <w:rFonts w:hint="eastAsia" w:eastAsia="华文仿宋"/>
                <w:color w:val="FF0000"/>
                <w:kern w:val="0"/>
                <w:szCs w:val="21"/>
              </w:rPr>
              <w:t>:</w:t>
            </w:r>
          </w:p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高比例可再生能源论文</w:t>
            </w:r>
          </w:p>
          <w:p>
            <w:pPr>
              <w:widowControl/>
              <w:spacing w:line="240" w:lineRule="exact"/>
              <w:jc w:val="center"/>
              <w:rPr>
                <w:rFonts w:hint="eastAsia" w:eastAsia="华文仿宋"/>
                <w:color w:val="FF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论文宣讲 5:</w:t>
            </w:r>
          </w:p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hint="eastAsia" w:eastAsia="华文仿宋"/>
                <w:color w:val="FF0000"/>
                <w:kern w:val="0"/>
                <w:szCs w:val="21"/>
              </w:rPr>
              <w:t>新兴技术应用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  <w:tc>
          <w:tcPr>
            <w:tcW w:w="1283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华文仿宋"/>
                <w:color w:val="FF0000"/>
                <w:kern w:val="0"/>
                <w:szCs w:val="21"/>
              </w:rPr>
            </w:pPr>
            <w:r>
              <w:rPr>
                <w:rFonts w:eastAsia="华文仿宋"/>
                <w:color w:val="FF0000"/>
                <w:kern w:val="0"/>
                <w:szCs w:val="21"/>
              </w:rPr>
              <w:t>——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 w:eastAsia="黑体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6838" w:h="11906" w:orient="landscape"/>
          <w:pgMar w:top="1474" w:right="1440" w:bottom="1474" w:left="1440" w:header="709" w:footer="709" w:gutter="0"/>
          <w:cols w:space="708" w:num="1"/>
          <w:docGrid w:type="lines" w:linePitch="360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B1110"/>
    <w:rsid w:val="4F2B1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2020-10-13T10:05:00Z</dcterms:created>
  <dc:creator>yc melody</dc:creator>
  <cp:lastModifiedBy>yc melody</cp:lastModifiedBy>
  <dcterms:modified xsi:type="dcterms:W3CDTF">2020-10-13T10:05:20Z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