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5B" w:rsidRPr="0026335B" w:rsidRDefault="0026335B" w:rsidP="0026335B">
      <w:pPr>
        <w:rPr>
          <w:rFonts w:hint="eastAsia"/>
          <w:bCs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b/>
          <w:bCs/>
          <w:sz w:val="24"/>
          <w:szCs w:val="24"/>
        </w:rPr>
        <w:t>1、标准名称</w:t>
      </w:r>
    </w:p>
    <w:p w:rsidR="00DE2839" w:rsidRPr="0026335B" w:rsidRDefault="00007B9C" w:rsidP="0026335B">
      <w:pPr>
        <w:pStyle w:val="Default"/>
        <w:ind w:firstLineChars="150" w:firstLine="360"/>
        <w:jc w:val="both"/>
      </w:pPr>
      <w:r w:rsidRPr="0026335B">
        <w:rPr>
          <w:rFonts w:ascii="Arial" w:hAnsi="Arial" w:cs="Arial" w:hint="eastAsia"/>
        </w:rPr>
        <w:t>工业碱液中氯酸钠含量测定</w:t>
      </w:r>
      <w:r w:rsidRPr="0026335B">
        <w:rPr>
          <w:rFonts w:ascii="Arial" w:hAnsi="Arial" w:cs="Arial" w:hint="eastAsia"/>
        </w:rPr>
        <w:t xml:space="preserve"> </w:t>
      </w:r>
      <w:r w:rsidRPr="0026335B">
        <w:rPr>
          <w:rFonts w:ascii="Arial" w:hAnsi="Arial" w:cs="Arial" w:hint="eastAsia"/>
        </w:rPr>
        <w:t>甲基橙快速测定法</w:t>
      </w:r>
      <w:r w:rsidRPr="0026335B">
        <w:rPr>
          <w:rFonts w:asciiTheme="majorEastAsia" w:eastAsiaTheme="majorEastAsia" w:hAnsiTheme="majorEastAsia" w:hint="eastAsia"/>
          <w:bCs/>
        </w:rPr>
        <w:t>（</w:t>
      </w:r>
      <w:r w:rsidR="0026335B" w:rsidRPr="0026335B">
        <w:t xml:space="preserve">T/CSEE 0184—2021 </w:t>
      </w:r>
      <w:r w:rsidRPr="0026335B">
        <w:rPr>
          <w:rFonts w:asciiTheme="majorEastAsia" w:eastAsiaTheme="majorEastAsia" w:hAnsiTheme="majorEastAsia" w:hint="eastAsia"/>
          <w:bCs/>
        </w:rPr>
        <w:t>）</w:t>
      </w:r>
    </w:p>
    <w:p w:rsidR="00DE2839" w:rsidRPr="0026335B" w:rsidRDefault="0026335B" w:rsidP="00DE2839">
      <w:pPr>
        <w:rPr>
          <w:rFonts w:asciiTheme="majorEastAsia" w:eastAsiaTheme="majorEastAsia" w:hAnsiTheme="majorEastAsia"/>
          <w:b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b/>
          <w:bCs/>
          <w:sz w:val="24"/>
          <w:szCs w:val="24"/>
        </w:rPr>
        <w:t>2、起草单位</w:t>
      </w:r>
    </w:p>
    <w:p w:rsidR="00DE2839" w:rsidRPr="0026335B" w:rsidRDefault="00020D18" w:rsidP="0026335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sz w:val="24"/>
          <w:szCs w:val="24"/>
        </w:rPr>
        <w:t>江苏方天电力技术有限公司、</w:t>
      </w:r>
      <w:r w:rsidR="0026335B">
        <w:rPr>
          <w:rFonts w:asciiTheme="majorEastAsia" w:eastAsiaTheme="majorEastAsia" w:hAnsiTheme="majorEastAsia" w:hint="eastAsia"/>
          <w:sz w:val="24"/>
          <w:szCs w:val="24"/>
        </w:rPr>
        <w:t>中国</w:t>
      </w:r>
      <w:r w:rsidR="0026335B" w:rsidRPr="0026335B">
        <w:rPr>
          <w:rFonts w:asciiTheme="majorEastAsia" w:eastAsiaTheme="majorEastAsia" w:hAnsiTheme="majorEastAsia" w:hint="eastAsia"/>
          <w:sz w:val="24"/>
          <w:szCs w:val="24"/>
        </w:rPr>
        <w:t>大唐研究院</w:t>
      </w:r>
      <w:r w:rsidR="0026335B">
        <w:rPr>
          <w:rFonts w:asciiTheme="majorEastAsia" w:eastAsiaTheme="majorEastAsia" w:hAnsiTheme="majorEastAsia" w:hint="eastAsia"/>
          <w:sz w:val="24"/>
          <w:szCs w:val="24"/>
        </w:rPr>
        <w:t>有限公司</w:t>
      </w:r>
      <w:r w:rsidR="0026335B" w:rsidRPr="0026335B">
        <w:rPr>
          <w:rFonts w:asciiTheme="majorEastAsia" w:eastAsiaTheme="majorEastAsia" w:hAnsiTheme="majorEastAsia" w:hint="eastAsia"/>
          <w:sz w:val="24"/>
          <w:szCs w:val="24"/>
        </w:rPr>
        <w:t>华东分院</w:t>
      </w:r>
      <w:r w:rsidR="0026335B">
        <w:rPr>
          <w:rFonts w:asciiTheme="majorEastAsia" w:eastAsiaTheme="majorEastAsia" w:hAnsiTheme="majorEastAsia" w:hint="eastAsia"/>
          <w:sz w:val="24"/>
          <w:szCs w:val="24"/>
        </w:rPr>
        <w:t>、中国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华电望亭</w:t>
      </w:r>
      <w:r w:rsidR="0026335B">
        <w:rPr>
          <w:rFonts w:asciiTheme="majorEastAsia" w:eastAsiaTheme="majorEastAsia" w:hAnsiTheme="majorEastAsia" w:hint="eastAsia"/>
          <w:sz w:val="24"/>
          <w:szCs w:val="24"/>
        </w:rPr>
        <w:t>发电有限公司</w:t>
      </w:r>
    </w:p>
    <w:p w:rsidR="0026335B" w:rsidRPr="0026335B" w:rsidRDefault="0026335B" w:rsidP="00DE2839">
      <w:pPr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b/>
          <w:bCs/>
          <w:sz w:val="24"/>
          <w:szCs w:val="24"/>
        </w:rPr>
        <w:t>3、起草人</w:t>
      </w:r>
    </w:p>
    <w:p w:rsidR="00DE2839" w:rsidRDefault="00020D18" w:rsidP="0026335B">
      <w:pPr>
        <w:ind w:firstLineChars="250" w:firstLine="600"/>
        <w:rPr>
          <w:rFonts w:asciiTheme="majorEastAsia" w:eastAsiaTheme="majorEastAsia" w:hAnsiTheme="majorEastAsia" w:hint="eastAsia"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sz w:val="24"/>
          <w:szCs w:val="24"/>
        </w:rPr>
        <w:t>徐洪、窦鹏、高远、王国蓉，韩慧慧、吕佳、陈华桂、徐妍</w:t>
      </w:r>
    </w:p>
    <w:p w:rsidR="0026335B" w:rsidRPr="0026335B" w:rsidRDefault="0026335B" w:rsidP="0026335B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b/>
          <w:bCs/>
          <w:sz w:val="24"/>
          <w:szCs w:val="24"/>
        </w:rPr>
        <w:t>4、技术归口标准专业委员会</w:t>
      </w:r>
    </w:p>
    <w:p w:rsidR="0026335B" w:rsidRPr="0026335B" w:rsidRDefault="0026335B" w:rsidP="0026335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sz w:val="24"/>
          <w:szCs w:val="24"/>
        </w:rPr>
        <w:t>中国电机工程学会火电专业委员会</w:t>
      </w:r>
    </w:p>
    <w:p w:rsidR="0026335B" w:rsidRDefault="0026335B" w:rsidP="0026335B">
      <w:pPr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b/>
          <w:bCs/>
          <w:sz w:val="24"/>
          <w:szCs w:val="24"/>
        </w:rPr>
        <w:t>5、标准适用范围及主要技术内容</w:t>
      </w:r>
    </w:p>
    <w:p w:rsidR="0026335B" w:rsidRPr="0026335B" w:rsidRDefault="0026335B" w:rsidP="0026335B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bCs/>
          <w:sz w:val="24"/>
          <w:szCs w:val="24"/>
        </w:rPr>
        <w:t>（1）适用范围</w:t>
      </w:r>
    </w:p>
    <w:p w:rsidR="0026335B" w:rsidRPr="0026335B" w:rsidRDefault="0026335B" w:rsidP="0026335B">
      <w:pPr>
        <w:pStyle w:val="af"/>
        <w:ind w:firstLine="480"/>
        <w:rPr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sz w:val="24"/>
          <w:szCs w:val="24"/>
        </w:rPr>
        <w:t>适用于氯酸钠含量为0.0001%～0.005%的工业碱液。</w:t>
      </w:r>
    </w:p>
    <w:p w:rsidR="00DE2839" w:rsidRPr="0026335B" w:rsidRDefault="0026335B" w:rsidP="00DE2839">
      <w:pPr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（2）</w:t>
      </w:r>
      <w:r w:rsidR="00DE2839" w:rsidRPr="0026335B">
        <w:rPr>
          <w:rFonts w:asciiTheme="majorEastAsia" w:eastAsiaTheme="majorEastAsia" w:hAnsiTheme="majorEastAsia" w:hint="eastAsia"/>
          <w:bCs/>
          <w:sz w:val="24"/>
          <w:szCs w:val="24"/>
        </w:rPr>
        <w:t>标准概要描述</w:t>
      </w:r>
    </w:p>
    <w:p w:rsidR="00DE2839" w:rsidRPr="0026335B" w:rsidRDefault="00DE2839" w:rsidP="00DE283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sz w:val="24"/>
          <w:szCs w:val="24"/>
        </w:rPr>
        <w:t>本标准属于技术标准，规定了</w:t>
      </w:r>
      <w:r w:rsidR="00020D18" w:rsidRPr="0026335B">
        <w:rPr>
          <w:rFonts w:asciiTheme="majorEastAsia" w:eastAsiaTheme="majorEastAsia" w:hAnsiTheme="majorEastAsia" w:hint="eastAsia"/>
          <w:sz w:val="24"/>
          <w:szCs w:val="24"/>
        </w:rPr>
        <w:t>采用甲基橙快速测定工业碱液中氯酸钠含量方法的概要、试验步骤、结果计算和允许差。</w:t>
      </w:r>
    </w:p>
    <w:p w:rsidR="00DE2839" w:rsidRDefault="0026335B" w:rsidP="00DE2839">
      <w:pPr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b/>
          <w:bCs/>
          <w:sz w:val="24"/>
          <w:szCs w:val="24"/>
        </w:rPr>
        <w:t>6、主要</w:t>
      </w:r>
      <w:r w:rsidR="00DE2839" w:rsidRPr="0026335B">
        <w:rPr>
          <w:rFonts w:asciiTheme="majorEastAsia" w:eastAsiaTheme="majorEastAsia" w:hAnsiTheme="majorEastAsia" w:hint="eastAsia"/>
          <w:b/>
          <w:bCs/>
          <w:sz w:val="24"/>
          <w:szCs w:val="24"/>
        </w:rPr>
        <w:t>技术内容</w:t>
      </w:r>
    </w:p>
    <w:p w:rsidR="00245CA6" w:rsidRPr="0026335B" w:rsidRDefault="00245CA6" w:rsidP="0026335B">
      <w:pPr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sz w:val="24"/>
          <w:szCs w:val="24"/>
        </w:rPr>
        <w:t xml:space="preserve">国家标准《 </w:t>
      </w:r>
      <w:r w:rsidRPr="0026335B">
        <w:rPr>
          <w:rFonts w:asciiTheme="majorEastAsia" w:eastAsiaTheme="majorEastAsia" w:hAnsiTheme="majorEastAsia"/>
          <w:sz w:val="24"/>
          <w:szCs w:val="24"/>
        </w:rPr>
        <w:t>GB/T 11199-2006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高纯氢氧化钠》对工业碱液中氯酸钠含量做了明确的要求。</w:t>
      </w:r>
      <w:r w:rsidRPr="0026335B">
        <w:rPr>
          <w:rFonts w:asciiTheme="majorEastAsia" w:eastAsiaTheme="majorEastAsia" w:hAnsiTheme="majorEastAsia"/>
          <w:sz w:val="24"/>
          <w:szCs w:val="24"/>
        </w:rPr>
        <w:t>目前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工业碱液中氯酸钠含量的测定是按照《</w:t>
      </w:r>
      <w:r w:rsidRPr="0026335B">
        <w:rPr>
          <w:rFonts w:asciiTheme="majorEastAsia" w:eastAsiaTheme="majorEastAsia" w:hAnsiTheme="majorEastAsia"/>
          <w:sz w:val="24"/>
          <w:szCs w:val="24"/>
        </w:rPr>
        <w:t>GB/T 11200.1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工业用氢氧化钠氯酸钠含量的测定邻</w:t>
      </w:r>
      <w:r w:rsidRPr="0026335B">
        <w:rPr>
          <w:rFonts w:asciiTheme="majorEastAsia" w:eastAsiaTheme="majorEastAsia" w:hAnsiTheme="majorEastAsia"/>
          <w:sz w:val="24"/>
          <w:szCs w:val="24"/>
        </w:rPr>
        <w:t>-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联甲苯胺分光光度法》规定的方法。该方法的基本原理为：在强酸介质中氯酸钠分解为氯气和二氧化氯，在</w:t>
      </w:r>
      <w:r w:rsidRPr="0026335B">
        <w:rPr>
          <w:rFonts w:asciiTheme="majorEastAsia" w:eastAsiaTheme="majorEastAsia" w:hAnsiTheme="majorEastAsia"/>
          <w:sz w:val="24"/>
          <w:szCs w:val="24"/>
        </w:rPr>
        <w:t>pH&lt;1.3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条件下氯气和二氧化氯与邻</w:t>
      </w:r>
      <w:r w:rsidRPr="0026335B">
        <w:rPr>
          <w:rFonts w:asciiTheme="majorEastAsia" w:eastAsiaTheme="majorEastAsia" w:hAnsiTheme="majorEastAsia"/>
          <w:sz w:val="24"/>
          <w:szCs w:val="24"/>
        </w:rPr>
        <w:t>-</w:t>
      </w:r>
      <w:proofErr w:type="gramStart"/>
      <w:r w:rsidRPr="0026335B">
        <w:rPr>
          <w:rFonts w:asciiTheme="majorEastAsia" w:eastAsiaTheme="majorEastAsia" w:hAnsiTheme="majorEastAsia" w:hint="eastAsia"/>
          <w:sz w:val="24"/>
          <w:szCs w:val="24"/>
        </w:rPr>
        <w:t>联甲苯胺</w:t>
      </w:r>
      <w:proofErr w:type="gramEnd"/>
      <w:r w:rsidRPr="0026335B">
        <w:rPr>
          <w:rFonts w:asciiTheme="majorEastAsia" w:eastAsiaTheme="majorEastAsia" w:hAnsiTheme="majorEastAsia" w:hint="eastAsia"/>
          <w:sz w:val="24"/>
          <w:szCs w:val="24"/>
        </w:rPr>
        <w:t>反应生成稳定的黄色络合物，用分光光度计测定吸光度。该方法涉及优级纯盐酸、氢氧化钠溶液（</w:t>
      </w:r>
      <w:r w:rsidRPr="0026335B">
        <w:rPr>
          <w:rFonts w:asciiTheme="majorEastAsia" w:eastAsiaTheme="majorEastAsia" w:hAnsiTheme="majorEastAsia"/>
          <w:sz w:val="24"/>
          <w:szCs w:val="24"/>
        </w:rPr>
        <w:t>400 g/L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）、氯酸钠标准溶液（</w:t>
      </w:r>
      <w:r w:rsidRPr="0026335B">
        <w:rPr>
          <w:rFonts w:asciiTheme="majorEastAsia" w:eastAsiaTheme="majorEastAsia" w:hAnsiTheme="majorEastAsia"/>
          <w:sz w:val="24"/>
          <w:szCs w:val="24"/>
        </w:rPr>
        <w:t>1 g/L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）、氯酸钠标准溶液（</w:t>
      </w:r>
      <w:r w:rsidRPr="0026335B">
        <w:rPr>
          <w:rFonts w:asciiTheme="majorEastAsia" w:eastAsiaTheme="majorEastAsia" w:hAnsiTheme="majorEastAsia"/>
          <w:sz w:val="24"/>
          <w:szCs w:val="24"/>
        </w:rPr>
        <w:t>10 mg/L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）、邻</w:t>
      </w:r>
      <w:r w:rsidRPr="0026335B">
        <w:rPr>
          <w:rFonts w:asciiTheme="majorEastAsia" w:eastAsiaTheme="majorEastAsia" w:hAnsiTheme="majorEastAsia"/>
          <w:sz w:val="24"/>
          <w:szCs w:val="24"/>
        </w:rPr>
        <w:t>-</w:t>
      </w:r>
      <w:proofErr w:type="gramStart"/>
      <w:r w:rsidRPr="0026335B">
        <w:rPr>
          <w:rFonts w:asciiTheme="majorEastAsia" w:eastAsiaTheme="majorEastAsia" w:hAnsiTheme="majorEastAsia" w:hint="eastAsia"/>
          <w:sz w:val="24"/>
          <w:szCs w:val="24"/>
        </w:rPr>
        <w:t>联甲苯胺</w:t>
      </w:r>
      <w:proofErr w:type="gramEnd"/>
      <w:r w:rsidRPr="0026335B">
        <w:rPr>
          <w:rFonts w:asciiTheme="majorEastAsia" w:eastAsiaTheme="majorEastAsia" w:hAnsiTheme="majorEastAsia" w:hint="eastAsia"/>
          <w:sz w:val="24"/>
          <w:szCs w:val="24"/>
        </w:rPr>
        <w:t>指示液（</w:t>
      </w:r>
      <w:r w:rsidRPr="0026335B">
        <w:rPr>
          <w:rFonts w:asciiTheme="majorEastAsia" w:eastAsiaTheme="majorEastAsia" w:hAnsiTheme="majorEastAsia"/>
          <w:sz w:val="24"/>
          <w:szCs w:val="24"/>
        </w:rPr>
        <w:t>1 g/L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）等五种试剂，以及分液漏斗、双口烧瓶（</w:t>
      </w:r>
      <w:r w:rsidRPr="0026335B">
        <w:rPr>
          <w:rFonts w:asciiTheme="majorEastAsia" w:eastAsiaTheme="majorEastAsia" w:hAnsiTheme="majorEastAsia"/>
          <w:sz w:val="24"/>
          <w:szCs w:val="24"/>
        </w:rPr>
        <w:t>500mL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）、水浴（可控在（</w:t>
      </w:r>
      <w:r w:rsidRPr="0026335B">
        <w:rPr>
          <w:rFonts w:asciiTheme="majorEastAsia" w:eastAsiaTheme="majorEastAsia" w:hAnsiTheme="majorEastAsia"/>
          <w:sz w:val="24"/>
          <w:szCs w:val="24"/>
        </w:rPr>
        <w:t>50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±</w:t>
      </w:r>
      <w:r w:rsidRPr="0026335B">
        <w:rPr>
          <w:rFonts w:asciiTheme="majorEastAsia" w:eastAsiaTheme="majorEastAsia" w:hAnsiTheme="majorEastAsia"/>
          <w:sz w:val="24"/>
          <w:szCs w:val="24"/>
        </w:rPr>
        <w:t>2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）℃）、分光光度计等仪器，且工作曲线绘制及试样溶液测定过程比较复杂，一般实验室要开展这项测定，必须配备专门的仪器、药品，并对化验人员进行针对性培训，鉴于氯酸钠含量测定的繁琐，一些实验室选择在测定工业碱液时忽略该项目，由此</w:t>
      </w:r>
      <w:proofErr w:type="gramStart"/>
      <w:r w:rsidRPr="0026335B">
        <w:rPr>
          <w:rFonts w:asciiTheme="majorEastAsia" w:eastAsiaTheme="majorEastAsia" w:hAnsiTheme="majorEastAsia" w:hint="eastAsia"/>
          <w:sz w:val="24"/>
          <w:szCs w:val="24"/>
        </w:rPr>
        <w:t>给对于</w:t>
      </w:r>
      <w:proofErr w:type="gramEnd"/>
      <w:r w:rsidRPr="0026335B">
        <w:rPr>
          <w:rFonts w:asciiTheme="majorEastAsia" w:eastAsiaTheme="majorEastAsia" w:hAnsiTheme="majorEastAsia" w:hint="eastAsia"/>
          <w:sz w:val="24"/>
          <w:szCs w:val="24"/>
        </w:rPr>
        <w:t>氯酸钠含量有严格要求的生产过程埋下了安全隐患。</w:t>
      </w:r>
    </w:p>
    <w:p w:rsidR="00245CA6" w:rsidRDefault="00245CA6" w:rsidP="0026335B">
      <w:pPr>
        <w:ind w:firstLineChars="150" w:firstLine="360"/>
        <w:rPr>
          <w:rFonts w:asciiTheme="majorEastAsia" w:eastAsiaTheme="majorEastAsia" w:hAnsiTheme="majorEastAsia" w:hint="eastAsia"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sz w:val="24"/>
          <w:szCs w:val="24"/>
        </w:rPr>
        <w:t>为了解决现有技术存在的不足，制定了工业碱液中氯酸钠含量测定的新方法。</w:t>
      </w:r>
      <w:bookmarkStart w:id="0" w:name="_Toc298936805"/>
      <w:bookmarkStart w:id="1" w:name="_Toc298936928"/>
      <w:bookmarkStart w:id="2" w:name="_Toc298937104"/>
      <w:bookmarkStart w:id="3" w:name="_Toc298937156"/>
      <w:bookmarkStart w:id="4" w:name="_Toc298937171"/>
      <w:bookmarkStart w:id="5" w:name="_Toc298937192"/>
      <w:bookmarkStart w:id="6" w:name="_Toc298937205"/>
      <w:bookmarkStart w:id="7" w:name="_Toc298937280"/>
      <w:bookmarkStart w:id="8" w:name="_Toc298937326"/>
      <w:bookmarkStart w:id="9" w:name="_Toc298937361"/>
      <w:bookmarkStart w:id="10" w:name="_Toc298937423"/>
      <w:bookmarkStart w:id="11" w:name="_Toc298937466"/>
      <w:bookmarkStart w:id="12" w:name="_Toc298937553"/>
      <w:bookmarkStart w:id="13" w:name="_Toc298937613"/>
      <w:bookmarkStart w:id="14" w:name="_Toc298938639"/>
      <w:bookmarkStart w:id="15" w:name="_Toc298938787"/>
      <w:bookmarkStart w:id="16" w:name="_Toc304402668"/>
      <w:bookmarkStart w:id="17" w:name="_Toc304824973"/>
      <w:bookmarkStart w:id="18" w:name="_Toc304825012"/>
      <w:bookmarkStart w:id="19" w:name="_Toc304825085"/>
      <w:bookmarkStart w:id="20" w:name="_Toc304828070"/>
      <w:bookmarkStart w:id="21" w:name="_Toc309993184"/>
      <w:bookmarkStart w:id="22" w:name="_Toc309994555"/>
      <w:bookmarkStart w:id="23" w:name="_Toc309995394"/>
      <w:bookmarkStart w:id="24" w:name="_Toc309995476"/>
      <w:bookmarkStart w:id="25" w:name="_Toc309995582"/>
      <w:bookmarkStart w:id="26" w:name="_Toc309996003"/>
      <w:bookmarkStart w:id="27" w:name="_Toc309997044"/>
      <w:bookmarkStart w:id="28" w:name="_Toc310002641"/>
      <w:bookmarkStart w:id="29" w:name="_Toc318613699"/>
      <w:bookmarkStart w:id="30" w:name="_Toc320020898"/>
      <w:r w:rsidR="00E04935" w:rsidRPr="0026335B">
        <w:rPr>
          <w:rFonts w:asciiTheme="majorEastAsia" w:eastAsiaTheme="majorEastAsia" w:hAnsiTheme="majorEastAsia" w:hint="eastAsia"/>
          <w:sz w:val="24"/>
          <w:szCs w:val="24"/>
        </w:rPr>
        <w:t>该方法的原理是甲基橙在酸化过的工业碱液中呈橙红色，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E04935" w:rsidRPr="0026335B">
        <w:rPr>
          <w:rFonts w:asciiTheme="majorEastAsia" w:eastAsiaTheme="majorEastAsia" w:hAnsiTheme="majorEastAsia" w:hint="eastAsia"/>
          <w:sz w:val="24"/>
          <w:szCs w:val="24"/>
        </w:rPr>
        <w:t>当工业碱液中含有强氧化剂氯酸钠时，甲基橙被氧化而褪色，通过甲基橙的不断滴入消耗工业碱液中的氯酸钠，以溶液显橙红色为滴定终点。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该方法测定简便，且颜色反应直观，所需要使用的仪器为一般常规仪器，不需要做专门的准备即可实施测定，值得推广。</w:t>
      </w:r>
    </w:p>
    <w:p w:rsidR="0026335B" w:rsidRDefault="0026335B" w:rsidP="0026335B">
      <w:pPr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 w:rsidRPr="0026335B">
        <w:rPr>
          <w:rFonts w:asciiTheme="majorEastAsia" w:eastAsiaTheme="majorEastAsia" w:hAnsiTheme="majorEastAsia" w:hint="eastAsia"/>
          <w:b/>
          <w:bCs/>
          <w:sz w:val="24"/>
          <w:szCs w:val="24"/>
        </w:rPr>
        <w:t>7、标准的应用情况介绍</w:t>
      </w:r>
    </w:p>
    <w:p w:rsidR="0026335B" w:rsidRPr="0026335B" w:rsidRDefault="0026335B" w:rsidP="0026335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本标准</w:t>
      </w:r>
      <w:r w:rsidRPr="0026335B">
        <w:rPr>
          <w:rFonts w:asciiTheme="majorEastAsia" w:eastAsiaTheme="majorEastAsia" w:hAnsiTheme="majorEastAsia" w:hint="eastAsia"/>
          <w:sz w:val="24"/>
          <w:szCs w:val="24"/>
        </w:rPr>
        <w:t>规定了采用甲基橙快速测定工业碱液中氯酸钠含量方法的概要、试验步骤、结果计算和允许差。</w:t>
      </w:r>
    </w:p>
    <w:p w:rsidR="0026335B" w:rsidRPr="0026335B" w:rsidRDefault="0026335B" w:rsidP="0026335B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    </w:t>
      </w:r>
      <w:r w:rsidR="003D539A" w:rsidRPr="0026335B">
        <w:rPr>
          <w:rFonts w:asciiTheme="majorEastAsia" w:eastAsiaTheme="majorEastAsia" w:hAnsiTheme="majorEastAsia" w:hint="eastAsia"/>
          <w:sz w:val="24"/>
          <w:szCs w:val="24"/>
        </w:rPr>
        <w:t>氯酸钠含量</w:t>
      </w:r>
      <w:r w:rsidR="003D539A">
        <w:rPr>
          <w:rFonts w:asciiTheme="majorEastAsia" w:eastAsiaTheme="majorEastAsia" w:hAnsiTheme="majorEastAsia" w:hint="eastAsia"/>
          <w:sz w:val="24"/>
          <w:szCs w:val="24"/>
        </w:rPr>
        <w:t>是工业碱液质量检验的一项重要指标，直接涉及到工业碱液的质量等级。但因</w:t>
      </w:r>
      <w:r w:rsidR="003D539A" w:rsidRPr="0026335B">
        <w:rPr>
          <w:rFonts w:asciiTheme="majorEastAsia" w:eastAsiaTheme="majorEastAsia" w:hAnsiTheme="majorEastAsia" w:hint="eastAsia"/>
          <w:sz w:val="24"/>
          <w:szCs w:val="24"/>
        </w:rPr>
        <w:t>《</w:t>
      </w:r>
      <w:r w:rsidR="003D539A" w:rsidRPr="0026335B">
        <w:rPr>
          <w:rFonts w:asciiTheme="majorEastAsia" w:eastAsiaTheme="majorEastAsia" w:hAnsiTheme="majorEastAsia"/>
          <w:sz w:val="24"/>
          <w:szCs w:val="24"/>
        </w:rPr>
        <w:t>GB/T 11200.1</w:t>
      </w:r>
      <w:r w:rsidR="003D539A" w:rsidRPr="0026335B">
        <w:rPr>
          <w:rFonts w:asciiTheme="majorEastAsia" w:eastAsiaTheme="majorEastAsia" w:hAnsiTheme="majorEastAsia" w:hint="eastAsia"/>
          <w:sz w:val="24"/>
          <w:szCs w:val="24"/>
        </w:rPr>
        <w:t>工业用氢氧化钠氯酸钠含量的测定邻</w:t>
      </w:r>
      <w:r w:rsidR="003D539A" w:rsidRPr="0026335B">
        <w:rPr>
          <w:rFonts w:asciiTheme="majorEastAsia" w:eastAsiaTheme="majorEastAsia" w:hAnsiTheme="majorEastAsia"/>
          <w:sz w:val="24"/>
          <w:szCs w:val="24"/>
        </w:rPr>
        <w:t>-</w:t>
      </w:r>
      <w:r w:rsidR="003D539A" w:rsidRPr="0026335B">
        <w:rPr>
          <w:rFonts w:asciiTheme="majorEastAsia" w:eastAsiaTheme="majorEastAsia" w:hAnsiTheme="majorEastAsia" w:hint="eastAsia"/>
          <w:sz w:val="24"/>
          <w:szCs w:val="24"/>
        </w:rPr>
        <w:t>联甲苯胺分光光度法》</w:t>
      </w:r>
      <w:r w:rsidR="003D539A">
        <w:rPr>
          <w:rFonts w:asciiTheme="majorEastAsia" w:eastAsiaTheme="majorEastAsia" w:hAnsiTheme="majorEastAsia" w:hint="eastAsia"/>
          <w:sz w:val="24"/>
          <w:szCs w:val="24"/>
        </w:rPr>
        <w:t>测定方法的繁琐，</w:t>
      </w:r>
      <w:proofErr w:type="gramStart"/>
      <w:r w:rsidR="003D539A">
        <w:rPr>
          <w:rFonts w:asciiTheme="majorEastAsia" w:eastAsiaTheme="majorEastAsia" w:hAnsiTheme="majorEastAsia" w:hint="eastAsia"/>
          <w:sz w:val="24"/>
          <w:szCs w:val="24"/>
        </w:rPr>
        <w:t>很多电科院</w:t>
      </w:r>
      <w:proofErr w:type="gramEnd"/>
      <w:r w:rsidR="003D539A">
        <w:rPr>
          <w:rFonts w:asciiTheme="majorEastAsia" w:eastAsiaTheme="majorEastAsia" w:hAnsiTheme="majorEastAsia" w:hint="eastAsia"/>
          <w:sz w:val="24"/>
          <w:szCs w:val="24"/>
        </w:rPr>
        <w:t>和电厂没有开展氯酸钠含量的测定，给工业碱液的质量验收埋下了安全隐患。</w:t>
      </w:r>
    </w:p>
    <w:p w:rsidR="00B229ED" w:rsidRDefault="0026335B" w:rsidP="0026335B">
      <w:pPr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标准的发布为测定工业碱液中氯酸钠含量提供了一种准确、方便、快速的方法，目前已经在江苏十几家电厂推广应用，</w:t>
      </w:r>
      <w:r w:rsidR="003D539A">
        <w:rPr>
          <w:rFonts w:asciiTheme="majorEastAsia" w:eastAsiaTheme="majorEastAsia" w:hAnsiTheme="majorEastAsia" w:hint="eastAsia"/>
          <w:sz w:val="24"/>
          <w:szCs w:val="24"/>
        </w:rPr>
        <w:t>检测结果准确。</w:t>
      </w:r>
    </w:p>
    <w:p w:rsidR="003D539A" w:rsidRPr="003D539A" w:rsidRDefault="003D539A" w:rsidP="003D539A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 w:rsidRPr="003D539A">
        <w:rPr>
          <w:rFonts w:asciiTheme="majorEastAsia" w:eastAsiaTheme="majorEastAsia" w:hAnsiTheme="majorEastAsia" w:hint="eastAsia"/>
          <w:b/>
          <w:bCs/>
          <w:sz w:val="24"/>
          <w:szCs w:val="24"/>
        </w:rPr>
        <w:t>8、标准联系人姓名、电话、邮箱</w:t>
      </w:r>
    </w:p>
    <w:p w:rsidR="003D539A" w:rsidRPr="003D539A" w:rsidRDefault="003D539A" w:rsidP="003D539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D539A">
        <w:rPr>
          <w:rFonts w:asciiTheme="majorEastAsia" w:eastAsiaTheme="majorEastAsia" w:hAnsiTheme="majorEastAsia" w:hint="eastAsia"/>
          <w:sz w:val="24"/>
          <w:szCs w:val="24"/>
        </w:rPr>
        <w:t>标准联系人：窦鹏</w:t>
      </w:r>
    </w:p>
    <w:p w:rsidR="003D539A" w:rsidRPr="003D539A" w:rsidRDefault="003D539A" w:rsidP="003D539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3D539A">
        <w:rPr>
          <w:rFonts w:asciiTheme="majorEastAsia" w:eastAsiaTheme="majorEastAsia" w:hAnsiTheme="majorEastAsia" w:hint="eastAsia"/>
          <w:sz w:val="24"/>
          <w:szCs w:val="24"/>
        </w:rPr>
        <w:t>电话：</w:t>
      </w:r>
      <w:r w:rsidRPr="003D539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D539A">
        <w:rPr>
          <w:rFonts w:asciiTheme="majorEastAsia" w:eastAsiaTheme="majorEastAsia" w:hAnsiTheme="majorEastAsia" w:hint="eastAsia"/>
          <w:sz w:val="24"/>
          <w:szCs w:val="24"/>
        </w:rPr>
        <w:t>15905166916</w:t>
      </w:r>
    </w:p>
    <w:p w:rsidR="003D539A" w:rsidRPr="003D539A" w:rsidRDefault="003D539A" w:rsidP="003D539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3D539A">
        <w:rPr>
          <w:rFonts w:asciiTheme="majorEastAsia" w:eastAsiaTheme="majorEastAsia" w:hAnsiTheme="majorEastAsia" w:hint="eastAsia"/>
          <w:sz w:val="24"/>
          <w:szCs w:val="24"/>
        </w:rPr>
        <w:lastRenderedPageBreak/>
        <w:t>邮箱：doupeng06@126.com</w:t>
      </w:r>
    </w:p>
    <w:p w:rsidR="003D539A" w:rsidRPr="003D539A" w:rsidRDefault="003D539A" w:rsidP="0026335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3D539A" w:rsidRPr="003D539A" w:rsidSect="006F63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E0" w:rsidRDefault="006A77E0" w:rsidP="00DE2839">
      <w:r>
        <w:separator/>
      </w:r>
    </w:p>
  </w:endnote>
  <w:endnote w:type="continuationSeparator" w:id="0">
    <w:p w:rsidR="006A77E0" w:rsidRDefault="006A77E0" w:rsidP="00DE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E0" w:rsidRDefault="006A77E0" w:rsidP="00DE2839">
      <w:r>
        <w:separator/>
      </w:r>
    </w:p>
  </w:footnote>
  <w:footnote w:type="continuationSeparator" w:id="0">
    <w:p w:rsidR="006A77E0" w:rsidRDefault="006A77E0" w:rsidP="00DE2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504"/>
    <w:multiLevelType w:val="singleLevel"/>
    <w:tmpl w:val="5B8E2A6B"/>
    <w:lvl w:ilvl="0">
      <w:start w:val="1"/>
      <w:numFmt w:val="decimal"/>
      <w:suff w:val="nothing"/>
      <w:lvlText w:val="%1、"/>
      <w:lvlJc w:val="left"/>
    </w:lvl>
  </w:abstractNum>
  <w:abstractNum w:abstractNumId="1">
    <w:nsid w:val="1E350272"/>
    <w:multiLevelType w:val="hybridMultilevel"/>
    <w:tmpl w:val="7D70D946"/>
    <w:lvl w:ilvl="0" w:tplc="4A38C30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27AC2EBE"/>
    <w:multiLevelType w:val="hybridMultilevel"/>
    <w:tmpl w:val="ED86E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AB66A0"/>
    <w:multiLevelType w:val="multilevel"/>
    <w:tmpl w:val="944C9B98"/>
    <w:lvl w:ilvl="0">
      <w:start w:val="1"/>
      <w:numFmt w:val="decimal"/>
      <w:pStyle w:val="a5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E2A6B"/>
    <w:multiLevelType w:val="singleLevel"/>
    <w:tmpl w:val="5B8E2A6B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6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E98"/>
    <w:rsid w:val="00007B9C"/>
    <w:rsid w:val="00020D18"/>
    <w:rsid w:val="000A3690"/>
    <w:rsid w:val="001130BE"/>
    <w:rsid w:val="00116C81"/>
    <w:rsid w:val="001C5A34"/>
    <w:rsid w:val="00245CA6"/>
    <w:rsid w:val="0026335B"/>
    <w:rsid w:val="002B7433"/>
    <w:rsid w:val="00316383"/>
    <w:rsid w:val="00346B29"/>
    <w:rsid w:val="003B3D4E"/>
    <w:rsid w:val="003D539A"/>
    <w:rsid w:val="0056102E"/>
    <w:rsid w:val="005804D1"/>
    <w:rsid w:val="005911EE"/>
    <w:rsid w:val="005B0E71"/>
    <w:rsid w:val="005E533B"/>
    <w:rsid w:val="006710E8"/>
    <w:rsid w:val="006A77E0"/>
    <w:rsid w:val="006B6DB1"/>
    <w:rsid w:val="006F3234"/>
    <w:rsid w:val="006F631E"/>
    <w:rsid w:val="00744819"/>
    <w:rsid w:val="0078392E"/>
    <w:rsid w:val="007A42B2"/>
    <w:rsid w:val="008A2015"/>
    <w:rsid w:val="00A33044"/>
    <w:rsid w:val="00A35B29"/>
    <w:rsid w:val="00AE3BC3"/>
    <w:rsid w:val="00B1086E"/>
    <w:rsid w:val="00B229ED"/>
    <w:rsid w:val="00C96EE1"/>
    <w:rsid w:val="00CE7F3A"/>
    <w:rsid w:val="00DA06E2"/>
    <w:rsid w:val="00DC68C9"/>
    <w:rsid w:val="00DE2839"/>
    <w:rsid w:val="00E01C3B"/>
    <w:rsid w:val="00E04935"/>
    <w:rsid w:val="00E26E98"/>
    <w:rsid w:val="00E52491"/>
    <w:rsid w:val="00EB37D6"/>
    <w:rsid w:val="00EC77EF"/>
    <w:rsid w:val="08581A15"/>
    <w:rsid w:val="22B57096"/>
    <w:rsid w:val="25664089"/>
    <w:rsid w:val="2B59281E"/>
    <w:rsid w:val="33AE74BA"/>
    <w:rsid w:val="43F0414C"/>
    <w:rsid w:val="5FD06DA0"/>
    <w:rsid w:val="691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DE2839"/>
    <w:pPr>
      <w:widowControl w:val="0"/>
      <w:jc w:val="both"/>
    </w:pPr>
    <w:rPr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Char"/>
    <w:uiPriority w:val="99"/>
    <w:unhideWhenUsed/>
    <w:qFormat/>
    <w:rsid w:val="006F6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6"/>
    <w:link w:val="Char0"/>
    <w:uiPriority w:val="99"/>
    <w:unhideWhenUsed/>
    <w:rsid w:val="006F6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b"/>
    <w:uiPriority w:val="99"/>
    <w:qFormat/>
    <w:rsid w:val="006F631E"/>
    <w:rPr>
      <w:sz w:val="18"/>
      <w:szCs w:val="18"/>
    </w:rPr>
  </w:style>
  <w:style w:type="character" w:customStyle="1" w:styleId="Char">
    <w:name w:val="页脚 Char"/>
    <w:basedOn w:val="a7"/>
    <w:link w:val="aa"/>
    <w:uiPriority w:val="99"/>
    <w:qFormat/>
    <w:rsid w:val="006F631E"/>
    <w:rPr>
      <w:sz w:val="18"/>
      <w:szCs w:val="18"/>
    </w:rPr>
  </w:style>
  <w:style w:type="paragraph" w:styleId="ac">
    <w:name w:val="List Paragraph"/>
    <w:basedOn w:val="a6"/>
    <w:uiPriority w:val="99"/>
    <w:qFormat/>
    <w:rsid w:val="00B229ED"/>
    <w:pPr>
      <w:ind w:firstLineChars="200" w:firstLine="420"/>
    </w:pPr>
  </w:style>
  <w:style w:type="table" w:styleId="ad">
    <w:name w:val="Table Grid"/>
    <w:basedOn w:val="a8"/>
    <w:uiPriority w:val="59"/>
    <w:rsid w:val="00B22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封面标准名称"/>
    <w:rsid w:val="00C96EE1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">
    <w:name w:val="段"/>
    <w:link w:val="Char1"/>
    <w:qFormat/>
    <w:rsid w:val="005B0E7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1">
    <w:name w:val="段 Char"/>
    <w:link w:val="af"/>
    <w:rsid w:val="005B0E71"/>
    <w:rPr>
      <w:rFonts w:ascii="宋体" w:eastAsia="宋体" w:hAnsi="Times New Roman" w:cs="Times New Roman"/>
      <w:noProof/>
      <w:sz w:val="21"/>
    </w:rPr>
  </w:style>
  <w:style w:type="paragraph" w:customStyle="1" w:styleId="a0">
    <w:name w:val="一级条标题"/>
    <w:next w:val="af"/>
    <w:rsid w:val="005804D1"/>
    <w:pPr>
      <w:numPr>
        <w:ilvl w:val="1"/>
        <w:numId w:val="5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"/>
    <w:rsid w:val="005804D1"/>
    <w:pPr>
      <w:numPr>
        <w:numId w:val="5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"/>
    <w:rsid w:val="005804D1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"/>
    <w:rsid w:val="005804D1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"/>
    <w:rsid w:val="005804D1"/>
    <w:pPr>
      <w:numPr>
        <w:ilvl w:val="4"/>
      </w:numPr>
      <w:tabs>
        <w:tab w:val="num" w:pos="360"/>
      </w:tabs>
      <w:outlineLvl w:val="5"/>
    </w:pPr>
  </w:style>
  <w:style w:type="paragraph" w:customStyle="1" w:styleId="a4">
    <w:name w:val="五级条标题"/>
    <w:basedOn w:val="a3"/>
    <w:next w:val="af"/>
    <w:rsid w:val="005804D1"/>
    <w:pPr>
      <w:numPr>
        <w:ilvl w:val="5"/>
      </w:numPr>
      <w:tabs>
        <w:tab w:val="num" w:pos="360"/>
      </w:tabs>
      <w:outlineLvl w:val="6"/>
    </w:pPr>
  </w:style>
  <w:style w:type="paragraph" w:customStyle="1" w:styleId="a5">
    <w:name w:val="注："/>
    <w:next w:val="af"/>
    <w:rsid w:val="005804D1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Default">
    <w:name w:val="Default"/>
    <w:rsid w:val="002633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rsid w:val="003D5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qFormat/>
    <w:rsid w:val="00B229ED"/>
    <w:pPr>
      <w:ind w:firstLineChars="200" w:firstLine="420"/>
    </w:pPr>
  </w:style>
  <w:style w:type="table" w:styleId="a6">
    <w:name w:val="Table Grid"/>
    <w:basedOn w:val="a1"/>
    <w:uiPriority w:val="59"/>
    <w:rsid w:val="00B22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chenyufei</dc:creator>
  <cp:lastModifiedBy>doup</cp:lastModifiedBy>
  <cp:revision>22</cp:revision>
  <cp:lastPrinted>2018-09-03T05:22:00Z</cp:lastPrinted>
  <dcterms:created xsi:type="dcterms:W3CDTF">2018-09-03T05:22:00Z</dcterms:created>
  <dcterms:modified xsi:type="dcterms:W3CDTF">2021-10-26T13:04:00Z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2052-10.8.0.5685</vt:lpwstr>
  </property>
</Properties>
</file>