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sz w:val="32"/>
          <w:szCs w:val="32"/>
        </w:rPr>
      </w:pPr>
      <w:r>
        <w:rPr>
          <w:rFonts w:hint="eastAsia" w:ascii="黑体" w:hAnsi="黑体" w:eastAsia="黑体"/>
          <w:color w:val="000000"/>
          <w:sz w:val="32"/>
          <w:szCs w:val="32"/>
        </w:rPr>
        <w:t>附件</w:t>
      </w:r>
    </w:p>
    <w:p>
      <w:pPr>
        <w:widowControl/>
        <w:snapToGrid w:val="0"/>
        <w:spacing w:line="360" w:lineRule="auto"/>
        <w:jc w:val="center"/>
        <w:rPr>
          <w:rFonts w:ascii="公文小标宋简" w:hAnsi="仿宋" w:eastAsia="公文小标宋简"/>
          <w:color w:val="FF0000"/>
          <w:sz w:val="44"/>
          <w:szCs w:val="44"/>
        </w:rPr>
      </w:pPr>
      <w:r>
        <w:rPr>
          <w:rFonts w:hint="eastAsia" w:ascii="公文小标宋简" w:hAnsi="仿宋" w:eastAsia="公文小标宋简"/>
          <w:color w:val="000000"/>
          <w:sz w:val="44"/>
          <w:szCs w:val="44"/>
        </w:rPr>
        <w:t>2</w:t>
      </w:r>
      <w:r>
        <w:rPr>
          <w:rFonts w:hint="eastAsia" w:ascii="公文小标宋简" w:hAnsi="仿宋" w:eastAsia="公文小标宋简"/>
          <w:color w:val="000000"/>
          <w:sz w:val="44"/>
          <w:szCs w:val="44"/>
          <w:lang w:val="en-US" w:eastAsia="zh-CN"/>
        </w:rPr>
        <w:t>021</w:t>
      </w:r>
      <w:r>
        <w:rPr>
          <w:rFonts w:hint="eastAsia" w:ascii="公文小标宋简" w:hAnsi="仿宋" w:eastAsia="公文小标宋简"/>
          <w:color w:val="000000"/>
          <w:sz w:val="44"/>
          <w:szCs w:val="44"/>
        </w:rPr>
        <w:t>年中国电机工程学会年会优秀论文名单</w:t>
      </w:r>
    </w:p>
    <w:tbl>
      <w:tblPr>
        <w:tblStyle w:val="4"/>
        <w:tblW w:w="14551"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370"/>
        <w:gridCol w:w="6151"/>
        <w:gridCol w:w="1290"/>
        <w:gridCol w:w="3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855" w:type="dxa"/>
            <w:shd w:val="clear" w:color="auto" w:fill="BEBEBE"/>
            <w:noWrap/>
            <w:vAlign w:val="center"/>
          </w:tcPr>
          <w:p>
            <w:pPr>
              <w:widowControl/>
              <w:snapToGrid w:val="0"/>
              <w:spacing w:line="400" w:lineRule="exact"/>
              <w:jc w:val="center"/>
              <w:rPr>
                <w:rFonts w:hint="eastAsia" w:ascii="仿宋" w:hAnsi="仿宋" w:eastAsia="仿宋" w:cs="仿宋"/>
                <w:b/>
                <w:bCs/>
                <w:sz w:val="28"/>
                <w:szCs w:val="28"/>
              </w:rPr>
            </w:pPr>
            <w:r>
              <w:rPr>
                <w:rFonts w:hint="eastAsia" w:ascii="仿宋" w:hAnsi="仿宋" w:eastAsia="仿宋" w:cs="仿宋"/>
                <w:b/>
                <w:bCs/>
                <w:sz w:val="28"/>
                <w:szCs w:val="28"/>
              </w:rPr>
              <w:t>序号</w:t>
            </w:r>
          </w:p>
        </w:tc>
        <w:tc>
          <w:tcPr>
            <w:tcW w:w="2370" w:type="dxa"/>
            <w:shd w:val="clear" w:color="auto" w:fill="BEBEBE"/>
            <w:noWrap/>
            <w:vAlign w:val="center"/>
          </w:tcPr>
          <w:p>
            <w:pPr>
              <w:widowControl/>
              <w:snapToGrid w:val="0"/>
              <w:spacing w:line="400" w:lineRule="exact"/>
              <w:jc w:val="center"/>
              <w:rPr>
                <w:rFonts w:hint="eastAsia" w:ascii="仿宋" w:hAnsi="仿宋" w:eastAsia="仿宋" w:cs="仿宋"/>
                <w:b/>
                <w:bCs/>
                <w:sz w:val="28"/>
                <w:szCs w:val="28"/>
              </w:rPr>
            </w:pPr>
            <w:r>
              <w:rPr>
                <w:rFonts w:hint="eastAsia" w:ascii="仿宋" w:hAnsi="仿宋" w:eastAsia="仿宋" w:cs="仿宋"/>
                <w:b/>
                <w:bCs/>
                <w:sz w:val="28"/>
                <w:szCs w:val="28"/>
              </w:rPr>
              <w:t>论文编号</w:t>
            </w:r>
          </w:p>
        </w:tc>
        <w:tc>
          <w:tcPr>
            <w:tcW w:w="6151" w:type="dxa"/>
            <w:shd w:val="clear" w:color="auto" w:fill="BEBEBE"/>
            <w:noWrap/>
            <w:vAlign w:val="center"/>
          </w:tcPr>
          <w:p>
            <w:pPr>
              <w:widowControl/>
              <w:snapToGrid w:val="0"/>
              <w:spacing w:line="400" w:lineRule="exact"/>
              <w:jc w:val="center"/>
              <w:rPr>
                <w:rFonts w:hint="eastAsia" w:ascii="仿宋" w:hAnsi="仿宋" w:eastAsia="仿宋" w:cs="仿宋"/>
                <w:b/>
                <w:bCs/>
                <w:sz w:val="28"/>
                <w:szCs w:val="28"/>
              </w:rPr>
            </w:pPr>
            <w:r>
              <w:rPr>
                <w:rFonts w:hint="eastAsia" w:ascii="仿宋" w:hAnsi="仿宋" w:eastAsia="仿宋" w:cs="仿宋"/>
                <w:b/>
                <w:bCs/>
                <w:sz w:val="28"/>
                <w:szCs w:val="28"/>
              </w:rPr>
              <w:t>论文标题</w:t>
            </w:r>
          </w:p>
        </w:tc>
        <w:tc>
          <w:tcPr>
            <w:tcW w:w="1290" w:type="dxa"/>
            <w:shd w:val="clear" w:color="auto" w:fill="BEBEBE"/>
            <w:noWrap/>
            <w:vAlign w:val="center"/>
          </w:tcPr>
          <w:p>
            <w:pPr>
              <w:widowControl/>
              <w:snapToGrid w:val="0"/>
              <w:spacing w:line="400" w:lineRule="exact"/>
              <w:jc w:val="center"/>
              <w:rPr>
                <w:rFonts w:hint="eastAsia" w:ascii="仿宋" w:hAnsi="仿宋" w:eastAsia="仿宋" w:cs="仿宋"/>
                <w:b/>
                <w:bCs/>
                <w:spacing w:val="-11"/>
                <w:sz w:val="28"/>
                <w:szCs w:val="28"/>
              </w:rPr>
            </w:pPr>
            <w:r>
              <w:rPr>
                <w:rFonts w:hint="eastAsia" w:ascii="仿宋" w:hAnsi="仿宋" w:eastAsia="仿宋" w:cs="仿宋"/>
                <w:b/>
                <w:bCs/>
                <w:spacing w:val="-11"/>
                <w:sz w:val="28"/>
                <w:szCs w:val="28"/>
                <w:lang w:eastAsia="zh-CN"/>
              </w:rPr>
              <w:t>第一</w:t>
            </w:r>
            <w:r>
              <w:rPr>
                <w:rFonts w:hint="eastAsia" w:ascii="仿宋" w:hAnsi="仿宋" w:eastAsia="仿宋" w:cs="仿宋"/>
                <w:b/>
                <w:bCs/>
                <w:spacing w:val="-11"/>
                <w:sz w:val="28"/>
                <w:szCs w:val="28"/>
              </w:rPr>
              <w:t>作者</w:t>
            </w:r>
          </w:p>
        </w:tc>
        <w:tc>
          <w:tcPr>
            <w:tcW w:w="3885" w:type="dxa"/>
            <w:shd w:val="clear" w:color="auto" w:fill="BEBEBE"/>
            <w:noWrap/>
            <w:vAlign w:val="center"/>
          </w:tcPr>
          <w:p>
            <w:pPr>
              <w:widowControl/>
              <w:snapToGrid w:val="0"/>
              <w:spacing w:line="400" w:lineRule="exact"/>
              <w:jc w:val="center"/>
              <w:rPr>
                <w:rFonts w:hint="eastAsia" w:ascii="仿宋" w:hAnsi="仿宋" w:eastAsia="仿宋" w:cs="仿宋"/>
                <w:b/>
                <w:bCs/>
                <w:sz w:val="28"/>
                <w:szCs w:val="28"/>
              </w:rPr>
            </w:pPr>
            <w:r>
              <w:rPr>
                <w:rFonts w:hint="eastAsia" w:ascii="仿宋" w:hAnsi="仿宋" w:eastAsia="仿宋" w:cs="仿宋"/>
                <w:b/>
                <w:bCs/>
                <w:sz w:val="28"/>
                <w:szCs w:val="28"/>
              </w:rPr>
              <w:t>第一作者单位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551" w:type="dxa"/>
            <w:gridSpan w:val="5"/>
            <w:shd w:val="clear" w:color="auto" w:fill="FFFFFF"/>
            <w:noWrap/>
            <w:vAlign w:val="center"/>
          </w:tcPr>
          <w:p>
            <w:pPr>
              <w:widowControl/>
              <w:snapToGrid w:val="0"/>
              <w:spacing w:line="400" w:lineRule="exact"/>
              <w:jc w:val="center"/>
              <w:rPr>
                <w:rFonts w:hint="eastAsia" w:ascii="仿宋" w:hAnsi="仿宋" w:eastAsia="仿宋" w:cs="仿宋"/>
                <w:b/>
                <w:bCs/>
                <w:sz w:val="28"/>
                <w:szCs w:val="28"/>
              </w:rPr>
            </w:pPr>
            <w:r>
              <w:rPr>
                <w:rFonts w:hint="eastAsia" w:ascii="仿宋" w:hAnsi="仿宋" w:eastAsia="仿宋" w:cs="仿宋"/>
                <w:b/>
                <w:bCs/>
                <w:sz w:val="28"/>
                <w:szCs w:val="2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202109150000027</w:t>
            </w:r>
          </w:p>
        </w:tc>
        <w:tc>
          <w:tcPr>
            <w:tcW w:w="6151"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西北地区大规模风光火储一体化开发外送研究</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冯士睿</w:t>
            </w:r>
          </w:p>
        </w:tc>
        <w:tc>
          <w:tcPr>
            <w:tcW w:w="3885"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江苏省电力设计院有限公司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202109220000055</w:t>
            </w:r>
          </w:p>
        </w:tc>
        <w:tc>
          <w:tcPr>
            <w:tcW w:w="6151"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高温预热燃烧模式下污泥/煤粉混合物料NO排放和燃尽特性研究</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吕钊敏</w:t>
            </w:r>
          </w:p>
        </w:tc>
        <w:tc>
          <w:tcPr>
            <w:tcW w:w="3885"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202109150000004</w:t>
            </w:r>
          </w:p>
        </w:tc>
        <w:tc>
          <w:tcPr>
            <w:tcW w:w="6151"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电网黑启动发电机自励磁及系统过电压计算</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唐  震</w:t>
            </w:r>
          </w:p>
        </w:tc>
        <w:tc>
          <w:tcPr>
            <w:tcW w:w="3885"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国网山西省电力公司电力科学研究院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202109150000035</w:t>
            </w:r>
          </w:p>
        </w:tc>
        <w:tc>
          <w:tcPr>
            <w:tcW w:w="6151"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氢能生产中基于生物质炭电催化剂的析氢性能优化</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邹雅珺</w:t>
            </w:r>
          </w:p>
        </w:tc>
        <w:tc>
          <w:tcPr>
            <w:tcW w:w="3885"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西安交通大学电气工程学院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202110070000018</w:t>
            </w:r>
          </w:p>
        </w:tc>
        <w:tc>
          <w:tcPr>
            <w:tcW w:w="6151"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基于激光点云的输电线路杆塔倾斜检测算法</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徐梁刚</w:t>
            </w:r>
          </w:p>
        </w:tc>
        <w:tc>
          <w:tcPr>
            <w:tcW w:w="3885"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贵州电网有限责任公司输电运行检修分公司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551" w:type="dxa"/>
            <w:gridSpan w:val="5"/>
            <w:shd w:val="clear" w:color="auto" w:fill="FFFFFF"/>
            <w:noWrap/>
            <w:vAlign w:val="center"/>
          </w:tcPr>
          <w:p>
            <w:pPr>
              <w:widowControl/>
              <w:snapToGrid w:val="0"/>
              <w:spacing w:line="400" w:lineRule="exact"/>
              <w:jc w:val="center"/>
              <w:rPr>
                <w:rFonts w:hint="eastAsia" w:ascii="仿宋" w:hAnsi="仿宋" w:eastAsia="仿宋" w:cs="仿宋"/>
                <w:b/>
                <w:bCs/>
                <w:sz w:val="28"/>
                <w:szCs w:val="28"/>
              </w:rPr>
            </w:pPr>
            <w:r>
              <w:rPr>
                <w:rFonts w:hint="eastAsia" w:ascii="仿宋" w:hAnsi="仿宋" w:eastAsia="仿宋" w:cs="仿宋"/>
                <w:b/>
                <w:bCs/>
                <w:sz w:val="28"/>
                <w:szCs w:val="2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202110090000055</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集成直流操作回路在线监测功能的保护装置的研究与应用</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王闰羿</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南京国电南自电网自动化有限公司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202109230000229</w:t>
            </w:r>
          </w:p>
        </w:tc>
        <w:tc>
          <w:tcPr>
            <w:tcW w:w="6151"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电力电缆排管多目标优化敷设方法研究</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王  剑</w:t>
            </w:r>
          </w:p>
        </w:tc>
        <w:tc>
          <w:tcPr>
            <w:tcW w:w="3885"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中国电力科学研究院有限公司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202109230000180</w:t>
            </w:r>
          </w:p>
        </w:tc>
        <w:tc>
          <w:tcPr>
            <w:tcW w:w="6151"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基于无人机影像深度学习算法的输电线路主要缺陷智能识别技术和应用研究</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张  阳</w:t>
            </w:r>
          </w:p>
        </w:tc>
        <w:tc>
          <w:tcPr>
            <w:tcW w:w="3885"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华北电力设计院有限公司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202109230000128</w:t>
            </w:r>
          </w:p>
        </w:tc>
        <w:tc>
          <w:tcPr>
            <w:tcW w:w="6151"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酸性条件下失活脱硝催化剂中钒浸出实验研究</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邓立锋</w:t>
            </w:r>
          </w:p>
        </w:tc>
        <w:tc>
          <w:tcPr>
            <w:tcW w:w="3885"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龙净科杰环保技术(上海)有限公司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202110090000027</w:t>
            </w:r>
          </w:p>
        </w:tc>
        <w:tc>
          <w:tcPr>
            <w:tcW w:w="6151"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基于高阶累积量的换流变压器局部放电脉冲截断方法</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杨定乾</w:t>
            </w:r>
          </w:p>
        </w:tc>
        <w:tc>
          <w:tcPr>
            <w:tcW w:w="3885"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国网新疆电力有限公司电力科学研究院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202109230000104</w:t>
            </w:r>
          </w:p>
        </w:tc>
        <w:tc>
          <w:tcPr>
            <w:tcW w:w="6151"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输电线路多参量集成监测方案与地线机器人协同巡检模式探讨</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易永亮</w:t>
            </w:r>
          </w:p>
        </w:tc>
        <w:tc>
          <w:tcPr>
            <w:tcW w:w="3885" w:type="dxa"/>
            <w:noWrap/>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中国南方电网有限责任公司超高压输电公司贵阳局、重庆大学输配电装备及系统安全与新技术国家重点实验室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202110080000009</w:t>
            </w:r>
          </w:p>
        </w:tc>
        <w:tc>
          <w:tcPr>
            <w:tcW w:w="6151"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燃气轮机透平叶片端壁气膜孔布局优化设计研究</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刘战胜</w:t>
            </w:r>
          </w:p>
        </w:tc>
        <w:tc>
          <w:tcPr>
            <w:tcW w:w="3885"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西安热工研究院有限公司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202110080000033</w:t>
            </w:r>
          </w:p>
        </w:tc>
        <w:tc>
          <w:tcPr>
            <w:tcW w:w="6151"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考虑风速分布的永磁风力发电机组叶轮不平衡故障特性分析</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绳晓玲</w:t>
            </w:r>
          </w:p>
        </w:tc>
        <w:tc>
          <w:tcPr>
            <w:tcW w:w="3885"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华北电力大学（保定）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202109230000194</w:t>
            </w:r>
          </w:p>
        </w:tc>
        <w:tc>
          <w:tcPr>
            <w:tcW w:w="6151"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特高压直流受端电网二三道防线当值策略在线评估预警</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谢丹丹</w:t>
            </w:r>
          </w:p>
        </w:tc>
        <w:tc>
          <w:tcPr>
            <w:tcW w:w="3885"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国电南瑞科技股份有限公司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202110080000046</w:t>
            </w:r>
          </w:p>
        </w:tc>
        <w:tc>
          <w:tcPr>
            <w:tcW w:w="6151"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大容量双水内冷发电机关键技术开发及验证</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张  燕</w:t>
            </w:r>
          </w:p>
        </w:tc>
        <w:tc>
          <w:tcPr>
            <w:tcW w:w="3885"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上海电气电站设备有限公司发电机厂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default" w:ascii="仿宋" w:hAnsi="仿宋" w:eastAsia="仿宋" w:cs="仿宋"/>
                <w:sz w:val="28"/>
                <w:szCs w:val="28"/>
                <w:lang w:val="en-US" w:eastAsia="zh-CN"/>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202109150000081</w:t>
            </w:r>
          </w:p>
        </w:tc>
        <w:tc>
          <w:tcPr>
            <w:tcW w:w="6151"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特高压GIS现场检漏技术研究与工程应用</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王志强</w:t>
            </w:r>
          </w:p>
        </w:tc>
        <w:tc>
          <w:tcPr>
            <w:tcW w:w="3885"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国网特高压建设公司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default" w:ascii="仿宋" w:hAnsi="仿宋" w:eastAsia="仿宋" w:cs="仿宋"/>
                <w:sz w:val="28"/>
                <w:szCs w:val="28"/>
                <w:lang w:val="en-US" w:eastAsia="zh-CN"/>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202109150000089</w:t>
            </w:r>
          </w:p>
        </w:tc>
        <w:tc>
          <w:tcPr>
            <w:tcW w:w="6151"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光伏电站一次调频工程应用研究</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陈政宏</w:t>
            </w:r>
          </w:p>
        </w:tc>
        <w:tc>
          <w:tcPr>
            <w:tcW w:w="3885"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南京南瑞继保电气有限公司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default" w:ascii="仿宋" w:hAnsi="仿宋" w:eastAsia="仿宋" w:cs="仿宋"/>
                <w:sz w:val="28"/>
                <w:szCs w:val="28"/>
                <w:lang w:val="en-US" w:eastAsia="zh-CN"/>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202109230000165</w:t>
            </w:r>
          </w:p>
        </w:tc>
        <w:tc>
          <w:tcPr>
            <w:tcW w:w="6151"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基于改进VGG的电力设备声频分类技术研究</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赵佳琪</w:t>
            </w:r>
          </w:p>
        </w:tc>
        <w:tc>
          <w:tcPr>
            <w:tcW w:w="3885"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中国电力工程顾问集团东北电力设计院有限公司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default" w:ascii="仿宋" w:hAnsi="仿宋" w:eastAsia="仿宋" w:cs="仿宋"/>
                <w:sz w:val="28"/>
                <w:szCs w:val="28"/>
                <w:lang w:val="en-US" w:eastAsia="zh-CN"/>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202110090000064</w:t>
            </w:r>
          </w:p>
        </w:tc>
        <w:tc>
          <w:tcPr>
            <w:tcW w:w="6151"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配电网故障自愈关键技术及恢复策略研究</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陈  栋</w:t>
            </w:r>
          </w:p>
        </w:tc>
        <w:tc>
          <w:tcPr>
            <w:tcW w:w="3885" w:type="dxa"/>
            <w:noWrap/>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国电南京自动化股份有限公司，南京国电南自电网自动化有限公司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default" w:ascii="仿宋" w:hAnsi="仿宋" w:eastAsia="仿宋" w:cs="仿宋"/>
                <w:sz w:val="28"/>
                <w:szCs w:val="28"/>
                <w:lang w:val="en-US" w:eastAsia="zh-CN"/>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202109140000008</w:t>
            </w:r>
          </w:p>
        </w:tc>
        <w:tc>
          <w:tcPr>
            <w:tcW w:w="6151" w:type="dxa"/>
            <w:noWrap/>
            <w:vAlign w:val="center"/>
          </w:tcPr>
          <w:p>
            <w:pPr>
              <w:widowControl/>
              <w:snapToGrid w:val="0"/>
              <w:spacing w:line="400" w:lineRule="exact"/>
              <w:jc w:val="center"/>
              <w:rPr>
                <w:rFonts w:hint="eastAsia" w:ascii="仿宋" w:hAnsi="仿宋" w:eastAsia="仿宋" w:cs="仿宋"/>
                <w:spacing w:val="-11"/>
                <w:sz w:val="28"/>
                <w:szCs w:val="28"/>
              </w:rPr>
            </w:pPr>
            <w:r>
              <w:rPr>
                <w:rFonts w:hint="eastAsia" w:ascii="仿宋" w:hAnsi="仿宋" w:eastAsia="仿宋" w:cs="仿宋"/>
                <w:spacing w:val="-11"/>
                <w:sz w:val="28"/>
                <w:szCs w:val="28"/>
                <w:lang w:val="en-US" w:eastAsia="zh-CN"/>
              </w:rPr>
              <w:t>热电联产机组联合电极锅炉深度调峰性能试验研究</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徐  斌</w:t>
            </w:r>
          </w:p>
        </w:tc>
        <w:tc>
          <w:tcPr>
            <w:tcW w:w="3885"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宁夏电投西夏热电有限公司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default" w:ascii="仿宋" w:hAnsi="仿宋" w:eastAsia="仿宋" w:cs="仿宋"/>
                <w:sz w:val="28"/>
                <w:szCs w:val="28"/>
                <w:lang w:val="en-US" w:eastAsia="zh-CN"/>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202110010000004</w:t>
            </w:r>
          </w:p>
        </w:tc>
        <w:tc>
          <w:tcPr>
            <w:tcW w:w="6151"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风光水打捆外送的协同优化调度策略研究</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齐海杰</w:t>
            </w:r>
          </w:p>
        </w:tc>
        <w:tc>
          <w:tcPr>
            <w:tcW w:w="3885"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先进输电技术国家重点实验室(全球能源互联网研究院有限公司)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default" w:ascii="仿宋" w:hAnsi="仿宋" w:eastAsia="仿宋" w:cs="仿宋"/>
                <w:sz w:val="28"/>
                <w:szCs w:val="28"/>
                <w:lang w:val="en-US" w:eastAsia="zh-CN"/>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202109180000003</w:t>
            </w:r>
          </w:p>
        </w:tc>
        <w:tc>
          <w:tcPr>
            <w:tcW w:w="6151"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分布式统一潮流控制器控制保护系统架构与配置研究</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汪大全</w:t>
            </w:r>
          </w:p>
        </w:tc>
        <w:tc>
          <w:tcPr>
            <w:tcW w:w="3885"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南京南瑞继保电气有限公司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default" w:ascii="仿宋" w:hAnsi="仿宋" w:eastAsia="仿宋" w:cs="仿宋"/>
                <w:sz w:val="28"/>
                <w:szCs w:val="28"/>
                <w:lang w:val="en-US" w:eastAsia="zh-CN"/>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202109230000059</w:t>
            </w:r>
          </w:p>
        </w:tc>
        <w:tc>
          <w:tcPr>
            <w:tcW w:w="6151"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基于用户用能满意度的第五代区域供热供冷系统参与短期电力需求响应策略研究</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刘晓东</w:t>
            </w:r>
          </w:p>
        </w:tc>
        <w:tc>
          <w:tcPr>
            <w:tcW w:w="3885"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国网江苏省电力有限公司南京供电分公司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default" w:ascii="仿宋" w:hAnsi="仿宋" w:eastAsia="仿宋" w:cs="仿宋"/>
                <w:sz w:val="28"/>
                <w:szCs w:val="28"/>
                <w:lang w:val="en-US" w:eastAsia="zh-CN"/>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202110090000016</w:t>
            </w:r>
          </w:p>
        </w:tc>
        <w:tc>
          <w:tcPr>
            <w:tcW w:w="6151"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计及碳交易和调峰灵活性的多场景热电负荷优化分配</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王宁玲</w:t>
            </w:r>
          </w:p>
        </w:tc>
        <w:tc>
          <w:tcPr>
            <w:tcW w:w="3885"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华北电力大学能源动力与机械工程学院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default" w:ascii="仿宋" w:hAnsi="仿宋" w:eastAsia="仿宋" w:cs="仿宋"/>
                <w:sz w:val="28"/>
                <w:szCs w:val="28"/>
                <w:lang w:val="en-US" w:eastAsia="zh-CN"/>
              </w:rPr>
            </w:pPr>
          </w:p>
        </w:tc>
        <w:tc>
          <w:tcPr>
            <w:tcW w:w="2370" w:type="dxa"/>
            <w:noWrap/>
            <w:vAlign w:val="center"/>
          </w:tcPr>
          <w:p>
            <w:pPr>
              <w:widowControl/>
              <w:snapToGrid w:val="0"/>
              <w:spacing w:line="400" w:lineRule="exact"/>
              <w:jc w:val="center"/>
              <w:rPr>
                <w:rFonts w:hint="eastAsia" w:ascii="仿宋" w:hAnsi="仿宋" w:eastAsia="仿宋" w:cs="仿宋"/>
                <w:sz w:val="28"/>
                <w:szCs w:val="28"/>
              </w:rPr>
            </w:pPr>
            <w:r>
              <w:rPr>
                <w:rFonts w:hint="default" w:ascii="仿宋" w:hAnsi="仿宋" w:eastAsia="仿宋" w:cs="仿宋"/>
                <w:sz w:val="28"/>
                <w:szCs w:val="28"/>
                <w:lang w:val="en-US" w:eastAsia="zh-CN"/>
              </w:rPr>
              <w:t>202109230000224</w:t>
            </w:r>
          </w:p>
        </w:tc>
        <w:tc>
          <w:tcPr>
            <w:tcW w:w="6151"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基于IFCM-DNN裁决网络的变压器故障诊断方法研究</w:t>
            </w:r>
          </w:p>
        </w:tc>
        <w:tc>
          <w:tcPr>
            <w:tcW w:w="1290"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梁振宗</w:t>
            </w:r>
          </w:p>
        </w:tc>
        <w:tc>
          <w:tcPr>
            <w:tcW w:w="3885" w:type="dxa"/>
            <w:noWrap/>
            <w:vAlign w:val="center"/>
          </w:tcPr>
          <w:p>
            <w:pPr>
              <w:widowControl/>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大连理工大学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551" w:type="dxa"/>
            <w:gridSpan w:val="5"/>
            <w:shd w:val="clear" w:color="auto" w:fill="FFFFFF"/>
            <w:noWrap/>
            <w:vAlign w:val="center"/>
          </w:tcPr>
          <w:p>
            <w:pPr>
              <w:widowControl/>
              <w:snapToGrid w:val="0"/>
              <w:spacing w:line="400" w:lineRule="exact"/>
              <w:jc w:val="center"/>
              <w:rPr>
                <w:rFonts w:hint="eastAsia" w:ascii="仿宋" w:hAnsi="仿宋" w:eastAsia="仿宋" w:cs="仿宋"/>
                <w:b/>
                <w:bCs/>
                <w:sz w:val="28"/>
                <w:szCs w:val="28"/>
              </w:rPr>
            </w:pPr>
            <w:r>
              <w:rPr>
                <w:rFonts w:hint="eastAsia" w:ascii="仿宋" w:hAnsi="仿宋" w:eastAsia="仿宋" w:cs="仿宋"/>
                <w:b/>
                <w:bCs/>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202108180000013</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特高压交流输电线路用双摆防舞器电晕特性试验研究</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吕  铎</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国家电网有限公司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202110090000010</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山地微型桩基础设计以及施工机械研制</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刘  泉</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国网经济技术研究院有限公司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202107310000181</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500kV避雷器联合加压试验装置研制与试验</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谢鹏康</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国网湖南省电力有限公司防灾减灾中心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202109230000067</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基于稳态暂态分析10kV配网合环转电操作研究与试验</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王鲜花</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内蒙古电力集团有限责任公司巴彦淖尔电业局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202109260000005</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基于烟气余热利用的Kalina循环热力学性能研究</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郑少雄</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西安热工研究院有限公司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202110030000011</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白鹤滩-江苏混合级联特高压直流运行机理及应用优势</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肖  鲲</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国家电网有限公司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202109170000016</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电力行业智慧能源站交直流微网系统设计研究</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范中泽</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山东电力工程咨询院有限公司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202109230000076</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温度对环氧浸纸材料中电树枝生长特性的影响规律研究</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邵宇航</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202109230000222</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500 kV变压器表面振动信号测量及其频率特性分析</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梁振宗</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大连理工大学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202108190000071</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新一代特高压线路高强钢管塔标准化设计与建设实践</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吕  铎</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国家电网有限公司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202110080000025</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基于配电网一次侧故障注入的就地式FA测试技术研究</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何洪流</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贵州电网有限责任公司电力科学研究院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202109110000003</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电缆隧道智能可视化移动检测系统研究应用分析</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黄双得</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云南电网有限责任公司昆明供电局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202109230000110</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基于WEB访问的B/S架构超高压直流输电控制保护定值与关键参数智能校核系统设计及应用</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邱志远</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中国南方电网有限责任公司超高压输电公司贵阳局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202109170000017</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熔融碳酸盐燃料电池双极板流场流道/脊宽 模拟研究</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程  健</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中国华能集团清洁能源技术研究院有限公司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202109230000111</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基于三维设计的变电站工程模型分类与编码技术研究</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李建勤</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国网经济技术研究院有限公司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202108260000030</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同塔双回输电线路故障行波选相方法研究</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周佺桢</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中国能源建设集团江苏省电力设计院有限公司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202109170000014</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熔融碳酸盐燃料电池双极板在高温条件下的应力及变形数值模拟</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张瑞云</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中国华能集团清洁能源技术研究院有限公司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202109060000005</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基于内部㶲参数的核电二回路故障诊断</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康家豪</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华北电力大学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202109290000002</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改性HR3C在模拟煤灰和烟气环境中的腐蚀行为</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黄锦阳</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西安热工研究院有限公司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202109090000027</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动叶可调轴流送风机双速改造节能分析</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张海龙</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西安热工研究院有限公司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202109230000001</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超声频谱分析技术在奥氏体不锈钢组织评价中的应用研究</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孙璞杰</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西安热工研究院有限公司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202109140000034</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下击暴流作用下输电塔极限推覆分析</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罗啸宇</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广东电网有限责任公司电力科学研究院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202110090000024</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适应于直流新能源/储能接入的三电平Buck-Boost变换器建模及控制器设计</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栾思平</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云南电网有限责任公司电力科学研究院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202110070000004</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双向超低扬程贯流泵飞逸特性的对比分析</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许  哲</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河海大学水利水电学院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202110090000065</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发电厂凝结水精处理系统远程监控技术及应用案例</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田文华</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西安热工研究院有限公司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202108240000011</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输电线路线条风振系数研究</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徐海江</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电力规划设计总院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202109170000003</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张北县季节冻土标准冻结深度研究</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吉咸伟</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上海电力设计院有限公司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202109190000027</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核能供热改造方案研究</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康家豪</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华北电力大学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202109230000199</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塔式直流锅炉低负荷再热汽温提升研究</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常经纬</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西安热工研究院有限公司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202109150000038</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油纸绝缘系统中绝缘纸产生5-羟甲基糠醛的规律</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彭  磊</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广东电网有限责任公司电力科学研究院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202109270000006</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双跨转子系统质量不平衡故障模拟与振动特性实验研究</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陈尚年</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长沙理工大学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202109230000154</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典型W型锅炉SCR脱硝催化剂全寿命管理</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姚  燕</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西安热工研究院有限公司苏州分公司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202109230000185</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1000MW燃煤机组锅炉冷灰斗浇注料结焦全过程应对及分析</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梅振锋</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西安热工研究院有限公司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202109230000070</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基于GIM标准的变电站二次图纸建模研究</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谢  俊</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南京南瑞继保电气有限公司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5" w:type="dxa"/>
            <w:noWrap/>
            <w:vAlign w:val="center"/>
          </w:tcPr>
          <w:p>
            <w:pPr>
              <w:widowControl/>
              <w:numPr>
                <w:ilvl w:val="0"/>
                <w:numId w:val="1"/>
              </w:numPr>
              <w:snapToGrid w:val="0"/>
              <w:spacing w:line="400" w:lineRule="exact"/>
              <w:ind w:left="425" w:leftChars="0" w:hanging="425" w:firstLineChars="0"/>
              <w:jc w:val="center"/>
              <w:rPr>
                <w:rFonts w:hint="eastAsia" w:ascii="仿宋" w:hAnsi="仿宋" w:eastAsia="仿宋" w:cs="仿宋"/>
                <w:sz w:val="28"/>
                <w:szCs w:val="28"/>
              </w:rPr>
            </w:pPr>
          </w:p>
        </w:tc>
        <w:tc>
          <w:tcPr>
            <w:tcW w:w="237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202109060000017</w:t>
            </w:r>
          </w:p>
        </w:tc>
        <w:tc>
          <w:tcPr>
            <w:tcW w:w="6151"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微电网无功电压分析及控制策略</w:t>
            </w:r>
          </w:p>
        </w:tc>
        <w:tc>
          <w:tcPr>
            <w:tcW w:w="1290"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栾霄雷</w:t>
            </w:r>
          </w:p>
        </w:tc>
        <w:tc>
          <w:tcPr>
            <w:tcW w:w="3885" w:type="dxa"/>
            <w:noWrap/>
            <w:vAlign w:val="center"/>
          </w:tcPr>
          <w:p>
            <w:pPr>
              <w:widowControl/>
              <w:snapToGrid w:val="0"/>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南京南瑞继保电气工程有限公司</w:t>
            </w:r>
          </w:p>
        </w:tc>
      </w:tr>
    </w:tbl>
    <w:p>
      <w:pPr>
        <w:wordWrap w:val="0"/>
        <w:adjustRightInd w:val="0"/>
        <w:snapToGrid w:val="0"/>
        <w:spacing w:line="580" w:lineRule="exact"/>
        <w:ind w:right="640"/>
        <w:jc w:val="center"/>
        <w:rPr>
          <w:rFonts w:hint="eastAsia" w:ascii="仿宋" w:hAnsi="仿宋" w:eastAsia="仿宋"/>
          <w:color w:val="000000"/>
          <w:sz w:val="32"/>
          <w:szCs w:val="32"/>
        </w:rPr>
      </w:pPr>
    </w:p>
    <w:p>
      <w:bookmarkStart w:id="0" w:name="_GoBack"/>
      <w:bookmarkEnd w:id="0"/>
    </w:p>
    <w:sectPr>
      <w:pgSz w:w="16838" w:h="11906" w:orient="landscape"/>
      <w:pgMar w:top="1588" w:right="2098" w:bottom="1474" w:left="1985"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公文小标宋简">
    <w:altName w:val="宋体"/>
    <w:panose1 w:val="02010609010101010101"/>
    <w:charset w:val="86"/>
    <w:family w:val="moder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B74986"/>
    <w:multiLevelType w:val="singleLevel"/>
    <w:tmpl w:val="D9B74986"/>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22718"/>
    <w:rsid w:val="74022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2021-11-25T03:38:00Z</dcterms:created>
  <dc:creator>yc melody</dc:creator>
  <cp:lastModifiedBy>yc melody</cp:lastModifiedBy>
  <dcterms:modified xsi:type="dcterms:W3CDTF">2021-11-25T03:38:13Z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D0E38C45263E4DA6AEF98527873C3D6D</vt:lpwstr>
  </property>
</Properties>
</file>