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2E1" w:rsidRDefault="00160AA8">
      <w:pPr>
        <w:pStyle w:val="a8"/>
        <w:jc w:val="left"/>
        <w:rPr>
          <w:rFonts w:ascii="黑体" w:eastAsia="黑体" w:hAnsi="黑体"/>
          <w:b w:val="0"/>
        </w:rPr>
      </w:pPr>
      <w:r>
        <w:rPr>
          <w:rFonts w:ascii="黑体" w:eastAsia="黑体" w:hAnsi="黑体"/>
          <w:b w:val="0"/>
        </w:rPr>
        <w:t>附件</w:t>
      </w:r>
      <w:r>
        <w:rPr>
          <w:rFonts w:ascii="黑体" w:eastAsia="黑体" w:hAnsi="黑体" w:hint="eastAsia"/>
          <w:b w:val="0"/>
        </w:rPr>
        <w:t>8</w:t>
      </w:r>
    </w:p>
    <w:p w:rsidR="007C22E1" w:rsidRDefault="00160AA8">
      <w:pPr>
        <w:jc w:val="center"/>
        <w:rPr>
          <w:rFonts w:ascii="黑体" w:eastAsia="黑体" w:hAnsi="黑体"/>
          <w:bCs/>
          <w:sz w:val="32"/>
          <w:szCs w:val="32"/>
        </w:rPr>
      </w:pPr>
      <w:r>
        <w:rPr>
          <w:rFonts w:ascii="黑体" w:eastAsia="黑体" w:hAnsi="黑体" w:hint="eastAsia"/>
          <w:bCs/>
          <w:sz w:val="32"/>
          <w:szCs w:val="32"/>
        </w:rPr>
        <w:t>编制说明（格式）</w:t>
      </w:r>
    </w:p>
    <w:p w:rsidR="007C22E1" w:rsidRDefault="007C22E1">
      <w:pPr>
        <w:pStyle w:val="ad"/>
        <w:ind w:firstLineChars="0" w:firstLine="0"/>
      </w:pPr>
    </w:p>
    <w:p w:rsidR="007C22E1" w:rsidRDefault="007C22E1">
      <w:pPr>
        <w:pStyle w:val="ad"/>
        <w:ind w:firstLineChars="0" w:firstLine="0"/>
      </w:pPr>
    </w:p>
    <w:p w:rsidR="007C22E1" w:rsidRDefault="007C22E1">
      <w:pPr>
        <w:pStyle w:val="ad"/>
        <w:ind w:firstLineChars="0" w:firstLine="0"/>
      </w:pPr>
    </w:p>
    <w:p w:rsidR="007C22E1" w:rsidRDefault="007C22E1">
      <w:pPr>
        <w:pStyle w:val="ad"/>
        <w:ind w:firstLineChars="0" w:firstLine="0"/>
      </w:pPr>
    </w:p>
    <w:p w:rsidR="007C22E1" w:rsidRDefault="007C22E1">
      <w:pPr>
        <w:pStyle w:val="ad"/>
        <w:ind w:firstLineChars="0" w:firstLine="0"/>
      </w:pPr>
    </w:p>
    <w:p w:rsidR="007C22E1" w:rsidRDefault="007C22E1">
      <w:pPr>
        <w:pStyle w:val="ad"/>
        <w:ind w:firstLineChars="0" w:firstLine="0"/>
      </w:pPr>
    </w:p>
    <w:p w:rsidR="007C22E1" w:rsidRDefault="007C22E1">
      <w:pPr>
        <w:pStyle w:val="ad"/>
        <w:ind w:firstLineChars="0" w:firstLine="0"/>
      </w:pPr>
    </w:p>
    <w:p w:rsidR="007C22E1" w:rsidRDefault="007C22E1">
      <w:pPr>
        <w:pStyle w:val="ad"/>
        <w:ind w:firstLineChars="0" w:firstLine="0"/>
      </w:pPr>
    </w:p>
    <w:p w:rsidR="007C22E1" w:rsidRDefault="007C22E1">
      <w:pPr>
        <w:pStyle w:val="ad"/>
        <w:ind w:firstLineChars="0" w:firstLine="0"/>
      </w:pPr>
    </w:p>
    <w:p w:rsidR="007C22E1" w:rsidRDefault="007C22E1">
      <w:pPr>
        <w:pStyle w:val="ad"/>
        <w:ind w:firstLineChars="0" w:firstLine="0"/>
      </w:pPr>
    </w:p>
    <w:p w:rsidR="007C22E1" w:rsidRDefault="00160AA8">
      <w:pPr>
        <w:pStyle w:val="ad"/>
        <w:ind w:firstLineChars="0" w:firstLine="0"/>
        <w:jc w:val="center"/>
        <w:rPr>
          <w:rFonts w:ascii="黑体" w:eastAsia="黑体"/>
          <w:sz w:val="44"/>
          <w:szCs w:val="44"/>
        </w:rPr>
      </w:pPr>
      <w:r>
        <w:rPr>
          <w:rFonts w:ascii="黑体" w:eastAsia="黑体" w:hint="eastAsia"/>
          <w:sz w:val="44"/>
          <w:szCs w:val="44"/>
        </w:rPr>
        <w:t>电气工程类工程能力评价规范</w:t>
      </w:r>
    </w:p>
    <w:p w:rsidR="007C22E1" w:rsidRDefault="007C22E1">
      <w:pPr>
        <w:pStyle w:val="ad"/>
      </w:pPr>
    </w:p>
    <w:p w:rsidR="007C22E1" w:rsidRDefault="007C22E1">
      <w:pPr>
        <w:pStyle w:val="ad"/>
      </w:pPr>
    </w:p>
    <w:p w:rsidR="007C22E1" w:rsidRDefault="00160AA8">
      <w:pPr>
        <w:pStyle w:val="a"/>
        <w:numPr>
          <w:ilvl w:val="0"/>
          <w:numId w:val="0"/>
        </w:numPr>
        <w:jc w:val="center"/>
        <w:rPr>
          <w:sz w:val="28"/>
          <w:szCs w:val="28"/>
        </w:rPr>
      </w:pPr>
      <w:bookmarkStart w:id="0" w:name="_Toc298937368"/>
      <w:bookmarkStart w:id="1" w:name="_Toc298937333"/>
      <w:bookmarkStart w:id="2" w:name="_Toc304825093"/>
      <w:bookmarkStart w:id="3" w:name="_Toc304825020"/>
      <w:bookmarkStart w:id="4" w:name="_Toc298938646"/>
      <w:bookmarkStart w:id="5" w:name="_Toc304402675"/>
      <w:bookmarkStart w:id="6" w:name="_Toc309995492"/>
      <w:bookmarkStart w:id="7" w:name="_Toc320020914"/>
      <w:bookmarkStart w:id="8" w:name="_Toc309995410"/>
      <w:bookmarkStart w:id="9" w:name="_Toc309996019"/>
      <w:bookmarkStart w:id="10" w:name="_Toc309997060"/>
      <w:bookmarkStart w:id="11" w:name="_Toc309995598"/>
      <w:bookmarkStart w:id="12" w:name="_Toc298937430"/>
      <w:bookmarkStart w:id="13" w:name="_Toc310002657"/>
      <w:bookmarkStart w:id="14" w:name="_Toc309993200"/>
      <w:bookmarkStart w:id="15" w:name="_Toc318613715"/>
      <w:bookmarkStart w:id="16" w:name="_Toc298937620"/>
      <w:bookmarkStart w:id="17" w:name="_Toc298937473"/>
      <w:bookmarkStart w:id="18" w:name="_Toc298937560"/>
      <w:bookmarkStart w:id="19" w:name="_Toc304828086"/>
      <w:bookmarkStart w:id="20" w:name="_Toc304824981"/>
      <w:bookmarkStart w:id="21" w:name="_Toc309994571"/>
      <w:bookmarkStart w:id="22" w:name="_Toc298938794"/>
      <w:r>
        <w:rPr>
          <w:rFonts w:hint="eastAsia"/>
          <w:sz w:val="28"/>
          <w:szCs w:val="28"/>
        </w:rPr>
        <w:t>编 制 说</w:t>
      </w:r>
      <w:bookmarkEnd w:id="0"/>
      <w:bookmarkEnd w:id="1"/>
      <w:r>
        <w:rPr>
          <w:rFonts w:hint="eastAsia"/>
          <w:sz w:val="28"/>
          <w:szCs w:val="28"/>
        </w:rPr>
        <w:t> 明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7C22E1" w:rsidRDefault="007C22E1">
      <w:pPr>
        <w:pStyle w:val="ad"/>
        <w:ind w:firstLine="560"/>
        <w:jc w:val="center"/>
        <w:rPr>
          <w:rFonts w:ascii="黑体" w:eastAsia="黑体"/>
          <w:sz w:val="28"/>
          <w:szCs w:val="28"/>
        </w:rPr>
      </w:pPr>
    </w:p>
    <w:p w:rsidR="007C22E1" w:rsidRDefault="007C22E1">
      <w:pPr>
        <w:pStyle w:val="ad"/>
        <w:ind w:firstLine="560"/>
        <w:jc w:val="center"/>
        <w:rPr>
          <w:rFonts w:ascii="黑体" w:eastAsia="黑体"/>
          <w:sz w:val="28"/>
          <w:szCs w:val="28"/>
        </w:rPr>
      </w:pPr>
    </w:p>
    <w:p w:rsidR="007C22E1" w:rsidRDefault="007C22E1">
      <w:pPr>
        <w:pStyle w:val="ad"/>
        <w:sectPr w:rsidR="007C22E1">
          <w:headerReference w:type="even" r:id="rId9"/>
          <w:headerReference w:type="default" r:id="rId10"/>
          <w:footerReference w:type="default" r:id="rId11"/>
          <w:pgSz w:w="11906" w:h="16838"/>
          <w:pgMar w:top="567" w:right="1134" w:bottom="1134" w:left="1417" w:header="1418" w:footer="1134" w:gutter="0"/>
          <w:cols w:space="720"/>
          <w:formProt w:val="0"/>
          <w:docGrid w:type="lines" w:linePitch="312"/>
        </w:sectPr>
      </w:pPr>
    </w:p>
    <w:p w:rsidR="007C22E1" w:rsidRDefault="00160AA8">
      <w:pPr>
        <w:pStyle w:val="af3"/>
      </w:pPr>
      <w:bookmarkStart w:id="23" w:name="_Toc513731021"/>
      <w:bookmarkStart w:id="24" w:name="_Toc513731109"/>
      <w:bookmarkStart w:id="25" w:name="_Toc309992160"/>
      <w:r>
        <w:rPr>
          <w:rFonts w:hint="eastAsia"/>
        </w:rPr>
        <w:lastRenderedPageBreak/>
        <w:t>目次</w:t>
      </w:r>
      <w:bookmarkEnd w:id="23"/>
      <w:bookmarkEnd w:id="24"/>
      <w:bookmarkEnd w:id="25"/>
    </w:p>
    <w:p w:rsidR="007C22E1" w:rsidRDefault="00160AA8">
      <w:pPr>
        <w:pStyle w:val="10"/>
        <w:spacing w:before="78" w:after="78"/>
        <w:rPr>
          <w:rFonts w:ascii="Calibri" w:hAnsi="Calibri"/>
          <w:szCs w:val="22"/>
        </w:rPr>
      </w:pPr>
      <w:r>
        <w:rPr>
          <w:rFonts w:hAnsi="宋体"/>
        </w:rPr>
        <w:fldChar w:fldCharType="begin"/>
      </w:r>
      <w:r>
        <w:rPr>
          <w:rFonts w:hAnsi="宋体"/>
        </w:rPr>
        <w:instrText xml:space="preserve"> </w:instrText>
      </w:r>
      <w:r>
        <w:rPr>
          <w:rFonts w:hAnsi="宋体" w:hint="eastAsia"/>
        </w:rPr>
        <w:instrText>TOC \o "1-1" \h \z \u</w:instrText>
      </w:r>
      <w:r>
        <w:rPr>
          <w:rFonts w:hAnsi="宋体"/>
        </w:rPr>
        <w:instrText xml:space="preserve"> </w:instrText>
      </w:r>
      <w:r>
        <w:rPr>
          <w:rFonts w:hAnsi="宋体"/>
        </w:rPr>
        <w:fldChar w:fldCharType="separate"/>
      </w:r>
    </w:p>
    <w:p w:rsidR="007C22E1" w:rsidRDefault="003B749F">
      <w:pPr>
        <w:pStyle w:val="10"/>
        <w:spacing w:before="78" w:after="78"/>
        <w:rPr>
          <w:rFonts w:ascii="Calibri" w:hAnsi="Calibri"/>
          <w:szCs w:val="22"/>
        </w:rPr>
      </w:pPr>
      <w:hyperlink w:anchor="_Toc513731110" w:history="1">
        <w:r w:rsidR="00160AA8">
          <w:rPr>
            <w:rStyle w:val="aa"/>
            <w:rFonts w:hAnsi="宋体"/>
          </w:rPr>
          <w:t xml:space="preserve">1 </w:t>
        </w:r>
        <w:r w:rsidR="00160AA8">
          <w:rPr>
            <w:rStyle w:val="aa"/>
            <w:rFonts w:hAnsi="宋体" w:hint="eastAsia"/>
          </w:rPr>
          <w:t>编制背景</w:t>
        </w:r>
        <w:r w:rsidR="00160AA8">
          <w:tab/>
        </w:r>
        <w:r w:rsidR="00160AA8">
          <w:fldChar w:fldCharType="begin"/>
        </w:r>
        <w:r w:rsidR="00160AA8">
          <w:instrText xml:space="preserve"> PAGEREF _Toc513731110 \h </w:instrText>
        </w:r>
        <w:r w:rsidR="00160AA8">
          <w:fldChar w:fldCharType="separate"/>
        </w:r>
        <w:r w:rsidR="00160AA8">
          <w:t>1</w:t>
        </w:r>
        <w:r w:rsidR="00160AA8">
          <w:fldChar w:fldCharType="end"/>
        </w:r>
      </w:hyperlink>
    </w:p>
    <w:p w:rsidR="007C22E1" w:rsidRDefault="003B749F">
      <w:pPr>
        <w:pStyle w:val="10"/>
        <w:spacing w:before="78" w:after="78"/>
        <w:rPr>
          <w:rFonts w:ascii="Calibri" w:hAnsi="Calibri"/>
          <w:szCs w:val="22"/>
        </w:rPr>
      </w:pPr>
      <w:hyperlink w:anchor="_Toc513731111" w:history="1">
        <w:r w:rsidR="00160AA8">
          <w:rPr>
            <w:rStyle w:val="aa"/>
            <w:rFonts w:hAnsi="宋体"/>
          </w:rPr>
          <w:t xml:space="preserve">2 </w:t>
        </w:r>
        <w:r w:rsidR="00160AA8">
          <w:rPr>
            <w:rStyle w:val="aa"/>
            <w:rFonts w:hAnsi="宋体" w:hint="eastAsia"/>
          </w:rPr>
          <w:t>编制主要原则</w:t>
        </w:r>
        <w:r w:rsidR="00160AA8">
          <w:tab/>
        </w:r>
        <w:r w:rsidR="00160AA8">
          <w:fldChar w:fldCharType="begin"/>
        </w:r>
        <w:r w:rsidR="00160AA8">
          <w:instrText xml:space="preserve"> PAGEREF _Toc513731111 \h </w:instrText>
        </w:r>
        <w:r w:rsidR="00160AA8">
          <w:fldChar w:fldCharType="separate"/>
        </w:r>
        <w:r w:rsidR="00160AA8">
          <w:t>1</w:t>
        </w:r>
        <w:r w:rsidR="00160AA8">
          <w:fldChar w:fldCharType="end"/>
        </w:r>
      </w:hyperlink>
    </w:p>
    <w:p w:rsidR="007C22E1" w:rsidRDefault="003B749F">
      <w:pPr>
        <w:pStyle w:val="10"/>
        <w:spacing w:before="78" w:after="78"/>
        <w:rPr>
          <w:rFonts w:ascii="Calibri" w:hAnsi="Calibri"/>
          <w:szCs w:val="22"/>
        </w:rPr>
      </w:pPr>
      <w:hyperlink w:anchor="_Toc513731112" w:history="1">
        <w:r w:rsidR="00160AA8">
          <w:rPr>
            <w:rStyle w:val="aa"/>
            <w:rFonts w:hAnsi="宋体"/>
          </w:rPr>
          <w:t xml:space="preserve">3 </w:t>
        </w:r>
        <w:r w:rsidR="00160AA8">
          <w:rPr>
            <w:rStyle w:val="aa"/>
            <w:rFonts w:hAnsi="宋体" w:hint="eastAsia"/>
          </w:rPr>
          <w:t>主要工作过程</w:t>
        </w:r>
        <w:r w:rsidR="00160AA8">
          <w:tab/>
        </w:r>
        <w:r w:rsidR="00160AA8">
          <w:fldChar w:fldCharType="begin"/>
        </w:r>
        <w:r w:rsidR="00160AA8">
          <w:instrText xml:space="preserve"> PAGEREF _Toc513731112 \h </w:instrText>
        </w:r>
        <w:r w:rsidR="00160AA8">
          <w:fldChar w:fldCharType="separate"/>
        </w:r>
        <w:r w:rsidR="00160AA8">
          <w:t>1</w:t>
        </w:r>
        <w:r w:rsidR="00160AA8">
          <w:fldChar w:fldCharType="end"/>
        </w:r>
      </w:hyperlink>
    </w:p>
    <w:p w:rsidR="007C22E1" w:rsidRDefault="003B749F">
      <w:pPr>
        <w:pStyle w:val="10"/>
        <w:spacing w:before="78" w:after="78"/>
        <w:rPr>
          <w:rFonts w:ascii="Calibri" w:hAnsi="Calibri"/>
          <w:szCs w:val="22"/>
        </w:rPr>
      </w:pPr>
      <w:hyperlink w:anchor="_Toc513731113" w:history="1">
        <w:r w:rsidR="00160AA8">
          <w:rPr>
            <w:rStyle w:val="aa"/>
            <w:rFonts w:hAnsi="宋体"/>
          </w:rPr>
          <w:t>4</w:t>
        </w:r>
        <w:r w:rsidR="00160AA8">
          <w:rPr>
            <w:rStyle w:val="aa"/>
          </w:rPr>
          <w:t xml:space="preserve"> </w:t>
        </w:r>
        <w:r w:rsidR="00160AA8">
          <w:rPr>
            <w:rStyle w:val="aa"/>
            <w:rFonts w:hint="eastAsia"/>
          </w:rPr>
          <w:t>标准结构和内容说明</w:t>
        </w:r>
        <w:r w:rsidR="00160AA8">
          <w:tab/>
        </w:r>
        <w:r w:rsidR="00160AA8">
          <w:fldChar w:fldCharType="begin"/>
        </w:r>
        <w:r w:rsidR="00160AA8">
          <w:instrText xml:space="preserve"> PAGEREF _Toc513731113 \h </w:instrText>
        </w:r>
        <w:r w:rsidR="00160AA8">
          <w:fldChar w:fldCharType="separate"/>
        </w:r>
        <w:r w:rsidR="00160AA8">
          <w:t>2</w:t>
        </w:r>
        <w:r w:rsidR="00160AA8">
          <w:fldChar w:fldCharType="end"/>
        </w:r>
      </w:hyperlink>
    </w:p>
    <w:p w:rsidR="007C22E1" w:rsidRDefault="003B749F">
      <w:pPr>
        <w:pStyle w:val="10"/>
        <w:spacing w:before="78" w:after="78"/>
        <w:rPr>
          <w:rFonts w:ascii="Calibri" w:hAnsi="Calibri"/>
          <w:szCs w:val="22"/>
        </w:rPr>
      </w:pPr>
      <w:hyperlink w:anchor="_Toc513731114" w:history="1">
        <w:r w:rsidR="00160AA8">
          <w:rPr>
            <w:rStyle w:val="aa"/>
            <w:rFonts w:hAnsi="宋体"/>
          </w:rPr>
          <w:t>5</w:t>
        </w:r>
        <w:r w:rsidR="00160AA8">
          <w:rPr>
            <w:rStyle w:val="aa"/>
            <w:rFonts w:hint="eastAsia"/>
          </w:rPr>
          <w:t>相关标准对比说明</w:t>
        </w:r>
        <w:r w:rsidR="00160AA8">
          <w:rPr>
            <w:rStyle w:val="aa"/>
          </w:rPr>
          <w:tab/>
        </w:r>
        <w:r w:rsidR="00160AA8">
          <w:fldChar w:fldCharType="begin"/>
        </w:r>
        <w:r w:rsidR="00160AA8">
          <w:rPr>
            <w:rStyle w:val="aa"/>
          </w:rPr>
          <w:instrText xml:space="preserve"> PAGEREF _Toc513731114 \h </w:instrText>
        </w:r>
        <w:r w:rsidR="00160AA8">
          <w:fldChar w:fldCharType="separate"/>
        </w:r>
        <w:r w:rsidR="00160AA8">
          <w:rPr>
            <w:rStyle w:val="aa"/>
          </w:rPr>
          <w:t>2</w:t>
        </w:r>
        <w:r w:rsidR="00160AA8">
          <w:fldChar w:fldCharType="end"/>
        </w:r>
      </w:hyperlink>
    </w:p>
    <w:p w:rsidR="007C22E1" w:rsidRDefault="003B749F">
      <w:pPr>
        <w:pStyle w:val="10"/>
        <w:spacing w:before="78" w:after="78"/>
        <w:rPr>
          <w:rFonts w:ascii="Calibri" w:hAnsi="Calibri"/>
          <w:szCs w:val="22"/>
        </w:rPr>
      </w:pPr>
      <w:hyperlink w:anchor="_Toc513731115" w:history="1">
        <w:r w:rsidR="00160AA8">
          <w:rPr>
            <w:rStyle w:val="aa"/>
            <w:rFonts w:hAnsi="宋体"/>
          </w:rPr>
          <w:t>6</w:t>
        </w:r>
        <w:r w:rsidR="00160AA8">
          <w:rPr>
            <w:rStyle w:val="aa"/>
            <w:rFonts w:hAnsi="宋体" w:hint="eastAsia"/>
          </w:rPr>
          <w:t>标准实施措施说明</w:t>
        </w:r>
        <w:r w:rsidR="00160AA8">
          <w:tab/>
        </w:r>
        <w:r w:rsidR="00160AA8">
          <w:fldChar w:fldCharType="begin"/>
        </w:r>
        <w:r w:rsidR="00160AA8">
          <w:instrText xml:space="preserve"> PAGEREF _Toc513731115 \h </w:instrText>
        </w:r>
        <w:r w:rsidR="00160AA8">
          <w:fldChar w:fldCharType="separate"/>
        </w:r>
        <w:r w:rsidR="00160AA8">
          <w:t>3</w:t>
        </w:r>
        <w:r w:rsidR="00160AA8">
          <w:fldChar w:fldCharType="end"/>
        </w:r>
      </w:hyperlink>
    </w:p>
    <w:p w:rsidR="007C22E1" w:rsidRDefault="00160AA8">
      <w:pPr>
        <w:pStyle w:val="ad"/>
        <w:rPr>
          <w:rFonts w:hAnsi="宋体"/>
          <w:szCs w:val="21"/>
        </w:rPr>
      </w:pPr>
      <w:r>
        <w:rPr>
          <w:rFonts w:hAnsi="宋体"/>
          <w:szCs w:val="21"/>
        </w:rPr>
        <w:fldChar w:fldCharType="end"/>
      </w:r>
    </w:p>
    <w:p w:rsidR="007C22E1" w:rsidRDefault="007C22E1">
      <w:pPr>
        <w:pStyle w:val="ad"/>
        <w:rPr>
          <w:rFonts w:hAnsi="宋体"/>
          <w:szCs w:val="21"/>
        </w:rPr>
      </w:pPr>
    </w:p>
    <w:p w:rsidR="007C22E1" w:rsidRDefault="007C22E1">
      <w:pPr>
        <w:pStyle w:val="ad"/>
        <w:rPr>
          <w:rFonts w:hAnsi="宋体"/>
          <w:szCs w:val="21"/>
        </w:rPr>
      </w:pPr>
    </w:p>
    <w:p w:rsidR="007C22E1" w:rsidRDefault="007C22E1">
      <w:pPr>
        <w:pStyle w:val="ad"/>
        <w:rPr>
          <w:rFonts w:hAnsi="宋体"/>
          <w:szCs w:val="21"/>
        </w:rPr>
      </w:pPr>
    </w:p>
    <w:p w:rsidR="007C22E1" w:rsidRDefault="007C22E1">
      <w:pPr>
        <w:pStyle w:val="ad"/>
        <w:rPr>
          <w:rFonts w:hAnsi="宋体"/>
          <w:szCs w:val="21"/>
        </w:rPr>
        <w:sectPr w:rsidR="007C22E1">
          <w:headerReference w:type="default" r:id="rId12"/>
          <w:footerReference w:type="default" r:id="rId13"/>
          <w:pgSz w:w="11906" w:h="16838"/>
          <w:pgMar w:top="567" w:right="1134" w:bottom="1134" w:left="1417" w:header="1418" w:footer="1134" w:gutter="0"/>
          <w:pgNumType w:fmt="upperRoman" w:start="1"/>
          <w:cols w:space="720"/>
          <w:formProt w:val="0"/>
          <w:docGrid w:type="lines" w:linePitch="312"/>
        </w:sectPr>
      </w:pPr>
    </w:p>
    <w:p w:rsidR="007C22E1" w:rsidRDefault="00160AA8">
      <w:pPr>
        <w:pStyle w:val="12"/>
        <w:spacing w:before="312" w:after="312"/>
        <w:rPr>
          <w:rFonts w:ascii="宋体" w:hAnsi="宋体"/>
          <w:szCs w:val="21"/>
        </w:rPr>
      </w:pPr>
      <w:bookmarkStart w:id="26" w:name="_Toc513731110"/>
      <w:r>
        <w:rPr>
          <w:rFonts w:ascii="宋体" w:hAnsi="宋体" w:hint="eastAsia"/>
          <w:szCs w:val="21"/>
        </w:rPr>
        <w:lastRenderedPageBreak/>
        <w:t xml:space="preserve">1 </w:t>
      </w:r>
      <w:r>
        <w:rPr>
          <w:rFonts w:ascii="宋体" w:hAnsi="宋体" w:hint="eastAsia"/>
          <w:szCs w:val="21"/>
        </w:rPr>
        <w:t>编制背景</w:t>
      </w:r>
      <w:bookmarkEnd w:id="26"/>
    </w:p>
    <w:p w:rsidR="007C22E1" w:rsidRDefault="00160AA8">
      <w:pPr>
        <w:pStyle w:val="ad"/>
      </w:pPr>
      <w:r>
        <w:rPr>
          <w:rFonts w:hint="eastAsia"/>
        </w:rPr>
        <w:t>以中国标准化协</w:t>
      </w:r>
      <w:bookmarkStart w:id="27" w:name="_GoBack"/>
      <w:bookmarkEnd w:id="27"/>
      <w:r>
        <w:rPr>
          <w:rFonts w:hint="eastAsia"/>
        </w:rPr>
        <w:t>会发布、中国工程师联合体采用的《工程能力评价通用规范》为基础，以增强国际可比、质量等效为重点，逐步完善电气工程类工程师资格认证标准。按照边试点、边完善、边总结的路径，逐步实现电气工程类工程能力标准与国际对接，最终成为国际通行标准之一。此次开展 《电气工程类工程能力评价规范》 修订工作，以提高电气工程技术人才职业化、国际化水平，规范电气工程类工程能力评价活动，加强国际实质等效的工程能力评价标准体系建设，建立国际实质等效的电气工程类工程能力评价体系，推动电气工程技术领域的工程师国际互认工作，具有较大的社会效益。</w:t>
      </w:r>
    </w:p>
    <w:p w:rsidR="007C22E1" w:rsidRDefault="00160AA8">
      <w:pPr>
        <w:pStyle w:val="ad"/>
      </w:pPr>
      <w:r>
        <w:rPr>
          <w:rFonts w:hint="eastAsia"/>
        </w:rPr>
        <w:t>根据中国工程师联合体2</w:t>
      </w:r>
      <w:r>
        <w:t>022年</w:t>
      </w:r>
      <w:r>
        <w:rPr>
          <w:rFonts w:hint="eastAsia"/>
        </w:rPr>
        <w:t>6月发布的《工程能力评价专业规范研制管理办法（试行)》要求，专业规范应根据本工程技术领域特点，提出科学、合理的专业分类和工程会员注册级别（至少应包括见习工程会员、专业工程会员、资深工程会员），细化和补充教育经历要求、专业工作经历要求、素质能力要求等，明确重要工程工作的定义，以及应由专业规范</w:t>
      </w:r>
      <w:proofErr w:type="gramStart"/>
      <w:r>
        <w:rPr>
          <w:rFonts w:hint="eastAsia"/>
        </w:rPr>
        <w:t>作出</w:t>
      </w:r>
      <w:proofErr w:type="gramEnd"/>
      <w:r>
        <w:rPr>
          <w:rFonts w:hint="eastAsia"/>
        </w:rPr>
        <w:t>规定的其他内容。</w:t>
      </w:r>
    </w:p>
    <w:p w:rsidR="007C22E1" w:rsidRDefault="00160AA8">
      <w:pPr>
        <w:pStyle w:val="ad"/>
      </w:pPr>
      <w:r>
        <w:rPr>
          <w:rFonts w:hint="eastAsia"/>
        </w:rPr>
        <w:t>《电气工程类工程能力评价规范》 修订工作由中国电机工程学会负责起草。</w:t>
      </w:r>
    </w:p>
    <w:p w:rsidR="007C22E1" w:rsidRDefault="00160AA8">
      <w:pPr>
        <w:pStyle w:val="12"/>
        <w:spacing w:before="312" w:after="312"/>
        <w:rPr>
          <w:rFonts w:ascii="宋体" w:hAnsi="宋体"/>
          <w:szCs w:val="21"/>
        </w:rPr>
      </w:pPr>
      <w:bookmarkStart w:id="28" w:name="_Toc513731111"/>
      <w:r>
        <w:rPr>
          <w:rFonts w:ascii="宋体" w:hAnsi="宋体" w:hint="eastAsia"/>
          <w:szCs w:val="21"/>
        </w:rPr>
        <w:t xml:space="preserve">2 </w:t>
      </w:r>
      <w:r>
        <w:rPr>
          <w:rFonts w:ascii="宋体" w:hAnsi="宋体" w:hint="eastAsia"/>
          <w:szCs w:val="21"/>
        </w:rPr>
        <w:t>编制主要原则</w:t>
      </w:r>
      <w:bookmarkEnd w:id="28"/>
    </w:p>
    <w:p w:rsidR="007C22E1" w:rsidRDefault="00160AA8">
      <w:pPr>
        <w:pStyle w:val="a0"/>
        <w:numPr>
          <w:ilvl w:val="0"/>
          <w:numId w:val="0"/>
        </w:numPr>
        <w:spacing w:beforeLines="50" w:before="156" w:afterLines="50" w:after="156"/>
      </w:pPr>
      <w:r>
        <w:rPr>
          <w:rFonts w:hint="eastAsia"/>
        </w:rPr>
        <w:t>2.1 规范性原则</w:t>
      </w:r>
    </w:p>
    <w:p w:rsidR="007C22E1" w:rsidRDefault="00160AA8">
      <w:pPr>
        <w:pStyle w:val="ad"/>
      </w:pPr>
      <w:r>
        <w:rPr>
          <w:rFonts w:hint="eastAsia"/>
        </w:rPr>
        <w:t>按照 GB/T 1.12020《标准化工作导则 第 1 部分：标准化文件的结构和起草规则》，规范了文件全文的编写。</w:t>
      </w:r>
    </w:p>
    <w:p w:rsidR="007C22E1" w:rsidRDefault="00160AA8">
      <w:pPr>
        <w:pStyle w:val="a0"/>
        <w:numPr>
          <w:ilvl w:val="0"/>
          <w:numId w:val="0"/>
        </w:numPr>
        <w:spacing w:beforeLines="50" w:before="156" w:afterLines="50" w:after="156"/>
      </w:pPr>
      <w:r>
        <w:rPr>
          <w:rFonts w:hint="eastAsia"/>
        </w:rPr>
        <w:t>2.2 适用性原则</w:t>
      </w:r>
    </w:p>
    <w:p w:rsidR="007C22E1" w:rsidRDefault="00160AA8">
      <w:pPr>
        <w:pStyle w:val="ad"/>
      </w:pPr>
      <w:r>
        <w:t>为保障规范修订后在实施过程中的实用性，根据电气工程类工程师工程能力发展特点，综合</w:t>
      </w:r>
      <w:proofErr w:type="gramStart"/>
      <w:r>
        <w:t>考量</w:t>
      </w:r>
      <w:proofErr w:type="gramEnd"/>
      <w:r>
        <w:t>专业领域、技术环节和申请级别三个维度，对相应阶段工程师的素质能力做出不同要求。</w:t>
      </w:r>
    </w:p>
    <w:p w:rsidR="007C22E1" w:rsidRDefault="00160AA8">
      <w:pPr>
        <w:pStyle w:val="a0"/>
        <w:numPr>
          <w:ilvl w:val="0"/>
          <w:numId w:val="0"/>
        </w:numPr>
        <w:spacing w:beforeLines="50" w:before="156" w:afterLines="50" w:after="156"/>
      </w:pPr>
      <w:r>
        <w:rPr>
          <w:rFonts w:hint="eastAsia"/>
        </w:rPr>
        <w:t>2.</w:t>
      </w:r>
      <w:r>
        <w:t>3</w:t>
      </w:r>
      <w:r>
        <w:rPr>
          <w:rFonts w:hint="eastAsia"/>
        </w:rPr>
        <w:t xml:space="preserve"> 先进性原则</w:t>
      </w:r>
    </w:p>
    <w:p w:rsidR="007C22E1" w:rsidRDefault="00160AA8">
      <w:pPr>
        <w:pStyle w:val="ad"/>
      </w:pPr>
      <w:r>
        <w:t>编写组专家深度参与了现行</w:t>
      </w:r>
      <w:r>
        <w:rPr>
          <w:rFonts w:hint="eastAsia"/>
        </w:rPr>
        <w:t>《工程能力评价通用规范》的修订工作</w:t>
      </w:r>
      <w:r>
        <w:t>，同时了解国外同类组织在工程能力评价相关标准的编制理念和修订原则，并将其应用于本规范的修订，保障了专业先进性。</w:t>
      </w:r>
    </w:p>
    <w:p w:rsidR="007C22E1" w:rsidRDefault="00160AA8">
      <w:pPr>
        <w:pStyle w:val="12"/>
        <w:spacing w:before="312" w:after="312"/>
        <w:rPr>
          <w:rFonts w:ascii="宋体" w:hAnsi="宋体"/>
          <w:szCs w:val="21"/>
        </w:rPr>
      </w:pPr>
      <w:bookmarkStart w:id="29" w:name="_Toc513731112"/>
      <w:r>
        <w:rPr>
          <w:rFonts w:ascii="宋体" w:hAnsi="宋体" w:hint="eastAsia"/>
          <w:szCs w:val="21"/>
        </w:rPr>
        <w:t xml:space="preserve">3 </w:t>
      </w:r>
      <w:r>
        <w:rPr>
          <w:rFonts w:ascii="宋体" w:hAnsi="宋体" w:hint="eastAsia"/>
          <w:szCs w:val="21"/>
        </w:rPr>
        <w:t>主要工作过程</w:t>
      </w:r>
      <w:bookmarkEnd w:id="29"/>
    </w:p>
    <w:p w:rsidR="007C22E1" w:rsidRDefault="00160AA8">
      <w:pPr>
        <w:pStyle w:val="af4"/>
        <w:ind w:firstLineChars="0"/>
      </w:pPr>
      <w:r>
        <w:rPr>
          <w:rFonts w:hint="eastAsia"/>
        </w:rPr>
        <w:t>中国电机工程学会自</w:t>
      </w:r>
      <w:r>
        <w:rPr>
          <w:rFonts w:hint="eastAsia"/>
        </w:rPr>
        <w:t>2005</w:t>
      </w:r>
      <w:r>
        <w:rPr>
          <w:rFonts w:hint="eastAsia"/>
        </w:rPr>
        <w:t>年获准成为中国科协批准的“工程师专业技术资格认证”试点单位之一，早期组建了工程师资格认证工作领导小组，在工程能力评价方面与相关专业学会建立有广泛的合作关系。基于</w:t>
      </w:r>
      <w:r>
        <w:rPr>
          <w:rFonts w:hint="eastAsia"/>
        </w:rPr>
        <w:t>T/CAS 326</w:t>
      </w:r>
      <w:r>
        <w:rPr>
          <w:rFonts w:hint="eastAsia"/>
        </w:rPr>
        <w:t>—</w:t>
      </w:r>
      <w:r>
        <w:rPr>
          <w:rFonts w:hint="eastAsia"/>
        </w:rPr>
        <w:t>20</w:t>
      </w:r>
      <w:r>
        <w:t>18</w:t>
      </w:r>
      <w:r>
        <w:rPr>
          <w:rFonts w:hint="eastAsia"/>
        </w:rPr>
        <w:t>《工程能力评价通用规范》，学会于</w:t>
      </w:r>
      <w:r>
        <w:rPr>
          <w:rFonts w:hint="eastAsia"/>
        </w:rPr>
        <w:t>2019</w:t>
      </w:r>
      <w:r>
        <w:rPr>
          <w:rFonts w:hint="eastAsia"/>
        </w:rPr>
        <w:t>年组织专家制定并发布了</w:t>
      </w:r>
      <w:r>
        <w:rPr>
          <w:rFonts w:hint="eastAsia"/>
        </w:rPr>
        <w:t xml:space="preserve"> T/CSEE 0145-2019</w:t>
      </w:r>
      <w:r>
        <w:rPr>
          <w:rFonts w:hint="eastAsia"/>
        </w:rPr>
        <w:t>《电气工程类工程能力评价规范》，基于此标准在</w:t>
      </w:r>
      <w:r>
        <w:rPr>
          <w:rFonts w:hint="eastAsia"/>
        </w:rPr>
        <w:t>2020</w:t>
      </w:r>
      <w:r>
        <w:rPr>
          <w:rFonts w:hint="eastAsia"/>
        </w:rPr>
        <w:t>年</w:t>
      </w:r>
      <w:r>
        <w:rPr>
          <w:rFonts w:hint="eastAsia"/>
        </w:rPr>
        <w:t>-2021</w:t>
      </w:r>
      <w:r>
        <w:rPr>
          <w:rFonts w:hint="eastAsia"/>
        </w:rPr>
        <w:t>年期间开展了三个批次的工程能力评价工作，总计发展</w:t>
      </w:r>
      <w:r>
        <w:rPr>
          <w:rFonts w:hint="eastAsia"/>
        </w:rPr>
        <w:t>294</w:t>
      </w:r>
      <w:r>
        <w:rPr>
          <w:rFonts w:hint="eastAsia"/>
        </w:rPr>
        <w:t>名电气工程类工程会员。</w:t>
      </w:r>
    </w:p>
    <w:p w:rsidR="007C22E1" w:rsidRDefault="00160AA8">
      <w:pPr>
        <w:pStyle w:val="af4"/>
        <w:ind w:firstLineChars="0"/>
      </w:pPr>
      <w:r>
        <w:rPr>
          <w:rFonts w:hint="eastAsia"/>
        </w:rPr>
        <w:t>2</w:t>
      </w:r>
      <w:r>
        <w:t>021</w:t>
      </w:r>
      <w:r>
        <w:t>年，</w:t>
      </w:r>
      <w:r>
        <w:rPr>
          <w:rFonts w:hint="eastAsia"/>
        </w:rPr>
        <w:t>根据中国科协的工作安排，学会积极委派专家参与通用规范的修订工作。</w:t>
      </w:r>
      <w:r>
        <w:t>根据</w:t>
      </w:r>
      <w:r>
        <w:rPr>
          <w:rFonts w:hint="eastAsia"/>
        </w:rPr>
        <w:t>2</w:t>
      </w:r>
      <w:r>
        <w:t>021</w:t>
      </w:r>
      <w:r>
        <w:t>年</w:t>
      </w:r>
      <w:r>
        <w:rPr>
          <w:rFonts w:hint="eastAsia"/>
        </w:rPr>
        <w:t>1</w:t>
      </w:r>
      <w:r>
        <w:t>0</w:t>
      </w:r>
      <w:r>
        <w:t>月发布并实施的</w:t>
      </w:r>
      <w:r>
        <w:rPr>
          <w:rFonts w:hint="eastAsia"/>
        </w:rPr>
        <w:t>T/CAS 326</w:t>
      </w:r>
      <w:r>
        <w:rPr>
          <w:rFonts w:hint="eastAsia"/>
        </w:rPr>
        <w:t>—</w:t>
      </w:r>
      <w:r>
        <w:rPr>
          <w:rFonts w:hint="eastAsia"/>
        </w:rPr>
        <w:t>2021</w:t>
      </w:r>
      <w:r>
        <w:rPr>
          <w:rFonts w:hint="eastAsia"/>
        </w:rPr>
        <w:t>《工程能力评价通用规范》，学会于</w:t>
      </w:r>
      <w:r>
        <w:rPr>
          <w:rFonts w:hint="eastAsia"/>
        </w:rPr>
        <w:t>2</w:t>
      </w:r>
      <w:r>
        <w:t>022</w:t>
      </w:r>
      <w:r>
        <w:t>年</w:t>
      </w:r>
      <w:r>
        <w:rPr>
          <w:rFonts w:hint="eastAsia"/>
        </w:rPr>
        <w:t>6</w:t>
      </w:r>
      <w:r>
        <w:rPr>
          <w:rFonts w:hint="eastAsia"/>
        </w:rPr>
        <w:t>月学会学术部组织专业规范修订工作组召开《电气工程类工程能力评价规范》修订研讨会。</w:t>
      </w:r>
      <w:r>
        <w:rPr>
          <w:rFonts w:hint="eastAsia"/>
        </w:rPr>
        <w:lastRenderedPageBreak/>
        <w:t>会议由学会副秘书长吴云喜主持，张祖平等</w:t>
      </w:r>
      <w:r>
        <w:rPr>
          <w:rFonts w:hint="eastAsia"/>
        </w:rPr>
        <w:t>5</w:t>
      </w:r>
      <w:r>
        <w:rPr>
          <w:rFonts w:hint="eastAsia"/>
        </w:rPr>
        <w:t>位考官及学会相关人员参会。</w:t>
      </w:r>
    </w:p>
    <w:p w:rsidR="007C22E1" w:rsidRDefault="00160AA8">
      <w:pPr>
        <w:pStyle w:val="af4"/>
        <w:ind w:firstLineChars="0"/>
      </w:pPr>
      <w:r>
        <w:t>2022</w:t>
      </w:r>
      <w:r>
        <w:t>年</w:t>
      </w:r>
      <w:r>
        <w:rPr>
          <w:rFonts w:hint="eastAsia"/>
        </w:rPr>
        <w:t>9</w:t>
      </w:r>
      <w:r>
        <w:rPr>
          <w:rFonts w:hint="eastAsia"/>
        </w:rPr>
        <w:t>月，组织召开《电气工程类工程能力评价规范》修订立项评审会，会上评审组专家对修订的必要性予以肯定，并以在线举手表决的形式进行投票，投票结果全部赞成立项；同月，在学会标准办公会上通过了审查；</w:t>
      </w:r>
      <w:r>
        <w:rPr>
          <w:rFonts w:hint="eastAsia"/>
        </w:rPr>
        <w:t>2</w:t>
      </w:r>
      <w:r>
        <w:t>022</w:t>
      </w:r>
      <w:r>
        <w:t>年</w:t>
      </w:r>
      <w:r>
        <w:rPr>
          <w:rFonts w:hint="eastAsia"/>
        </w:rPr>
        <w:t>1</w:t>
      </w:r>
      <w:r>
        <w:t>0</w:t>
      </w:r>
      <w:r>
        <w:t>月，基于立项评审会与标准办公会上专家提出的修改建议，经编写组专家多轮斟酌完善，最终形成</w:t>
      </w:r>
      <w:r>
        <w:rPr>
          <w:rFonts w:hint="eastAsia"/>
        </w:rPr>
        <w:t>征求意见稿。</w:t>
      </w:r>
    </w:p>
    <w:p w:rsidR="007C22E1" w:rsidRDefault="00160AA8">
      <w:pPr>
        <w:pStyle w:val="12"/>
        <w:spacing w:before="312" w:after="312"/>
      </w:pPr>
      <w:bookmarkStart w:id="30" w:name="_Toc513731113"/>
      <w:r>
        <w:rPr>
          <w:rFonts w:ascii="宋体" w:hAnsi="宋体" w:hint="eastAsia"/>
          <w:szCs w:val="21"/>
        </w:rPr>
        <w:t>4</w:t>
      </w:r>
      <w:r>
        <w:rPr>
          <w:rFonts w:hint="eastAsia"/>
        </w:rPr>
        <w:t xml:space="preserve"> </w:t>
      </w:r>
      <w:r>
        <w:rPr>
          <w:rFonts w:hint="eastAsia"/>
        </w:rPr>
        <w:t>标准结构和内容说明</w:t>
      </w:r>
      <w:bookmarkEnd w:id="30"/>
    </w:p>
    <w:p w:rsidR="007C22E1" w:rsidRDefault="00160AA8">
      <w:pPr>
        <w:pStyle w:val="af4"/>
        <w:ind w:firstLineChars="0"/>
      </w:pPr>
      <w:r>
        <w:rPr>
          <w:rFonts w:hint="eastAsia"/>
        </w:rPr>
        <w:t>主要内容包括：范围、规范性引用文件、术语和定义、授权申请和分级、专业分类、评价要求、评价程序、核准与注册、持续职业发展、证书管理、自律与监督。</w:t>
      </w:r>
    </w:p>
    <w:p w:rsidR="007C22E1" w:rsidRDefault="00160AA8">
      <w:pPr>
        <w:pStyle w:val="12"/>
        <w:spacing w:before="312" w:after="312"/>
      </w:pPr>
      <w:bookmarkStart w:id="31" w:name="_Toc513731114"/>
      <w:r>
        <w:rPr>
          <w:rFonts w:ascii="宋体" w:hAnsi="宋体" w:hint="eastAsia"/>
          <w:szCs w:val="21"/>
        </w:rPr>
        <w:t>5</w:t>
      </w:r>
      <w:r>
        <w:rPr>
          <w:rFonts w:ascii="宋体" w:hAnsi="宋体"/>
          <w:szCs w:val="21"/>
        </w:rPr>
        <w:t xml:space="preserve"> </w:t>
      </w:r>
      <w:r>
        <w:rPr>
          <w:rFonts w:ascii="宋体" w:hAnsi="宋体" w:hint="eastAsia"/>
          <w:szCs w:val="21"/>
        </w:rPr>
        <w:t>相关</w:t>
      </w:r>
      <w:r>
        <w:rPr>
          <w:rFonts w:hint="eastAsia"/>
        </w:rPr>
        <w:t>标准对比说明</w:t>
      </w:r>
      <w:bookmarkEnd w:id="31"/>
    </w:p>
    <w:p w:rsidR="007C22E1" w:rsidRDefault="00160AA8">
      <w:pPr>
        <w:pStyle w:val="af4"/>
        <w:ind w:firstLineChars="0"/>
      </w:pPr>
      <w:r>
        <w:rPr>
          <w:rFonts w:hint="eastAsia"/>
        </w:rPr>
        <w:t>本标准是工程能力评价方面，针对电气工程类工程人员能力评价的重要专业补充。国内方面</w:t>
      </w:r>
      <w:r>
        <w:rPr>
          <w:rFonts w:ascii="宋体" w:hAnsi="Times New Roman" w:hint="eastAsia"/>
          <w:kern w:val="0"/>
          <w:szCs w:val="20"/>
        </w:rPr>
        <w:t>，T/CAS 326—2021《工程能力</w:t>
      </w:r>
      <w:r>
        <w:rPr>
          <w:rFonts w:hint="eastAsia"/>
        </w:rPr>
        <w:t>评价通用规范》规定了开展工程能力评价所涉及的授权与分级、申请条件、考核与注册管理、工程会员行为规范、持续职业发展、再注册管理和监督管理的要求。该标准适用于土木工程类、电气工程类、机械工程类、铁路工程类、核工程类、标准化类、水利水电工程类、信息通信工程类、汽车工程类、化学化工类、地质工程类、建筑工程类工程技术领域。</w:t>
      </w:r>
    </w:p>
    <w:p w:rsidR="007C22E1" w:rsidRPr="00223A20" w:rsidRDefault="00160AA8">
      <w:pPr>
        <w:pStyle w:val="af4"/>
        <w:ind w:firstLineChars="0"/>
        <w:rPr>
          <w:rFonts w:ascii="宋体" w:hAnsi="Times New Roman"/>
          <w:kern w:val="0"/>
          <w:szCs w:val="20"/>
        </w:rPr>
      </w:pPr>
      <w:r>
        <w:rPr>
          <w:rFonts w:hint="eastAsia"/>
        </w:rPr>
        <w:t>根据发布时间</w:t>
      </w:r>
      <w:proofErr w:type="gramStart"/>
      <w:r>
        <w:rPr>
          <w:rFonts w:hint="eastAsia"/>
        </w:rPr>
        <w:t>按排</w:t>
      </w:r>
      <w:proofErr w:type="gramEnd"/>
      <w:r>
        <w:rPr>
          <w:rFonts w:hint="eastAsia"/>
        </w:rPr>
        <w:t>序，对比了以下工程能力相关规范文件，尤其是对工程会员素质能力</w:t>
      </w:r>
      <w:r w:rsidRPr="00223A20">
        <w:rPr>
          <w:rFonts w:ascii="宋体" w:hAnsi="Times New Roman" w:hint="eastAsia"/>
          <w:kern w:val="0"/>
          <w:szCs w:val="20"/>
        </w:rPr>
        <w:t>的要求：</w:t>
      </w:r>
    </w:p>
    <w:p w:rsidR="007C22E1" w:rsidRPr="00223A20" w:rsidRDefault="00160AA8">
      <w:pPr>
        <w:pStyle w:val="af4"/>
        <w:ind w:firstLineChars="0"/>
        <w:rPr>
          <w:rFonts w:ascii="宋体" w:hAnsi="Times New Roman"/>
          <w:kern w:val="0"/>
          <w:szCs w:val="20"/>
        </w:rPr>
      </w:pPr>
      <w:r w:rsidRPr="00223A20">
        <w:rPr>
          <w:rFonts w:ascii="宋体" w:hAnsi="Times New Roman" w:hint="eastAsia"/>
          <w:kern w:val="0"/>
          <w:szCs w:val="20"/>
        </w:rPr>
        <w:t>1.UK SPEC Third edition (中文，以下简称IET规范）；</w:t>
      </w:r>
    </w:p>
    <w:p w:rsidR="007C22E1" w:rsidRPr="00223A20" w:rsidRDefault="00160AA8">
      <w:pPr>
        <w:pStyle w:val="af4"/>
        <w:ind w:firstLineChars="0"/>
        <w:rPr>
          <w:rFonts w:ascii="宋体" w:hAnsi="Times New Roman"/>
          <w:kern w:val="0"/>
          <w:szCs w:val="20"/>
        </w:rPr>
      </w:pPr>
      <w:r w:rsidRPr="00223A20">
        <w:rPr>
          <w:rFonts w:ascii="宋体" w:hAnsi="Times New Roman" w:hint="eastAsia"/>
          <w:kern w:val="0"/>
          <w:szCs w:val="20"/>
        </w:rPr>
        <w:t>2.T/CSEE 0145-2019 《电气工程类工程能力评价规范》（以下简称电气规范）；</w:t>
      </w:r>
    </w:p>
    <w:p w:rsidR="007C22E1" w:rsidRPr="00223A20" w:rsidRDefault="00160AA8">
      <w:pPr>
        <w:pStyle w:val="af4"/>
        <w:ind w:firstLineChars="0"/>
        <w:rPr>
          <w:rFonts w:ascii="宋体" w:hAnsi="Times New Roman"/>
          <w:kern w:val="0"/>
          <w:szCs w:val="20"/>
        </w:rPr>
      </w:pPr>
      <w:r w:rsidRPr="00223A20">
        <w:rPr>
          <w:rFonts w:ascii="宋体" w:hAnsi="Times New Roman" w:hint="eastAsia"/>
          <w:kern w:val="0"/>
          <w:szCs w:val="20"/>
        </w:rPr>
        <w:t>3.T/CAS 366—2019 《土木工程类工程能力评价规范》（以下简称土木规范）；</w:t>
      </w:r>
    </w:p>
    <w:p w:rsidR="007C22E1" w:rsidRPr="00223A20" w:rsidRDefault="00160AA8">
      <w:pPr>
        <w:pStyle w:val="af4"/>
        <w:ind w:firstLineChars="0"/>
        <w:rPr>
          <w:rFonts w:ascii="宋体" w:hAnsi="Times New Roman"/>
          <w:kern w:val="0"/>
          <w:szCs w:val="20"/>
        </w:rPr>
      </w:pPr>
      <w:r w:rsidRPr="00223A20">
        <w:rPr>
          <w:rFonts w:ascii="宋体" w:hAnsi="Times New Roman" w:hint="eastAsia"/>
          <w:kern w:val="0"/>
          <w:szCs w:val="20"/>
        </w:rPr>
        <w:t>4.T/ZGTXXH 001-2020 《信息通信工程类工程能力评价》（以下</w:t>
      </w:r>
      <w:proofErr w:type="gramStart"/>
      <w:r w:rsidRPr="00223A20">
        <w:rPr>
          <w:rFonts w:ascii="宋体" w:hAnsi="Times New Roman" w:hint="eastAsia"/>
          <w:kern w:val="0"/>
          <w:szCs w:val="20"/>
        </w:rPr>
        <w:t>简称信</w:t>
      </w:r>
      <w:proofErr w:type="gramEnd"/>
      <w:r w:rsidRPr="00223A20">
        <w:rPr>
          <w:rFonts w:ascii="宋体" w:hAnsi="Times New Roman" w:hint="eastAsia"/>
          <w:kern w:val="0"/>
          <w:szCs w:val="20"/>
        </w:rPr>
        <w:t>通规范）；</w:t>
      </w:r>
    </w:p>
    <w:p w:rsidR="007C22E1" w:rsidRDefault="00160AA8">
      <w:pPr>
        <w:pStyle w:val="af4"/>
        <w:ind w:firstLineChars="0"/>
      </w:pPr>
      <w:r w:rsidRPr="00223A20">
        <w:rPr>
          <w:rFonts w:ascii="宋体" w:hAnsi="Times New Roman" w:hint="eastAsia"/>
          <w:kern w:val="0"/>
          <w:szCs w:val="20"/>
        </w:rPr>
        <w:t>5.T/CAS 326—2021 《</w:t>
      </w:r>
      <w:r>
        <w:rPr>
          <w:rFonts w:hint="eastAsia"/>
        </w:rPr>
        <w:t>工程能力评价通用规范》（以下简称通用规范）。</w:t>
      </w:r>
    </w:p>
    <w:p w:rsidR="007C22E1" w:rsidRDefault="00160AA8">
      <w:pPr>
        <w:pStyle w:val="af4"/>
        <w:ind w:firstLineChars="0"/>
      </w:pPr>
      <w:r>
        <w:rPr>
          <w:rFonts w:hint="eastAsia"/>
        </w:rPr>
        <w:t>在专业技术领域的细分方面，电气规范、土木规范与信</w:t>
      </w:r>
      <w:proofErr w:type="gramStart"/>
      <w:r>
        <w:rPr>
          <w:rFonts w:hint="eastAsia"/>
        </w:rPr>
        <w:t>通规范均</w:t>
      </w:r>
      <w:proofErr w:type="gramEnd"/>
      <w:r>
        <w:rPr>
          <w:rFonts w:hint="eastAsia"/>
        </w:rPr>
        <w:t>在正文中对专业范围进行了定义。另外，电气、信</w:t>
      </w:r>
      <w:proofErr w:type="gramStart"/>
      <w:r>
        <w:rPr>
          <w:rFonts w:hint="eastAsia"/>
        </w:rPr>
        <w:t>通规范均</w:t>
      </w:r>
      <w:proofErr w:type="gramEnd"/>
      <w:r>
        <w:rPr>
          <w:rFonts w:hint="eastAsia"/>
        </w:rPr>
        <w:t>对技术环节进行了定义。</w:t>
      </w:r>
    </w:p>
    <w:p w:rsidR="007C22E1" w:rsidRDefault="00160AA8">
      <w:pPr>
        <w:pStyle w:val="12"/>
        <w:spacing w:before="312" w:after="312"/>
        <w:rPr>
          <w:rFonts w:ascii="宋体" w:hAnsi="宋体"/>
          <w:szCs w:val="21"/>
        </w:rPr>
      </w:pPr>
      <w:bookmarkStart w:id="32" w:name="_Toc513731115"/>
      <w:r>
        <w:rPr>
          <w:rFonts w:ascii="宋体" w:hAnsi="宋体" w:hint="eastAsia"/>
          <w:szCs w:val="21"/>
        </w:rPr>
        <w:t>6</w:t>
      </w:r>
      <w:r>
        <w:rPr>
          <w:rFonts w:ascii="宋体" w:hAnsi="宋体"/>
          <w:szCs w:val="21"/>
        </w:rPr>
        <w:t xml:space="preserve"> </w:t>
      </w:r>
      <w:r>
        <w:rPr>
          <w:rFonts w:ascii="宋体" w:hAnsi="宋体" w:hint="eastAsia"/>
          <w:szCs w:val="21"/>
        </w:rPr>
        <w:t>标准实施措施说明</w:t>
      </w:r>
      <w:bookmarkEnd w:id="32"/>
    </w:p>
    <w:p w:rsidR="007C22E1" w:rsidRDefault="00160AA8">
      <w:pPr>
        <w:pStyle w:val="af4"/>
        <w:ind w:firstLineChars="0"/>
        <w:rPr>
          <w:rFonts w:ascii="宋体" w:hAnsi="Times New Roman"/>
          <w:kern w:val="0"/>
          <w:szCs w:val="20"/>
        </w:rPr>
      </w:pPr>
      <w:r>
        <w:rPr>
          <w:rFonts w:hint="eastAsia"/>
        </w:rPr>
        <w:t>目前国内现行</w:t>
      </w:r>
      <w:r>
        <w:rPr>
          <w:rFonts w:ascii="宋体" w:hAnsi="Times New Roman" w:hint="eastAsia"/>
          <w:kern w:val="0"/>
          <w:szCs w:val="20"/>
        </w:rPr>
        <w:t>的同类标准有T/CAS 326—2021《工程能力评价通用规范》、T/CAS 366—2019《土木工程类工程能力评价规范》、T/ZGTXXH 001-2020《信息通信工程类工程能力评价规范》、T/JSIE 0001—2021《江苏省工程能力评价通用规范》。国外标准有I</w:t>
      </w:r>
      <w:r>
        <w:rPr>
          <w:rFonts w:ascii="宋体" w:hAnsi="Times New Roman"/>
          <w:kern w:val="0"/>
          <w:szCs w:val="20"/>
        </w:rPr>
        <w:t>ET使用的第三版《</w:t>
      </w:r>
      <w:r>
        <w:rPr>
          <w:rFonts w:ascii="宋体" w:hAnsi="Times New Roman" w:hint="eastAsia"/>
          <w:kern w:val="0"/>
          <w:szCs w:val="20"/>
        </w:rPr>
        <w:t>英国职业工程技能标准（UK-SPEC）》，第四版正在修订。</w:t>
      </w:r>
    </w:p>
    <w:p w:rsidR="007C22E1" w:rsidRDefault="00160AA8">
      <w:pPr>
        <w:pStyle w:val="af4"/>
        <w:ind w:firstLineChars="0"/>
        <w:rPr>
          <w:rFonts w:ascii="宋体" w:hAnsi="Times New Roman"/>
          <w:kern w:val="0"/>
          <w:szCs w:val="20"/>
        </w:rPr>
      </w:pPr>
      <w:r>
        <w:rPr>
          <w:rFonts w:ascii="宋体" w:hAnsi="Times New Roman" w:hint="eastAsia"/>
          <w:kern w:val="0"/>
          <w:szCs w:val="20"/>
        </w:rPr>
        <w:t>本规范的修订充分采纳了T/CAS 326—2021《工程能力评价通用规范》以及UK-SPEC中的工程师分级理念，根据电气类工程领域特点，保留了技术环节的设置，并根据学科发展适时补充了相关专业。</w:t>
      </w:r>
    </w:p>
    <w:p w:rsidR="00223A20" w:rsidRDefault="00160AA8" w:rsidP="00223A20">
      <w:pPr>
        <w:pStyle w:val="af4"/>
        <w:ind w:firstLineChars="0"/>
        <w:rPr>
          <w:rFonts w:ascii="宋体" w:hAnsi="Times New Roman"/>
          <w:kern w:val="0"/>
          <w:szCs w:val="20"/>
        </w:rPr>
      </w:pPr>
      <w:r>
        <w:rPr>
          <w:rFonts w:ascii="宋体" w:hAnsi="Times New Roman" w:hint="eastAsia"/>
          <w:kern w:val="0"/>
          <w:szCs w:val="20"/>
        </w:rPr>
        <w:t>在适应电气工程类工程能力评价体系国际化的背景下，为规范电气工程类工程能力评价工作，根据中国科协安排，由中国电机工程学会负责组织相关全国学会和单位制定电气工程类工程能力评价标准。中国科学技术协会所属全国学会获得中国科协电气工程类工程能力评价的授权后，可对其会员开展电气工程类工程能力评价。会员经评价合格，可注册成为电气工程类工程会员。</w:t>
      </w:r>
    </w:p>
    <w:p w:rsidR="007C22E1" w:rsidRDefault="00160AA8" w:rsidP="00F5014B">
      <w:pPr>
        <w:pStyle w:val="af4"/>
        <w:ind w:firstLineChars="0"/>
        <w:rPr>
          <w:rFonts w:ascii="黑体" w:eastAsia="黑体" w:hAnsi="黑体" w:hint="eastAsia"/>
          <w:b/>
        </w:rPr>
      </w:pPr>
      <w:r>
        <w:rPr>
          <w:rFonts w:ascii="Times New Roman" w:hint="eastAsia"/>
          <w:szCs w:val="21"/>
        </w:rPr>
        <w:t xml:space="preserve">      </w:t>
      </w:r>
    </w:p>
    <w:sectPr w:rsidR="007C22E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9F" w:rsidRDefault="003B749F">
      <w:r>
        <w:separator/>
      </w:r>
    </w:p>
  </w:endnote>
  <w:endnote w:type="continuationSeparator" w:id="0">
    <w:p w:rsidR="003B749F" w:rsidRDefault="003B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E1" w:rsidRDefault="007C22E1">
    <w:pPr>
      <w:pStyle w:val="af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002584"/>
    </w:sdtPr>
    <w:sdtEndPr/>
    <w:sdtContent>
      <w:p w:rsidR="007C22E1" w:rsidRDefault="00160AA8">
        <w:pPr>
          <w:pStyle w:val="a6"/>
          <w:jc w:val="center"/>
        </w:pPr>
        <w:r>
          <w:fldChar w:fldCharType="begin"/>
        </w:r>
        <w:r>
          <w:instrText>PAGE   \* MERGEFORMAT</w:instrText>
        </w:r>
        <w:r>
          <w:fldChar w:fldCharType="separate"/>
        </w:r>
        <w:r w:rsidR="00F5014B" w:rsidRPr="00F5014B">
          <w:rPr>
            <w:noProof/>
            <w:lang w:val="zh-CN"/>
          </w:rPr>
          <w:t>2</w:t>
        </w:r>
        <w:r>
          <w:fldChar w:fldCharType="end"/>
        </w:r>
      </w:p>
    </w:sdtContent>
  </w:sdt>
  <w:p w:rsidR="007C22E1" w:rsidRDefault="007C22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9F" w:rsidRDefault="003B749F">
      <w:r>
        <w:separator/>
      </w:r>
    </w:p>
  </w:footnote>
  <w:footnote w:type="continuationSeparator" w:id="0">
    <w:p w:rsidR="003B749F" w:rsidRDefault="003B7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E1" w:rsidRDefault="00160AA8">
    <w:pPr>
      <w:pStyle w:val="ae"/>
      <w:spacing w:before="120" w:after="120"/>
      <w:jc w:val="both"/>
    </w:pPr>
    <w:r>
      <w:t>Q/</w:t>
    </w:r>
    <w:r>
      <w:rPr>
        <w:rFonts w:hint="eastAsia"/>
      </w:rPr>
      <w:t>GDW</w:t>
    </w:r>
    <w:r>
      <w:rPr>
        <w:rFonts w:hAnsi="宋体" w:hint="eastAsia"/>
      </w:rPr>
      <w:t xml:space="preserve"> </w:t>
    </w:r>
    <w:r>
      <w:rPr>
        <w:rFonts w:hAnsi="黑体" w:hint="eastAsia"/>
      </w:rPr>
      <w:t>XX-XXX</w:t>
    </w:r>
    <w:r>
      <w:rPr>
        <w:rFonts w:hAnsi="黑体"/>
      </w:rPr>
      <w:t>—</w:t>
    </w:r>
    <w:r>
      <w:rPr>
        <w:rFonts w:hAnsi="黑体" w:hint="eastAsia"/>
      </w:rPr>
      <w:t>2012-1XXXX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E1" w:rsidRDefault="00160AA8">
    <w:pPr>
      <w:pStyle w:val="ae"/>
      <w:wordWrap w:val="0"/>
    </w:pPr>
    <w:r>
      <w:rPr>
        <w:rFonts w:hint="eastAsia"/>
      </w:rPr>
      <w:t>T</w:t>
    </w:r>
    <w:r>
      <w:t>/</w:t>
    </w:r>
    <w:r>
      <w:rPr>
        <w:rFonts w:hint="eastAsia"/>
      </w:rPr>
      <w:t>CSEE</w:t>
    </w:r>
    <w:r w:rsidR="00F5014B">
      <w:rPr>
        <w:rFonts w:hAnsi="黑体" w:hint="eastAsia"/>
      </w:rPr>
      <w:t xml:space="preserve"> </w:t>
    </w:r>
    <w:r w:rsidR="00F5014B">
      <w:rPr>
        <w:rFonts w:hAnsi="黑体"/>
      </w:rPr>
      <w:t>0145</w:t>
    </w:r>
    <w:r>
      <w:rPr>
        <w:rFonts w:hAnsi="黑体" w:hint="eastAsia"/>
      </w:rPr>
      <w:t>-YYYY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E1" w:rsidRDefault="007C22E1">
    <w:pPr>
      <w:pStyle w:val="ae"/>
      <w:wordWrap w:val="0"/>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7C"/>
    <w:rsid w:val="00010C6D"/>
    <w:rsid w:val="00160AA8"/>
    <w:rsid w:val="00170B16"/>
    <w:rsid w:val="00207E44"/>
    <w:rsid w:val="00223A20"/>
    <w:rsid w:val="00281AD6"/>
    <w:rsid w:val="003B749F"/>
    <w:rsid w:val="003E1BEC"/>
    <w:rsid w:val="00451D2E"/>
    <w:rsid w:val="004B04A3"/>
    <w:rsid w:val="0052723B"/>
    <w:rsid w:val="005C027D"/>
    <w:rsid w:val="00650F0C"/>
    <w:rsid w:val="006F502A"/>
    <w:rsid w:val="00705A42"/>
    <w:rsid w:val="007C22E1"/>
    <w:rsid w:val="008757D9"/>
    <w:rsid w:val="00937DBB"/>
    <w:rsid w:val="00960BA2"/>
    <w:rsid w:val="009A2BB5"/>
    <w:rsid w:val="009F28CE"/>
    <w:rsid w:val="00A368A8"/>
    <w:rsid w:val="00A64692"/>
    <w:rsid w:val="00A8222A"/>
    <w:rsid w:val="00B07B65"/>
    <w:rsid w:val="00B11B25"/>
    <w:rsid w:val="00BC2AD0"/>
    <w:rsid w:val="00C71B0E"/>
    <w:rsid w:val="00D00A7C"/>
    <w:rsid w:val="00D127FC"/>
    <w:rsid w:val="00DA7F94"/>
    <w:rsid w:val="00DF1DB0"/>
    <w:rsid w:val="00E55888"/>
    <w:rsid w:val="00E60CB4"/>
    <w:rsid w:val="00E71D04"/>
    <w:rsid w:val="00E95A88"/>
    <w:rsid w:val="00EF0B3B"/>
    <w:rsid w:val="00F2039C"/>
    <w:rsid w:val="00F5014B"/>
    <w:rsid w:val="00F72BF5"/>
    <w:rsid w:val="2C2035C2"/>
    <w:rsid w:val="376D5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9FB84EA-D6BA-4794-A983-E34C466D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Calibri" w:eastAsia="宋体" w:hAnsi="Calibri" w:cs="Times New Roman"/>
      <w:kern w:val="2"/>
      <w:sz w:val="21"/>
      <w:szCs w:val="22"/>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semiHidden/>
    <w:unhideWhenUsed/>
    <w:qFormat/>
    <w:rPr>
      <w:sz w:val="18"/>
      <w:szCs w:val="18"/>
    </w:rPr>
  </w:style>
  <w:style w:type="paragraph" w:styleId="a6">
    <w:name w:val="footer"/>
    <w:basedOn w:val="a1"/>
    <w:link w:val="Char0"/>
    <w:uiPriority w:val="99"/>
    <w:unhideWhenUsed/>
    <w:pPr>
      <w:tabs>
        <w:tab w:val="center" w:pos="4153"/>
        <w:tab w:val="right" w:pos="8306"/>
      </w:tabs>
      <w:snapToGrid w:val="0"/>
      <w:jc w:val="left"/>
    </w:pPr>
    <w:rPr>
      <w:kern w:val="0"/>
      <w:sz w:val="18"/>
      <w:szCs w:val="18"/>
    </w:rPr>
  </w:style>
  <w:style w:type="paragraph" w:styleId="a7">
    <w:name w:val="header"/>
    <w:basedOn w:val="a1"/>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pPr>
      <w:tabs>
        <w:tab w:val="right" w:leader="dot" w:pos="9241"/>
      </w:tabs>
      <w:spacing w:beforeLines="25" w:before="25" w:afterLines="25" w:after="25"/>
      <w:jc w:val="left"/>
    </w:pPr>
    <w:rPr>
      <w:rFonts w:ascii="宋体" w:hAnsi="Times New Roman"/>
      <w:szCs w:val="21"/>
    </w:rPr>
  </w:style>
  <w:style w:type="paragraph" w:styleId="a8">
    <w:name w:val="Title"/>
    <w:basedOn w:val="a1"/>
    <w:next w:val="a1"/>
    <w:link w:val="Char2"/>
    <w:qFormat/>
    <w:pPr>
      <w:spacing w:before="240" w:after="60"/>
      <w:jc w:val="center"/>
      <w:outlineLvl w:val="0"/>
    </w:pPr>
    <w:rPr>
      <w:rFonts w:ascii="Cambria" w:hAnsi="Cambria"/>
      <w:b/>
      <w:bCs/>
      <w:sz w:val="32"/>
      <w:szCs w:val="32"/>
    </w:rPr>
  </w:style>
  <w:style w:type="character" w:styleId="a9">
    <w:name w:val="page number"/>
    <w:qFormat/>
    <w:rPr>
      <w:rFonts w:ascii="Times New Roman" w:eastAsia="宋体" w:hAnsi="Times New Roman"/>
      <w:sz w:val="18"/>
    </w:rPr>
  </w:style>
  <w:style w:type="character" w:styleId="aa">
    <w:name w:val="Hyperlink"/>
    <w:uiPriority w:val="99"/>
    <w:qFormat/>
    <w:rPr>
      <w:rFonts w:cs="Times New Roman"/>
      <w:color w:val="0563C1"/>
      <w:u w:val="single"/>
    </w:rPr>
  </w:style>
  <w:style w:type="character" w:customStyle="1" w:styleId="Char2">
    <w:name w:val="标题 Char"/>
    <w:basedOn w:val="a2"/>
    <w:link w:val="a8"/>
    <w:qFormat/>
    <w:rPr>
      <w:rFonts w:ascii="Cambria" w:eastAsia="宋体" w:hAnsi="Cambria" w:cs="Times New Roman"/>
      <w:b/>
      <w:bCs/>
      <w:sz w:val="32"/>
      <w:szCs w:val="32"/>
    </w:rPr>
  </w:style>
  <w:style w:type="character" w:customStyle="1" w:styleId="Char0">
    <w:name w:val="页脚 Char"/>
    <w:basedOn w:val="a2"/>
    <w:link w:val="a6"/>
    <w:uiPriority w:val="99"/>
    <w:rPr>
      <w:rFonts w:ascii="Calibri" w:eastAsia="宋体" w:hAnsi="Calibri" w:cs="Times New Roman"/>
      <w:kern w:val="0"/>
      <w:sz w:val="18"/>
      <w:szCs w:val="18"/>
    </w:rPr>
  </w:style>
  <w:style w:type="paragraph" w:customStyle="1" w:styleId="ab">
    <w:name w:val="封面一致性程度标识"/>
    <w:qFormat/>
    <w:pPr>
      <w:spacing w:before="680" w:line="400" w:lineRule="exact"/>
      <w:jc w:val="center"/>
    </w:pPr>
    <w:rPr>
      <w:rFonts w:ascii="黑体" w:eastAsia="黑体" w:hAnsi="黑体" w:cs="Times New Roman"/>
      <w:sz w:val="28"/>
    </w:rPr>
  </w:style>
  <w:style w:type="paragraph" w:customStyle="1" w:styleId="ac">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d">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e">
    <w:name w:val="标准书眉_奇数页"/>
    <w:next w:val="a1"/>
    <w:qFormat/>
    <w:pPr>
      <w:tabs>
        <w:tab w:val="center" w:pos="4154"/>
        <w:tab w:val="right" w:pos="8306"/>
      </w:tabs>
      <w:spacing w:after="220"/>
      <w:jc w:val="right"/>
    </w:pPr>
    <w:rPr>
      <w:rFonts w:ascii="黑体" w:eastAsia="黑体" w:hAnsi="Times New Roman" w:cs="Times New Roman"/>
      <w:sz w:val="21"/>
      <w:szCs w:val="21"/>
    </w:rPr>
  </w:style>
  <w:style w:type="paragraph" w:customStyle="1" w:styleId="a">
    <w:name w:val="章标题"/>
    <w:next w:val="ad"/>
    <w:qFormat/>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f">
    <w:name w:val="封面标准代替信息"/>
    <w:basedOn w:val="a1"/>
    <w:qFormat/>
    <w:pPr>
      <w:kinsoku w:val="0"/>
      <w:overflowPunct w:val="0"/>
      <w:autoSpaceDE w:val="0"/>
      <w:autoSpaceDN w:val="0"/>
      <w:adjustRightInd w:val="0"/>
      <w:spacing w:line="360" w:lineRule="exact"/>
      <w:jc w:val="right"/>
      <w:textAlignment w:val="center"/>
    </w:pPr>
    <w:rPr>
      <w:rFonts w:ascii="黑体" w:eastAsia="黑体" w:hAnsi="黑体"/>
      <w:kern w:val="0"/>
      <w:szCs w:val="20"/>
    </w:rPr>
  </w:style>
  <w:style w:type="paragraph" w:customStyle="1" w:styleId="11">
    <w:name w:val="封面标准号1"/>
    <w:qFormat/>
    <w:pPr>
      <w:widowControl w:val="0"/>
      <w:kinsoku w:val="0"/>
      <w:overflowPunct w:val="0"/>
      <w:autoSpaceDE w:val="0"/>
      <w:autoSpaceDN w:val="0"/>
      <w:spacing w:line="360" w:lineRule="exact"/>
      <w:jc w:val="right"/>
      <w:textAlignment w:val="center"/>
    </w:pPr>
    <w:rPr>
      <w:rFonts w:ascii="黑体" w:eastAsia="黑体" w:hAnsi="Times New Roman" w:cs="Times New Roman"/>
      <w:sz w:val="28"/>
    </w:rPr>
  </w:style>
  <w:style w:type="paragraph" w:customStyle="1" w:styleId="af0">
    <w:name w:val="封面标准英文名称"/>
    <w:qFormat/>
    <w:pPr>
      <w:widowControl w:val="0"/>
      <w:spacing w:before="330" w:line="400" w:lineRule="exact"/>
      <w:jc w:val="center"/>
    </w:pPr>
    <w:rPr>
      <w:rFonts w:ascii="黑体" w:eastAsia="黑体" w:hAnsi="Times New Roman" w:cs="Times New Roman"/>
      <w:sz w:val="28"/>
    </w:rPr>
  </w:style>
  <w:style w:type="paragraph" w:customStyle="1" w:styleId="af1">
    <w:name w:val="实施日期"/>
    <w:basedOn w:val="af2"/>
    <w:qFormat/>
    <w:pPr>
      <w:jc w:val="right"/>
    </w:pPr>
  </w:style>
  <w:style w:type="paragraph" w:customStyle="1" w:styleId="af2">
    <w:name w:val="发布日期"/>
    <w:qFormat/>
    <w:rPr>
      <w:rFonts w:ascii="黑体" w:eastAsia="黑体" w:hAnsi="黑体" w:cs="Times New Roman"/>
      <w:sz w:val="28"/>
    </w:rPr>
  </w:style>
  <w:style w:type="paragraph" w:customStyle="1" w:styleId="12">
    <w:name w:val="样式 标题 1 + 非加粗"/>
    <w:basedOn w:val="1"/>
    <w:qFormat/>
    <w:pPr>
      <w:spacing w:beforeLines="100" w:before="100" w:afterLines="100" w:after="100" w:line="240" w:lineRule="auto"/>
    </w:pPr>
    <w:rPr>
      <w:rFonts w:ascii="Times New Roman" w:eastAsia="黑体" w:hAnsi="Times New Roman"/>
      <w:b w:val="0"/>
      <w:bCs w:val="0"/>
      <w:sz w:val="21"/>
    </w:rPr>
  </w:style>
  <w:style w:type="paragraph" w:customStyle="1" w:styleId="af3">
    <w:name w:val="目次、标准名称标题"/>
    <w:basedOn w:val="a1"/>
    <w:next w:val="ad"/>
    <w:qFormat/>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TB">
    <w:name w:val="发布TB"/>
    <w:basedOn w:val="a1"/>
    <w:qFormat/>
    <w:pPr>
      <w:spacing w:line="280" w:lineRule="exact"/>
      <w:ind w:left="567"/>
    </w:pPr>
    <w:rPr>
      <w:rFonts w:ascii="黑体" w:eastAsia="黑体" w:hAnsi="Times New Roman"/>
      <w:kern w:val="3"/>
      <w:sz w:val="28"/>
      <w:szCs w:val="20"/>
    </w:rPr>
  </w:style>
  <w:style w:type="paragraph" w:styleId="af4">
    <w:name w:val="List Paragraph"/>
    <w:basedOn w:val="a1"/>
    <w:uiPriority w:val="34"/>
    <w:qFormat/>
    <w:pPr>
      <w:ind w:firstLineChars="200" w:firstLine="420"/>
    </w:pPr>
  </w:style>
  <w:style w:type="paragraph" w:customStyle="1" w:styleId="a0">
    <w:name w:val="附录章标题"/>
    <w:next w:val="ad"/>
    <w:qFormat/>
    <w:pPr>
      <w:numPr>
        <w:ilvl w:val="1"/>
        <w:numId w:val="2"/>
      </w:num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 w:val="21"/>
    </w:rPr>
  </w:style>
  <w:style w:type="paragraph" w:customStyle="1" w:styleId="TB0">
    <w:name w:val="发布部门TB"/>
    <w:basedOn w:val="a1"/>
    <w:qFormat/>
    <w:pPr>
      <w:widowControl/>
      <w:spacing w:line="360" w:lineRule="exact"/>
      <w:jc w:val="center"/>
    </w:pPr>
    <w:rPr>
      <w:rFonts w:ascii="黑体" w:eastAsia="黑体" w:hAnsi="黑体"/>
      <w:spacing w:val="20"/>
      <w:w w:val="135"/>
      <w:kern w:val="0"/>
      <w:sz w:val="36"/>
      <w:szCs w:val="20"/>
    </w:rPr>
  </w:style>
  <w:style w:type="paragraph" w:customStyle="1" w:styleId="af5">
    <w:name w:val="标准书脚_奇数页"/>
    <w:qFormat/>
    <w:pPr>
      <w:spacing w:before="120"/>
      <w:ind w:right="198"/>
      <w:jc w:val="right"/>
    </w:pPr>
    <w:rPr>
      <w:rFonts w:ascii="宋体" w:eastAsia="宋体" w:hAnsi="Times New Roman" w:cs="Times New Roman"/>
      <w:sz w:val="18"/>
      <w:szCs w:val="18"/>
    </w:rPr>
  </w:style>
  <w:style w:type="paragraph" w:customStyle="1" w:styleId="ICS">
    <w:name w:val="ICS"/>
    <w:basedOn w:val="a1"/>
    <w:qFormat/>
    <w:pPr>
      <w:widowControl/>
      <w:jc w:val="left"/>
    </w:pPr>
    <w:rPr>
      <w:rFonts w:ascii="黑体" w:eastAsia="黑体" w:hAnsi="Times New Roman"/>
      <w:kern w:val="0"/>
      <w:szCs w:val="20"/>
    </w:rPr>
  </w:style>
  <w:style w:type="character" w:customStyle="1" w:styleId="1Char">
    <w:name w:val="标题 1 Char"/>
    <w:basedOn w:val="a2"/>
    <w:link w:val="1"/>
    <w:uiPriority w:val="9"/>
    <w:qFormat/>
    <w:rPr>
      <w:rFonts w:ascii="Calibri" w:eastAsia="宋体" w:hAnsi="Calibri" w:cs="Times New Roman"/>
      <w:b/>
      <w:bCs/>
      <w:kern w:val="44"/>
      <w:sz w:val="44"/>
      <w:szCs w:val="44"/>
    </w:rPr>
  </w:style>
  <w:style w:type="character" w:customStyle="1" w:styleId="Char">
    <w:name w:val="批注框文本 Char"/>
    <w:basedOn w:val="a2"/>
    <w:link w:val="a5"/>
    <w:uiPriority w:val="99"/>
    <w:semiHidden/>
    <w:qFormat/>
    <w:rPr>
      <w:rFonts w:ascii="Calibri" w:eastAsia="宋体" w:hAnsi="Calibri" w:cs="Times New Roman"/>
      <w:sz w:val="18"/>
      <w:szCs w:val="18"/>
    </w:rPr>
  </w:style>
  <w:style w:type="character" w:customStyle="1" w:styleId="Char1">
    <w:name w:val="页眉 Char"/>
    <w:basedOn w:val="a2"/>
    <w:link w:val="a7"/>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73670-0413-42DD-BFB0-35A205CB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CSEE</dc:creator>
  <cp:lastModifiedBy>CSEE</cp:lastModifiedBy>
  <cp:revision>4</cp:revision>
  <dcterms:created xsi:type="dcterms:W3CDTF">2022-11-01T01:03:00Z</dcterms:created>
  <dcterms:modified xsi:type="dcterms:W3CDTF">2022-11-01T01:03:00Z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A0E3D7D27CCD41ABA8B28C96B045EA3E</vt:lpwstr>
  </property>
</Properties>
</file>