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附件1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会议议程（初稿）</w:t>
      </w:r>
    </w:p>
    <w:p>
      <w:pPr>
        <w:spacing w:line="52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40" w:lineRule="exact"/>
        <w:ind w:right="45"/>
        <w:rPr>
          <w:rFonts w:hint="eastAsia" w:ascii="仿宋_GB2312" w:hAnsi="宋体"/>
          <w:spacing w:val="-10"/>
          <w:sz w:val="28"/>
          <w:szCs w:val="28"/>
        </w:rPr>
      </w:pPr>
      <w:r>
        <w:rPr>
          <w:rFonts w:hint="eastAsia" w:ascii="仿宋_GB2312" w:hAnsi="宋体"/>
          <w:spacing w:val="-10"/>
          <w:sz w:val="28"/>
          <w:szCs w:val="28"/>
        </w:rPr>
        <w:t xml:space="preserve">时间:2022年11月18日          </w:t>
      </w:r>
    </w:p>
    <w:p>
      <w:pPr>
        <w:spacing w:line="440" w:lineRule="exact"/>
        <w:ind w:right="45"/>
        <w:rPr>
          <w:rFonts w:ascii="仿宋_GB2312" w:hAnsi="宋体"/>
          <w:spacing w:val="-10"/>
          <w:sz w:val="28"/>
          <w:szCs w:val="28"/>
        </w:rPr>
      </w:pPr>
      <w:r>
        <w:rPr>
          <w:rFonts w:hint="eastAsia" w:ascii="仿宋_GB2312" w:hAnsi="宋体"/>
          <w:spacing w:val="-10"/>
          <w:sz w:val="28"/>
          <w:szCs w:val="28"/>
        </w:rPr>
        <w:t>地点:北京贵都大酒店二层1号会议室      线上腾讯会议号：260973485</w:t>
      </w:r>
    </w:p>
    <w:p>
      <w:pPr>
        <w:spacing w:line="440" w:lineRule="exact"/>
        <w:ind w:right="45"/>
        <w:rPr>
          <w:rFonts w:hint="eastAsia" w:ascii="仿宋_GB2312" w:hAnsi="宋体"/>
          <w:spacing w:val="-10"/>
          <w:sz w:val="28"/>
          <w:szCs w:val="28"/>
        </w:rPr>
      </w:pPr>
    </w:p>
    <w:tbl>
      <w:tblPr>
        <w:tblStyle w:val="2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16"/>
        <w:gridCol w:w="510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7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时间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内容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18日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10:00～10:30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专题报告一：新形势下对我国天然气安全发展的思考-中国石油规划总院管道所首席技术专家周淑慧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10:30～11:00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专题报告二：能源互联网的探索与实践-浙江电力公司发展部三级职员宋春燕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11:00～11:30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专题报告三：近期欧洲电力市场价格及市场机制优化趋势-国网能源院战略所杨素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11:30～12:00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专题报告四：南方区域电力市场建设情况</w:t>
            </w:r>
            <w:r>
              <w:rPr>
                <w:rFonts w:ascii="仿宋_GB2312"/>
                <w:sz w:val="28"/>
                <w:szCs w:val="28"/>
              </w:rPr>
              <w:t>–</w:t>
            </w:r>
            <w:r>
              <w:rPr>
                <w:rFonts w:hint="eastAsia" w:ascii="仿宋_GB2312"/>
                <w:sz w:val="28"/>
                <w:szCs w:val="28"/>
              </w:rPr>
              <w:t>南方电网能源发展研究院项目经理冷媛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13:30～14:00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专题报告五：关于发展现代能源经济的相关思考-国网能源院能源规划所王</w:t>
            </w:r>
            <w:r>
              <w:rPr>
                <w:rFonts w:hint="eastAsia" w:ascii="宋体" w:hAnsi="宋体" w:cs="宋体"/>
                <w:sz w:val="28"/>
                <w:szCs w:val="28"/>
              </w:rPr>
              <w:t>芃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14:00～14:30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专题报告六：电力系统灵活性资源的经济性评价方法研究-长春工程学院系副主任周景宏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14:30～14:45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会间休息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14:45～17:00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交流讨论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</w:tbl>
    <w:p>
      <w:r>
        <w:rPr>
          <w:rFonts w:ascii="黑体" w:eastAsia="黑体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BCB10A3"/>
    <w:rsid w:val="6BC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2022-11-16T06:58:00Z</dcterms:created>
  <dc:creator>yc melody</dc:creator>
  <cp:lastModifiedBy>yc melody</cp:lastModifiedBy>
  <dcterms:modified xsi:type="dcterms:W3CDTF">2022-11-16T06:58:45Z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D1462686AFB04294A0DAB07C9B2AE651</vt:lpwstr>
  </property>
</Properties>
</file>