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DF6" w:rsidRDefault="008B6DF6" w:rsidP="008B6DF6">
      <w:pPr>
        <w:rPr>
          <w:rFonts w:ascii="黑体" w:eastAsia="黑体" w:hAnsi="黑体"/>
          <w:color w:val="000000"/>
          <w:szCs w:val="32"/>
        </w:rPr>
      </w:pPr>
      <w:r>
        <w:rPr>
          <w:rFonts w:ascii="黑体" w:eastAsia="黑体" w:hAnsi="黑体" w:hint="eastAsia"/>
          <w:color w:val="000000"/>
          <w:szCs w:val="32"/>
        </w:rPr>
        <w:t>附件</w:t>
      </w:r>
      <w:r>
        <w:rPr>
          <w:rFonts w:ascii="黑体" w:eastAsia="黑体" w:hAnsi="黑体"/>
          <w:color w:val="000000"/>
          <w:szCs w:val="32"/>
        </w:rPr>
        <w:t>2</w:t>
      </w:r>
    </w:p>
    <w:p w:rsidR="008B6DF6" w:rsidRDefault="008B6DF6" w:rsidP="008B6DF6">
      <w:pPr>
        <w:widowControl/>
        <w:adjustRightInd w:val="0"/>
        <w:snapToGrid w:val="0"/>
        <w:spacing w:line="580" w:lineRule="exact"/>
        <w:jc w:val="center"/>
        <w:rPr>
          <w:rFonts w:ascii="宋体" w:hAnsi="宋体" w:cs="宋体"/>
          <w:b/>
          <w:bCs/>
          <w:kern w:val="0"/>
          <w:sz w:val="44"/>
          <w:szCs w:val="32"/>
        </w:rPr>
      </w:pPr>
      <w:r>
        <w:rPr>
          <w:rFonts w:ascii="宋体" w:hAnsi="宋体" w:cs="宋体" w:hint="eastAsia"/>
          <w:b/>
          <w:bCs/>
          <w:kern w:val="0"/>
          <w:sz w:val="44"/>
          <w:szCs w:val="32"/>
        </w:rPr>
        <w:t>202</w:t>
      </w:r>
      <w:r>
        <w:rPr>
          <w:rFonts w:ascii="宋体" w:hAnsi="宋体" w:cs="宋体"/>
          <w:b/>
          <w:bCs/>
          <w:kern w:val="0"/>
          <w:sz w:val="44"/>
          <w:szCs w:val="32"/>
        </w:rPr>
        <w:t>2</w:t>
      </w:r>
      <w:r>
        <w:rPr>
          <w:rFonts w:ascii="宋体" w:hAnsi="宋体" w:cs="宋体" w:hint="eastAsia"/>
          <w:b/>
          <w:bCs/>
          <w:kern w:val="0"/>
          <w:sz w:val="44"/>
          <w:szCs w:val="32"/>
        </w:rPr>
        <w:t>年</w:t>
      </w:r>
      <w:r>
        <w:rPr>
          <w:rFonts w:ascii="宋体" w:hAnsi="宋体" w:cs="宋体"/>
          <w:b/>
          <w:bCs/>
          <w:kern w:val="0"/>
          <w:sz w:val="44"/>
          <w:szCs w:val="32"/>
        </w:rPr>
        <w:t>清洁高效发电技术协作网年会</w:t>
      </w:r>
      <w:r>
        <w:rPr>
          <w:rFonts w:ascii="宋体" w:hAnsi="宋体" w:cs="宋体" w:hint="eastAsia"/>
          <w:b/>
          <w:bCs/>
          <w:kern w:val="0"/>
          <w:sz w:val="44"/>
          <w:szCs w:val="32"/>
        </w:rPr>
        <w:t>优秀论文遴选计划入选论文列表</w:t>
      </w:r>
    </w:p>
    <w:tbl>
      <w:tblPr>
        <w:tblW w:w="14415"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2370"/>
        <w:gridCol w:w="5097"/>
        <w:gridCol w:w="1985"/>
        <w:gridCol w:w="4108"/>
      </w:tblGrid>
      <w:tr w:rsidR="008B6DF6" w:rsidTr="00E9208F">
        <w:trPr>
          <w:trHeight w:val="270"/>
          <w:tblHeader/>
        </w:trPr>
        <w:tc>
          <w:tcPr>
            <w:tcW w:w="855" w:type="dxa"/>
            <w:shd w:val="clear" w:color="auto" w:fill="BEBEBE"/>
            <w:noWrap/>
            <w:vAlign w:val="center"/>
          </w:tcPr>
          <w:p w:rsidR="008B6DF6" w:rsidRDefault="008B6DF6" w:rsidP="00E9208F">
            <w:pPr>
              <w:widowControl/>
              <w:adjustRightInd w:val="0"/>
              <w:snapToGrid w:val="0"/>
              <w:jc w:val="center"/>
              <w:rPr>
                <w:rFonts w:ascii="仿宋" w:eastAsia="仿宋" w:hAnsi="仿宋" w:cs="仿宋" w:hint="eastAsia"/>
                <w:b/>
                <w:bCs/>
                <w:sz w:val="28"/>
                <w:szCs w:val="28"/>
              </w:rPr>
            </w:pPr>
            <w:r>
              <w:rPr>
                <w:rFonts w:ascii="仿宋" w:eastAsia="仿宋" w:hAnsi="仿宋" w:cs="仿宋" w:hint="eastAsia"/>
                <w:b/>
                <w:bCs/>
                <w:sz w:val="28"/>
                <w:szCs w:val="28"/>
              </w:rPr>
              <w:t>序号</w:t>
            </w:r>
          </w:p>
        </w:tc>
        <w:tc>
          <w:tcPr>
            <w:tcW w:w="2370" w:type="dxa"/>
            <w:shd w:val="clear" w:color="auto" w:fill="BEBEBE"/>
            <w:noWrap/>
            <w:vAlign w:val="center"/>
          </w:tcPr>
          <w:p w:rsidR="008B6DF6" w:rsidRDefault="008B6DF6" w:rsidP="00E9208F">
            <w:pPr>
              <w:widowControl/>
              <w:adjustRightInd w:val="0"/>
              <w:snapToGrid w:val="0"/>
              <w:jc w:val="center"/>
              <w:rPr>
                <w:rFonts w:ascii="仿宋" w:eastAsia="仿宋" w:hAnsi="仿宋" w:cs="仿宋" w:hint="eastAsia"/>
                <w:b/>
                <w:bCs/>
                <w:sz w:val="28"/>
                <w:szCs w:val="28"/>
              </w:rPr>
            </w:pPr>
            <w:r>
              <w:rPr>
                <w:rFonts w:ascii="仿宋" w:eastAsia="仿宋" w:hAnsi="仿宋" w:cs="仿宋" w:hint="eastAsia"/>
                <w:b/>
                <w:bCs/>
                <w:sz w:val="28"/>
                <w:szCs w:val="28"/>
              </w:rPr>
              <w:t>论文编号</w:t>
            </w:r>
          </w:p>
        </w:tc>
        <w:tc>
          <w:tcPr>
            <w:tcW w:w="5097" w:type="dxa"/>
            <w:shd w:val="clear" w:color="auto" w:fill="BEBEBE"/>
            <w:noWrap/>
            <w:vAlign w:val="center"/>
          </w:tcPr>
          <w:p w:rsidR="008B6DF6" w:rsidRDefault="008B6DF6" w:rsidP="00E9208F">
            <w:pPr>
              <w:widowControl/>
              <w:adjustRightInd w:val="0"/>
              <w:snapToGrid w:val="0"/>
              <w:jc w:val="center"/>
              <w:rPr>
                <w:rFonts w:ascii="仿宋" w:eastAsia="仿宋" w:hAnsi="仿宋" w:cs="仿宋" w:hint="eastAsia"/>
                <w:b/>
                <w:bCs/>
                <w:sz w:val="28"/>
                <w:szCs w:val="28"/>
              </w:rPr>
            </w:pPr>
            <w:r>
              <w:rPr>
                <w:rFonts w:ascii="仿宋" w:eastAsia="仿宋" w:hAnsi="仿宋" w:cs="仿宋" w:hint="eastAsia"/>
                <w:b/>
                <w:bCs/>
                <w:sz w:val="28"/>
                <w:szCs w:val="28"/>
              </w:rPr>
              <w:t>论文标题</w:t>
            </w:r>
          </w:p>
        </w:tc>
        <w:tc>
          <w:tcPr>
            <w:tcW w:w="1985" w:type="dxa"/>
            <w:shd w:val="clear" w:color="auto" w:fill="BEBEBE"/>
            <w:noWrap/>
            <w:vAlign w:val="center"/>
          </w:tcPr>
          <w:p w:rsidR="008B6DF6" w:rsidRDefault="008B6DF6" w:rsidP="00E9208F">
            <w:pPr>
              <w:widowControl/>
              <w:adjustRightInd w:val="0"/>
              <w:snapToGrid w:val="0"/>
              <w:jc w:val="center"/>
              <w:rPr>
                <w:rFonts w:ascii="仿宋" w:eastAsia="仿宋" w:hAnsi="仿宋" w:cs="仿宋" w:hint="eastAsia"/>
                <w:b/>
                <w:bCs/>
                <w:sz w:val="28"/>
                <w:szCs w:val="28"/>
              </w:rPr>
            </w:pPr>
            <w:r>
              <w:rPr>
                <w:rFonts w:ascii="仿宋" w:eastAsia="仿宋" w:hAnsi="仿宋" w:cs="仿宋" w:hint="eastAsia"/>
                <w:b/>
                <w:bCs/>
                <w:sz w:val="28"/>
                <w:szCs w:val="28"/>
              </w:rPr>
              <w:t>第一作者姓名</w:t>
            </w:r>
          </w:p>
        </w:tc>
        <w:tc>
          <w:tcPr>
            <w:tcW w:w="4108" w:type="dxa"/>
            <w:shd w:val="clear" w:color="auto" w:fill="BEBEBE"/>
            <w:noWrap/>
            <w:vAlign w:val="center"/>
          </w:tcPr>
          <w:p w:rsidR="008B6DF6" w:rsidRDefault="008B6DF6" w:rsidP="00E9208F">
            <w:pPr>
              <w:widowControl/>
              <w:adjustRightInd w:val="0"/>
              <w:snapToGrid w:val="0"/>
              <w:jc w:val="center"/>
              <w:rPr>
                <w:rFonts w:ascii="仿宋" w:eastAsia="仿宋" w:hAnsi="仿宋" w:cs="仿宋" w:hint="eastAsia"/>
                <w:b/>
                <w:bCs/>
                <w:sz w:val="28"/>
                <w:szCs w:val="28"/>
              </w:rPr>
            </w:pPr>
            <w:r>
              <w:rPr>
                <w:rFonts w:ascii="仿宋" w:eastAsia="仿宋" w:hAnsi="仿宋" w:cs="仿宋" w:hint="eastAsia"/>
                <w:b/>
                <w:bCs/>
                <w:sz w:val="28"/>
                <w:szCs w:val="28"/>
              </w:rPr>
              <w:t>第一作者单位</w:t>
            </w:r>
          </w:p>
        </w:tc>
      </w:tr>
      <w:tr w:rsidR="008B6DF6" w:rsidTr="00E9208F">
        <w:trPr>
          <w:trHeight w:val="270"/>
        </w:trPr>
        <w:tc>
          <w:tcPr>
            <w:tcW w:w="14415" w:type="dxa"/>
            <w:gridSpan w:val="5"/>
            <w:noWrap/>
            <w:vAlign w:val="center"/>
          </w:tcPr>
          <w:p w:rsidR="008B6DF6" w:rsidRDefault="008B6DF6" w:rsidP="00E9208F">
            <w:pPr>
              <w:widowControl/>
              <w:adjustRightInd w:val="0"/>
              <w:snapToGrid w:val="0"/>
              <w:jc w:val="center"/>
              <w:rPr>
                <w:rFonts w:ascii="仿宋" w:eastAsia="仿宋" w:hAnsi="仿宋" w:cs="仿宋" w:hint="eastAsia"/>
                <w:b/>
                <w:bCs/>
                <w:sz w:val="28"/>
                <w:szCs w:val="28"/>
              </w:rPr>
            </w:pPr>
            <w:r>
              <w:rPr>
                <w:rFonts w:ascii="仿宋" w:eastAsia="仿宋" w:hAnsi="仿宋" w:cs="仿宋" w:hint="eastAsia"/>
                <w:b/>
                <w:bCs/>
                <w:sz w:val="28"/>
                <w:szCs w:val="28"/>
              </w:rPr>
              <w:t>第一批</w:t>
            </w:r>
          </w:p>
        </w:tc>
      </w:tr>
      <w:tr w:rsidR="008B6DF6" w:rsidTr="00E9208F">
        <w:trPr>
          <w:trHeight w:val="270"/>
        </w:trPr>
        <w:tc>
          <w:tcPr>
            <w:tcW w:w="855" w:type="dxa"/>
            <w:noWrap/>
            <w:vAlign w:val="center"/>
          </w:tcPr>
          <w:p w:rsidR="008B6DF6" w:rsidRDefault="008B6DF6"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202209040000016</w:t>
            </w:r>
          </w:p>
        </w:tc>
        <w:tc>
          <w:tcPr>
            <w:tcW w:w="5097"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基于惯性导航技术的封闭金属管道内爬行机器人空间定位技术研究及应用</w:t>
            </w:r>
          </w:p>
        </w:tc>
        <w:tc>
          <w:tcPr>
            <w:tcW w:w="1985"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 xml:space="preserve">程 </w:t>
            </w:r>
            <w:r>
              <w:rPr>
                <w:rFonts w:ascii="仿宋" w:eastAsia="仿宋" w:hAnsi="仿宋" w:cs="仿宋"/>
                <w:sz w:val="28"/>
                <w:szCs w:val="28"/>
              </w:rPr>
              <w:t xml:space="preserve"> </w:t>
            </w:r>
            <w:r>
              <w:rPr>
                <w:rFonts w:ascii="仿宋" w:eastAsia="仿宋" w:hAnsi="仿宋" w:cs="仿宋" w:hint="eastAsia"/>
                <w:sz w:val="28"/>
                <w:szCs w:val="28"/>
              </w:rPr>
              <w:t>实</w:t>
            </w:r>
          </w:p>
        </w:tc>
        <w:tc>
          <w:tcPr>
            <w:tcW w:w="4108"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江苏华电昆山热电有限公司</w:t>
            </w:r>
          </w:p>
        </w:tc>
      </w:tr>
      <w:tr w:rsidR="008B6DF6" w:rsidTr="00E9208F">
        <w:trPr>
          <w:trHeight w:val="270"/>
        </w:trPr>
        <w:tc>
          <w:tcPr>
            <w:tcW w:w="855" w:type="dxa"/>
            <w:noWrap/>
            <w:vAlign w:val="center"/>
          </w:tcPr>
          <w:p w:rsidR="008B6DF6" w:rsidRDefault="008B6DF6"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202208070000005</w:t>
            </w:r>
          </w:p>
        </w:tc>
        <w:tc>
          <w:tcPr>
            <w:tcW w:w="5097"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溴化</w:t>
            </w:r>
            <w:proofErr w:type="gramStart"/>
            <w:r>
              <w:rPr>
                <w:rFonts w:ascii="仿宋" w:eastAsia="仿宋" w:hAnsi="仿宋" w:cs="仿宋" w:hint="eastAsia"/>
                <w:sz w:val="28"/>
                <w:szCs w:val="28"/>
              </w:rPr>
              <w:t>锂</w:t>
            </w:r>
            <w:proofErr w:type="gramEnd"/>
            <w:r>
              <w:rPr>
                <w:rFonts w:ascii="仿宋" w:eastAsia="仿宋" w:hAnsi="仿宋" w:cs="仿宋" w:hint="eastAsia"/>
                <w:sz w:val="28"/>
                <w:szCs w:val="28"/>
              </w:rPr>
              <w:t>机组和风冷冷水机组优劣性的研究</w:t>
            </w:r>
          </w:p>
        </w:tc>
        <w:tc>
          <w:tcPr>
            <w:tcW w:w="1985"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邵剑波</w:t>
            </w:r>
          </w:p>
        </w:tc>
        <w:tc>
          <w:tcPr>
            <w:tcW w:w="4108"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胜利油田胜利动力机械集团有限公司</w:t>
            </w:r>
          </w:p>
        </w:tc>
      </w:tr>
      <w:tr w:rsidR="008B6DF6" w:rsidTr="00E9208F">
        <w:trPr>
          <w:trHeight w:val="270"/>
        </w:trPr>
        <w:tc>
          <w:tcPr>
            <w:tcW w:w="14415" w:type="dxa"/>
            <w:gridSpan w:val="5"/>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b/>
                <w:bCs/>
                <w:sz w:val="28"/>
                <w:szCs w:val="28"/>
              </w:rPr>
              <w:t>第二批</w:t>
            </w:r>
          </w:p>
        </w:tc>
      </w:tr>
      <w:tr w:rsidR="008B6DF6" w:rsidTr="00E9208F">
        <w:trPr>
          <w:trHeight w:val="270"/>
        </w:trPr>
        <w:tc>
          <w:tcPr>
            <w:tcW w:w="855" w:type="dxa"/>
            <w:noWrap/>
            <w:vAlign w:val="center"/>
          </w:tcPr>
          <w:p w:rsidR="008B6DF6" w:rsidRDefault="008B6DF6"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202207290000004</w:t>
            </w:r>
          </w:p>
        </w:tc>
        <w:tc>
          <w:tcPr>
            <w:tcW w:w="5097"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“双碳”背景下云南省能源高质量发展研究</w:t>
            </w:r>
          </w:p>
        </w:tc>
        <w:tc>
          <w:tcPr>
            <w:tcW w:w="1985"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proofErr w:type="gramStart"/>
            <w:r>
              <w:rPr>
                <w:rFonts w:ascii="仿宋" w:eastAsia="仿宋" w:hAnsi="仿宋" w:cs="仿宋" w:hint="eastAsia"/>
                <w:sz w:val="28"/>
                <w:szCs w:val="28"/>
              </w:rPr>
              <w:t>黎孟岩</w:t>
            </w:r>
            <w:proofErr w:type="gramEnd"/>
          </w:p>
        </w:tc>
        <w:tc>
          <w:tcPr>
            <w:tcW w:w="4108"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中国电建集团昆明勘测设计研究院有限公司</w:t>
            </w:r>
          </w:p>
        </w:tc>
      </w:tr>
      <w:tr w:rsidR="008B6DF6" w:rsidTr="00E9208F">
        <w:trPr>
          <w:trHeight w:val="270"/>
        </w:trPr>
        <w:tc>
          <w:tcPr>
            <w:tcW w:w="855" w:type="dxa"/>
            <w:noWrap/>
            <w:vAlign w:val="center"/>
          </w:tcPr>
          <w:p w:rsidR="008B6DF6" w:rsidRDefault="008B6DF6"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202207210000015</w:t>
            </w:r>
          </w:p>
        </w:tc>
        <w:tc>
          <w:tcPr>
            <w:tcW w:w="5097"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以提升供热保障能力为目标的“三改联动”研究和实践</w:t>
            </w:r>
          </w:p>
        </w:tc>
        <w:tc>
          <w:tcPr>
            <w:tcW w:w="1985"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proofErr w:type="gramStart"/>
            <w:r>
              <w:rPr>
                <w:rFonts w:ascii="仿宋" w:eastAsia="仿宋" w:hAnsi="仿宋" w:cs="仿宋" w:hint="eastAsia"/>
                <w:sz w:val="28"/>
                <w:szCs w:val="28"/>
              </w:rPr>
              <w:t>韦存海</w:t>
            </w:r>
            <w:proofErr w:type="gramEnd"/>
          </w:p>
        </w:tc>
        <w:tc>
          <w:tcPr>
            <w:tcW w:w="4108"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proofErr w:type="gramStart"/>
            <w:r>
              <w:rPr>
                <w:rFonts w:ascii="仿宋" w:eastAsia="仿宋" w:hAnsi="仿宋" w:cs="仿宋" w:hint="eastAsia"/>
                <w:sz w:val="28"/>
                <w:szCs w:val="28"/>
              </w:rPr>
              <w:t>国电投集团</w:t>
            </w:r>
            <w:proofErr w:type="gramEnd"/>
            <w:r>
              <w:rPr>
                <w:rFonts w:ascii="仿宋" w:eastAsia="仿宋" w:hAnsi="仿宋" w:cs="仿宋" w:hint="eastAsia"/>
                <w:sz w:val="28"/>
                <w:szCs w:val="28"/>
              </w:rPr>
              <w:t>河北公司</w:t>
            </w:r>
          </w:p>
        </w:tc>
      </w:tr>
      <w:tr w:rsidR="008B6DF6" w:rsidTr="00E9208F">
        <w:trPr>
          <w:trHeight w:val="270"/>
        </w:trPr>
        <w:tc>
          <w:tcPr>
            <w:tcW w:w="855" w:type="dxa"/>
            <w:noWrap/>
            <w:vAlign w:val="center"/>
          </w:tcPr>
          <w:p w:rsidR="008B6DF6" w:rsidRDefault="008B6DF6"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202206160000006</w:t>
            </w:r>
          </w:p>
        </w:tc>
        <w:tc>
          <w:tcPr>
            <w:tcW w:w="5097"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运行未满一年风</w:t>
            </w:r>
            <w:proofErr w:type="gramStart"/>
            <w:r>
              <w:rPr>
                <w:rFonts w:ascii="仿宋" w:eastAsia="仿宋" w:hAnsi="仿宋" w:cs="仿宋" w:hint="eastAsia"/>
                <w:sz w:val="28"/>
                <w:szCs w:val="28"/>
              </w:rPr>
              <w:t>电项目</w:t>
            </w:r>
            <w:proofErr w:type="gramEnd"/>
            <w:r>
              <w:rPr>
                <w:rFonts w:ascii="仿宋" w:eastAsia="仿宋" w:hAnsi="仿宋" w:cs="仿宋" w:hint="eastAsia"/>
                <w:sz w:val="28"/>
                <w:szCs w:val="28"/>
              </w:rPr>
              <w:t>发电量评估方法研究与实例分析</w:t>
            </w:r>
          </w:p>
        </w:tc>
        <w:tc>
          <w:tcPr>
            <w:tcW w:w="1985"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 xml:space="preserve">雷 </w:t>
            </w:r>
            <w:r>
              <w:rPr>
                <w:rFonts w:ascii="仿宋" w:eastAsia="仿宋" w:hAnsi="仿宋" w:cs="仿宋"/>
                <w:sz w:val="28"/>
                <w:szCs w:val="28"/>
              </w:rPr>
              <w:t xml:space="preserve"> </w:t>
            </w:r>
            <w:r>
              <w:rPr>
                <w:rFonts w:ascii="仿宋" w:eastAsia="仿宋" w:hAnsi="仿宋" w:cs="仿宋" w:hint="eastAsia"/>
                <w:sz w:val="28"/>
                <w:szCs w:val="28"/>
              </w:rPr>
              <w:t>航</w:t>
            </w:r>
          </w:p>
        </w:tc>
        <w:tc>
          <w:tcPr>
            <w:tcW w:w="4108"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西安热工研究院有限公司</w:t>
            </w:r>
          </w:p>
        </w:tc>
      </w:tr>
      <w:tr w:rsidR="008B6DF6" w:rsidTr="00E9208F">
        <w:trPr>
          <w:trHeight w:val="270"/>
        </w:trPr>
        <w:tc>
          <w:tcPr>
            <w:tcW w:w="14415" w:type="dxa"/>
            <w:gridSpan w:val="5"/>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b/>
                <w:bCs/>
                <w:sz w:val="28"/>
                <w:szCs w:val="28"/>
              </w:rPr>
              <w:t>第三批</w:t>
            </w:r>
          </w:p>
        </w:tc>
      </w:tr>
      <w:tr w:rsidR="008B6DF6" w:rsidTr="00E9208F">
        <w:trPr>
          <w:trHeight w:val="270"/>
        </w:trPr>
        <w:tc>
          <w:tcPr>
            <w:tcW w:w="855" w:type="dxa"/>
            <w:noWrap/>
            <w:vAlign w:val="center"/>
          </w:tcPr>
          <w:p w:rsidR="008B6DF6" w:rsidRDefault="008B6DF6"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202208040000013</w:t>
            </w:r>
          </w:p>
        </w:tc>
        <w:tc>
          <w:tcPr>
            <w:tcW w:w="5097"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proofErr w:type="gramStart"/>
            <w:r>
              <w:rPr>
                <w:rFonts w:ascii="仿宋" w:eastAsia="仿宋" w:hAnsi="仿宋" w:cs="仿宋" w:hint="eastAsia"/>
                <w:sz w:val="28"/>
                <w:szCs w:val="28"/>
              </w:rPr>
              <w:t>汽动引</w:t>
            </w:r>
            <w:proofErr w:type="gramEnd"/>
            <w:r>
              <w:rPr>
                <w:rFonts w:ascii="仿宋" w:eastAsia="仿宋" w:hAnsi="仿宋" w:cs="仿宋" w:hint="eastAsia"/>
                <w:sz w:val="28"/>
                <w:szCs w:val="28"/>
              </w:rPr>
              <w:t>风机RB控制试验分析及优化研究</w:t>
            </w:r>
          </w:p>
        </w:tc>
        <w:tc>
          <w:tcPr>
            <w:tcW w:w="1985"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 xml:space="preserve">陈 </w:t>
            </w:r>
            <w:r>
              <w:rPr>
                <w:rFonts w:ascii="仿宋" w:eastAsia="仿宋" w:hAnsi="仿宋" w:cs="仿宋"/>
                <w:sz w:val="28"/>
                <w:szCs w:val="28"/>
              </w:rPr>
              <w:t xml:space="preserve"> </w:t>
            </w:r>
            <w:r>
              <w:rPr>
                <w:rFonts w:ascii="仿宋" w:eastAsia="仿宋" w:hAnsi="仿宋" w:cs="仿宋" w:hint="eastAsia"/>
                <w:sz w:val="28"/>
                <w:szCs w:val="28"/>
              </w:rPr>
              <w:t>刚</w:t>
            </w:r>
          </w:p>
        </w:tc>
        <w:tc>
          <w:tcPr>
            <w:tcW w:w="4108"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国能南京电力试验研究有限公司</w:t>
            </w:r>
          </w:p>
        </w:tc>
      </w:tr>
      <w:tr w:rsidR="008B6DF6" w:rsidTr="00E9208F">
        <w:trPr>
          <w:trHeight w:val="270"/>
        </w:trPr>
        <w:tc>
          <w:tcPr>
            <w:tcW w:w="855" w:type="dxa"/>
            <w:noWrap/>
            <w:vAlign w:val="center"/>
          </w:tcPr>
          <w:p w:rsidR="008B6DF6" w:rsidRDefault="008B6DF6"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202206200000003</w:t>
            </w:r>
          </w:p>
        </w:tc>
        <w:tc>
          <w:tcPr>
            <w:tcW w:w="5097"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四角切圆锅炉缓解高温腐蚀的燃烧优化试验研究</w:t>
            </w:r>
          </w:p>
        </w:tc>
        <w:tc>
          <w:tcPr>
            <w:tcW w:w="1985"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 xml:space="preserve">王 </w:t>
            </w:r>
            <w:r>
              <w:rPr>
                <w:rFonts w:ascii="仿宋" w:eastAsia="仿宋" w:hAnsi="仿宋" w:cs="仿宋"/>
                <w:sz w:val="28"/>
                <w:szCs w:val="28"/>
              </w:rPr>
              <w:t xml:space="preserve"> </w:t>
            </w:r>
            <w:r>
              <w:rPr>
                <w:rFonts w:ascii="仿宋" w:eastAsia="仿宋" w:hAnsi="仿宋" w:cs="仿宋" w:hint="eastAsia"/>
                <w:sz w:val="28"/>
                <w:szCs w:val="28"/>
              </w:rPr>
              <w:t>克</w:t>
            </w:r>
          </w:p>
        </w:tc>
        <w:tc>
          <w:tcPr>
            <w:tcW w:w="4108"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上海市特种设备监督检验技术研究院</w:t>
            </w:r>
          </w:p>
        </w:tc>
      </w:tr>
      <w:tr w:rsidR="008B6DF6" w:rsidTr="00E9208F">
        <w:trPr>
          <w:trHeight w:val="270"/>
        </w:trPr>
        <w:tc>
          <w:tcPr>
            <w:tcW w:w="855" w:type="dxa"/>
            <w:noWrap/>
            <w:vAlign w:val="center"/>
          </w:tcPr>
          <w:p w:rsidR="008B6DF6" w:rsidRDefault="008B6DF6"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202208040000046</w:t>
            </w:r>
          </w:p>
        </w:tc>
        <w:tc>
          <w:tcPr>
            <w:tcW w:w="5097"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混合式烟气提水技术及影响提水效果的主要因素分析</w:t>
            </w:r>
          </w:p>
        </w:tc>
        <w:tc>
          <w:tcPr>
            <w:tcW w:w="1985"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白关锁</w:t>
            </w:r>
          </w:p>
        </w:tc>
        <w:tc>
          <w:tcPr>
            <w:tcW w:w="4108"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白</w:t>
            </w:r>
            <w:proofErr w:type="gramStart"/>
            <w:r>
              <w:rPr>
                <w:rFonts w:ascii="仿宋" w:eastAsia="仿宋" w:hAnsi="仿宋" w:cs="仿宋" w:hint="eastAsia"/>
                <w:sz w:val="28"/>
                <w:szCs w:val="28"/>
              </w:rPr>
              <w:t>音华坑口</w:t>
            </w:r>
            <w:proofErr w:type="gramEnd"/>
            <w:r>
              <w:rPr>
                <w:rFonts w:ascii="仿宋" w:eastAsia="仿宋" w:hAnsi="仿宋" w:cs="仿宋" w:hint="eastAsia"/>
                <w:sz w:val="28"/>
                <w:szCs w:val="28"/>
              </w:rPr>
              <w:t>发电公司</w:t>
            </w:r>
          </w:p>
        </w:tc>
      </w:tr>
      <w:tr w:rsidR="008B6DF6" w:rsidTr="00E9208F">
        <w:trPr>
          <w:trHeight w:val="270"/>
        </w:trPr>
        <w:tc>
          <w:tcPr>
            <w:tcW w:w="855" w:type="dxa"/>
            <w:noWrap/>
            <w:vAlign w:val="center"/>
          </w:tcPr>
          <w:p w:rsidR="008B6DF6" w:rsidRDefault="008B6DF6" w:rsidP="00E9208F">
            <w:pPr>
              <w:widowControl/>
              <w:numPr>
                <w:ilvl w:val="0"/>
                <w:numId w:val="1"/>
              </w:numPr>
              <w:adjustRightInd w:val="0"/>
              <w:snapToGrid w:val="0"/>
              <w:jc w:val="center"/>
              <w:rPr>
                <w:rFonts w:ascii="仿宋" w:eastAsia="仿宋" w:hAnsi="仿宋" w:cs="仿宋" w:hint="eastAsia"/>
                <w:sz w:val="28"/>
                <w:szCs w:val="28"/>
              </w:rPr>
            </w:pPr>
          </w:p>
        </w:tc>
        <w:tc>
          <w:tcPr>
            <w:tcW w:w="2370"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202207270000003</w:t>
            </w:r>
          </w:p>
        </w:tc>
        <w:tc>
          <w:tcPr>
            <w:tcW w:w="5097"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t>350MW超临界机组高低压旁路联合供热经</w:t>
            </w:r>
            <w:r>
              <w:rPr>
                <w:rFonts w:ascii="仿宋" w:eastAsia="仿宋" w:hAnsi="仿宋" w:cs="仿宋" w:hint="eastAsia"/>
                <w:sz w:val="28"/>
                <w:szCs w:val="28"/>
              </w:rPr>
              <w:lastRenderedPageBreak/>
              <w:t>济性研究</w:t>
            </w:r>
          </w:p>
        </w:tc>
        <w:tc>
          <w:tcPr>
            <w:tcW w:w="1985"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r>
              <w:rPr>
                <w:rFonts w:ascii="仿宋" w:eastAsia="仿宋" w:hAnsi="仿宋" w:cs="仿宋" w:hint="eastAsia"/>
                <w:sz w:val="28"/>
                <w:szCs w:val="28"/>
              </w:rPr>
              <w:lastRenderedPageBreak/>
              <w:t>徐漠北</w:t>
            </w:r>
          </w:p>
        </w:tc>
        <w:tc>
          <w:tcPr>
            <w:tcW w:w="4108" w:type="dxa"/>
            <w:noWrap/>
            <w:vAlign w:val="center"/>
          </w:tcPr>
          <w:p w:rsidR="008B6DF6" w:rsidRDefault="008B6DF6" w:rsidP="00E9208F">
            <w:pPr>
              <w:widowControl/>
              <w:adjustRightInd w:val="0"/>
              <w:snapToGrid w:val="0"/>
              <w:jc w:val="center"/>
              <w:rPr>
                <w:rFonts w:ascii="仿宋" w:eastAsia="仿宋" w:hAnsi="仿宋" w:cs="仿宋" w:hint="eastAsia"/>
                <w:sz w:val="28"/>
                <w:szCs w:val="28"/>
              </w:rPr>
            </w:pPr>
            <w:proofErr w:type="gramStart"/>
            <w:r>
              <w:rPr>
                <w:rFonts w:ascii="仿宋" w:eastAsia="仿宋" w:hAnsi="仿宋" w:cs="仿宋" w:hint="eastAsia"/>
                <w:sz w:val="28"/>
                <w:szCs w:val="28"/>
              </w:rPr>
              <w:t>中电投东北能源科技有限公司</w:t>
            </w:r>
            <w:proofErr w:type="gramEnd"/>
          </w:p>
        </w:tc>
      </w:tr>
    </w:tbl>
    <w:p w:rsidR="008B6DF6" w:rsidRDefault="008B6DF6" w:rsidP="008B6DF6">
      <w:pPr>
        <w:adjustRightInd w:val="0"/>
        <w:snapToGrid w:val="0"/>
        <w:spacing w:line="580" w:lineRule="exact"/>
        <w:ind w:firstLineChars="400" w:firstLine="1263"/>
        <w:jc w:val="left"/>
        <w:rPr>
          <w:rFonts w:ascii="仿宋" w:eastAsia="仿宋" w:hAnsi="仿宋" w:hint="eastAsia"/>
          <w:color w:val="000000"/>
          <w:szCs w:val="32"/>
        </w:rPr>
      </w:pPr>
    </w:p>
    <w:p w:rsidR="008B6DF6" w:rsidRDefault="008B6DF6" w:rsidP="008B6DF6">
      <w:pPr>
        <w:spacing w:line="560" w:lineRule="exact"/>
        <w:rPr>
          <w:rFonts w:ascii="仿宋" w:eastAsia="仿宋" w:hAnsi="仿宋"/>
          <w:szCs w:val="32"/>
        </w:rPr>
        <w:sectPr w:rsidR="008B6DF6">
          <w:pgSz w:w="16838" w:h="11906" w:orient="landscape"/>
          <w:pgMar w:top="1588" w:right="1701" w:bottom="1474" w:left="1701" w:header="851" w:footer="1418" w:gutter="0"/>
          <w:cols w:space="720"/>
          <w:docGrid w:type="linesAndChars" w:linePitch="579" w:charSpace="-849"/>
        </w:sectPr>
      </w:pPr>
      <w:bookmarkStart w:id="0" w:name="_GoBack"/>
      <w:bookmarkEnd w:id="0"/>
    </w:p>
    <w:p w:rsidR="009708E9" w:rsidRPr="008B6DF6" w:rsidRDefault="009708E9"/>
    <w:sectPr w:rsidR="009708E9" w:rsidRPr="008B6DF6" w:rsidSect="008B6DF6">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422EA"/>
    <w:multiLevelType w:val="singleLevel"/>
    <w:tmpl w:val="6A3422EA"/>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DF6"/>
    <w:rsid w:val="008B6DF6"/>
    <w:rsid w:val="00970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F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F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csee</dc:creator>
  <cp:lastModifiedBy>csee</cp:lastModifiedBy>
  <cp:revision>1</cp:revision>
  <dcterms:created xsi:type="dcterms:W3CDTF">2022-11-30T06:07:00Z</dcterms:created>
  <dcterms:modified xsi:type="dcterms:W3CDTF">2022-11-30T06:07:00Z</dcterms:modified>
</cp:coreProperties>
</file>