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pPr>
      <w:bookmarkStart w:id="0" w:name="标准封面"/>
      <w:bookmarkEnd w:id="0"/>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pPr>
                        <w:pStyle w:val="504"/>
                      </w:pPr>
                      <w:r>
                        <w:rPr>
                          <w:rFonts w:hint="eastAsia"/>
                        </w:rPr>
                        <w:t>发 布</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505"/>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pPr>
                        <w:pStyle w:val="505"/>
                      </w:pPr>
                      <w:r>
                        <w:rPr>
                          <w:rFonts w:hint="eastAsia"/>
                        </w:rPr>
                        <w:t>中国电机工程学会</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pPr>
                              <w:pStyle w:val="2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4384;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pPr>
                        <w:pStyle w:val="291"/>
                      </w:pPr>
                      <w:r>
                        <w:t>20XX—XX—XX实施</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pPr>
                              <w:pStyle w:val="26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3360;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pPr>
                        <w:pStyle w:val="264"/>
                      </w:pPr>
                      <w:r>
                        <w:t>20XX—XX—XX发布</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pStyle w:val="26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基于电网拓扑</w:t>
                            </w:r>
                            <w:r>
                              <w:rPr>
                                <w:rFonts w:hint="eastAsia"/>
                                <w:color w:val="000000" w:themeColor="text1"/>
                                <w:lang w:eastAsia="zh-CN"/>
                                <w14:textFill>
                                  <w14:solidFill>
                                    <w14:schemeClr w14:val="tx1"/>
                                  </w14:solidFill>
                                </w14:textFill>
                              </w:rPr>
                              <w:t>瞬</w:t>
                            </w:r>
                            <w:r>
                              <w:rPr>
                                <w:rFonts w:hint="eastAsia"/>
                                <w:color w:val="000000" w:themeColor="text1"/>
                                <w14:textFill>
                                  <w14:solidFill>
                                    <w14:schemeClr w14:val="tx1"/>
                                  </w14:solidFill>
                                </w14:textFill>
                              </w:rPr>
                              <w:t>态重构的短路电流抑制</w:t>
                            </w:r>
                          </w:p>
                          <w:p>
                            <w:pPr>
                              <w:pStyle w:val="26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系统技术规范 </w:t>
                            </w:r>
                          </w:p>
                          <w:p>
                            <w:pPr>
                              <w:pStyle w:val="268"/>
                              <w:rPr>
                                <w:color w:val="000000" w:themeColor="text1"/>
                                <w14:textFill>
                                  <w14:solidFill>
                                    <w14:schemeClr w14:val="tx1"/>
                                  </w14:solidFill>
                                </w14:textFill>
                              </w:rPr>
                            </w:pPr>
                            <w:r>
                              <w:rPr>
                                <w:rFonts w:hint="eastAsia"/>
                              </w:rPr>
                              <w:t>第4部分 短路电流抑制系统现场调试及运维</w:t>
                            </w:r>
                          </w:p>
                          <w:p>
                            <w:pPr>
                              <w:pStyle w:val="268"/>
                            </w:pPr>
                          </w:p>
                          <w:p>
                            <w:pPr>
                              <w:pStyle w:val="271"/>
                              <w:spacing w:before="0"/>
                              <w:rPr>
                                <w:rFonts w:hint="eastAsia"/>
                              </w:rPr>
                            </w:pPr>
                            <w:r>
                              <w:t xml:space="preserve">Technical specification for short circuit current </w:t>
                            </w:r>
                            <w:r>
                              <w:rPr>
                                <w:rFonts w:hint="eastAsia"/>
                              </w:rPr>
                              <w:t>restrain</w:t>
                            </w:r>
                            <w:r>
                              <w:t xml:space="preserve"> </w:t>
                            </w:r>
                            <w:r>
                              <w:rPr>
                                <w:rFonts w:hint="eastAsia"/>
                              </w:rPr>
                              <w:t>system</w:t>
                            </w:r>
                            <w:r>
                              <w:t xml:space="preserve"> based on </w:t>
                            </w:r>
                            <w:r>
                              <w:rPr>
                                <w:rFonts w:hint="eastAsia"/>
                                <w:lang w:val="en-US" w:eastAsia="zh-CN"/>
                              </w:rPr>
                              <w:t>transient</w:t>
                            </w:r>
                            <w:r>
                              <w:t xml:space="preserve"> reconfiguration of </w:t>
                            </w:r>
                            <w:r>
                              <w:rPr>
                                <w:rFonts w:hint="eastAsia"/>
                              </w:rPr>
                              <w:t>grid</w:t>
                            </w:r>
                            <w:r>
                              <w:t xml:space="preserve"> topology </w:t>
                            </w:r>
                          </w:p>
                          <w:p>
                            <w:pPr>
                              <w:pStyle w:val="271"/>
                              <w:spacing w:before="0"/>
                            </w:pPr>
                            <w:r>
                              <w:t>Part IV: Onsite commissioning, operation and maintenance of</w:t>
                            </w:r>
                            <w:r>
                              <w:rPr>
                                <w:rFonts w:hint="eastAsia"/>
                                <w:lang w:val="en-US" w:eastAsia="zh-CN"/>
                              </w:rPr>
                              <w:t xml:space="preserve"> </w:t>
                            </w:r>
                            <w:r>
                              <w:t xml:space="preserve">short circuit current </w:t>
                            </w:r>
                            <w:r>
                              <w:rPr>
                                <w:rFonts w:hint="eastAsia"/>
                                <w:lang w:val="en-US" w:eastAsia="zh-CN"/>
                              </w:rPr>
                              <w:t>restrain</w:t>
                            </w:r>
                            <w:r>
                              <w:t xml:space="preserve"> </w:t>
                            </w:r>
                            <w:r>
                              <w:rPr>
                                <w:rFonts w:hint="eastAsia"/>
                                <w:lang w:val="en-US" w:eastAsia="zh-CN"/>
                              </w:rPr>
                              <w:t>system</w:t>
                            </w:r>
                          </w:p>
                          <w:p>
                            <w:pPr>
                              <w:pStyle w:val="272"/>
                            </w:pPr>
                          </w:p>
                          <w:p>
                            <w:pPr>
                              <w:pStyle w:val="272"/>
                            </w:pPr>
                            <w:r>
                              <w:t>（</w:t>
                            </w:r>
                            <w:r>
                              <w:rPr>
                                <w:rFonts w:hint="eastAsia"/>
                                <w:lang w:val="en-US" w:eastAsia="zh-CN"/>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2336;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pPr>
                        <w:pStyle w:val="26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基于电网拓扑</w:t>
                      </w:r>
                      <w:r>
                        <w:rPr>
                          <w:rFonts w:hint="eastAsia"/>
                          <w:color w:val="000000" w:themeColor="text1"/>
                          <w:lang w:eastAsia="zh-CN"/>
                          <w14:textFill>
                            <w14:solidFill>
                              <w14:schemeClr w14:val="tx1"/>
                            </w14:solidFill>
                          </w14:textFill>
                        </w:rPr>
                        <w:t>瞬</w:t>
                      </w:r>
                      <w:r>
                        <w:rPr>
                          <w:rFonts w:hint="eastAsia"/>
                          <w:color w:val="000000" w:themeColor="text1"/>
                          <w14:textFill>
                            <w14:solidFill>
                              <w14:schemeClr w14:val="tx1"/>
                            </w14:solidFill>
                          </w14:textFill>
                        </w:rPr>
                        <w:t>态重构的短路电流抑制</w:t>
                      </w:r>
                    </w:p>
                    <w:p>
                      <w:pPr>
                        <w:pStyle w:val="26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系统技术规范 </w:t>
                      </w:r>
                    </w:p>
                    <w:p>
                      <w:pPr>
                        <w:pStyle w:val="268"/>
                        <w:rPr>
                          <w:color w:val="000000" w:themeColor="text1"/>
                          <w14:textFill>
                            <w14:solidFill>
                              <w14:schemeClr w14:val="tx1"/>
                            </w14:solidFill>
                          </w14:textFill>
                        </w:rPr>
                      </w:pPr>
                      <w:r>
                        <w:rPr>
                          <w:rFonts w:hint="eastAsia"/>
                        </w:rPr>
                        <w:t>第4部分 短路电流抑制系统现场调试及运维</w:t>
                      </w:r>
                    </w:p>
                    <w:p>
                      <w:pPr>
                        <w:pStyle w:val="268"/>
                      </w:pPr>
                    </w:p>
                    <w:p>
                      <w:pPr>
                        <w:pStyle w:val="271"/>
                        <w:spacing w:before="0"/>
                        <w:rPr>
                          <w:rFonts w:hint="eastAsia"/>
                        </w:rPr>
                      </w:pPr>
                      <w:r>
                        <w:t xml:space="preserve">Technical specification for short circuit current </w:t>
                      </w:r>
                      <w:r>
                        <w:rPr>
                          <w:rFonts w:hint="eastAsia"/>
                        </w:rPr>
                        <w:t>restrain</w:t>
                      </w:r>
                      <w:r>
                        <w:t xml:space="preserve"> </w:t>
                      </w:r>
                      <w:r>
                        <w:rPr>
                          <w:rFonts w:hint="eastAsia"/>
                        </w:rPr>
                        <w:t>system</w:t>
                      </w:r>
                      <w:r>
                        <w:t xml:space="preserve"> based on </w:t>
                      </w:r>
                      <w:r>
                        <w:rPr>
                          <w:rFonts w:hint="eastAsia"/>
                          <w:lang w:val="en-US" w:eastAsia="zh-CN"/>
                        </w:rPr>
                        <w:t>transient</w:t>
                      </w:r>
                      <w:r>
                        <w:t xml:space="preserve"> reconfiguration of </w:t>
                      </w:r>
                      <w:r>
                        <w:rPr>
                          <w:rFonts w:hint="eastAsia"/>
                        </w:rPr>
                        <w:t>grid</w:t>
                      </w:r>
                      <w:r>
                        <w:t xml:space="preserve"> topology </w:t>
                      </w:r>
                    </w:p>
                    <w:p>
                      <w:pPr>
                        <w:pStyle w:val="271"/>
                        <w:spacing w:before="0"/>
                      </w:pPr>
                      <w:r>
                        <w:t>Part IV: Onsite commissioning, operation and maintenance of</w:t>
                      </w:r>
                      <w:r>
                        <w:rPr>
                          <w:rFonts w:hint="eastAsia"/>
                          <w:lang w:val="en-US" w:eastAsia="zh-CN"/>
                        </w:rPr>
                        <w:t xml:space="preserve"> </w:t>
                      </w:r>
                      <w:r>
                        <w:t xml:space="preserve">short circuit current </w:t>
                      </w:r>
                      <w:r>
                        <w:rPr>
                          <w:rFonts w:hint="eastAsia"/>
                          <w:lang w:val="en-US" w:eastAsia="zh-CN"/>
                        </w:rPr>
                        <w:t>restrain</w:t>
                      </w:r>
                      <w:r>
                        <w:t xml:space="preserve"> </w:t>
                      </w:r>
                      <w:r>
                        <w:rPr>
                          <w:rFonts w:hint="eastAsia"/>
                          <w:lang w:val="en-US" w:eastAsia="zh-CN"/>
                        </w:rPr>
                        <w:t>system</w:t>
                      </w:r>
                    </w:p>
                    <w:p>
                      <w:pPr>
                        <w:pStyle w:val="272"/>
                      </w:pPr>
                    </w:p>
                    <w:p>
                      <w:pPr>
                        <w:pStyle w:val="272"/>
                      </w:pPr>
                      <w:r>
                        <w:t>（</w:t>
                      </w:r>
                      <w:r>
                        <w:rPr>
                          <w:rFonts w:hint="eastAsia"/>
                          <w:lang w:val="en-US" w:eastAsia="zh-CN"/>
                        </w:rPr>
                        <w:t>征求意见</w:t>
                      </w:r>
                      <w:r>
                        <w:t>稿）</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0288;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334"/>
                            </w:pPr>
                            <w:r>
                              <w:rPr>
                                <w:rFonts w:hint="eastAsia"/>
                              </w:rPr>
                              <w:t>I</w:t>
                            </w:r>
                            <w:r>
                              <w:t>CS 19.020</w:t>
                            </w:r>
                          </w:p>
                          <w:p>
                            <w:pPr>
                              <w:pStyle w:val="334"/>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59264;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pPr>
                        <w:pStyle w:val="334"/>
                      </w:pPr>
                      <w:r>
                        <w:rPr>
                          <w:rFonts w:hint="eastAsia"/>
                        </w:rPr>
                        <w:t>I</w:t>
                      </w:r>
                      <w:r>
                        <w:t>CS 19.020</w:t>
                      </w:r>
                    </w:p>
                    <w:p>
                      <w:pPr>
                        <w:pStyle w:val="334"/>
                      </w:pPr>
                      <w:r>
                        <w:rPr>
                          <w:rFonts w:hint="eastAsia"/>
                        </w:rPr>
                        <w:t>C</w:t>
                      </w:r>
                      <w:r>
                        <w:t>CS K85</w:t>
                      </w:r>
                    </w:p>
                  </w:txbxContent>
                </v:textbox>
              </v:shape>
            </w:pict>
          </mc:Fallback>
        </mc:AlternateContent>
      </w: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pPr>
        <w:pStyle w:val="286"/>
      </w:pPr>
      <w:bookmarkStart w:id="1" w:name="标准内容"/>
      <w:bookmarkEnd w:id="1"/>
      <w:bookmarkStart w:id="2" w:name="_Toc55228493"/>
      <w:bookmarkStart w:id="3" w:name="_Toc62027346"/>
      <w:bookmarkStart w:id="4" w:name="_Toc63642871"/>
      <w:r>
        <w:rPr>
          <w:rFonts w:hint="eastAsia"/>
        </w:rPr>
        <w:t>目    次</w:t>
      </w:r>
    </w:p>
    <w:p>
      <w:pPr>
        <w:pStyle w:val="21"/>
        <w:tabs>
          <w:tab w:val="right" w:leader="dot" w:pos="9356"/>
        </w:tabs>
      </w:pPr>
      <w:r>
        <w:rPr>
          <w:rFonts w:hAnsi="宋体"/>
        </w:rPr>
        <w:fldChar w:fldCharType="begin"/>
      </w:r>
      <w:r>
        <w:rPr>
          <w:rFonts w:hAnsi="宋体"/>
        </w:rPr>
        <w:instrText xml:space="preserve"> </w:instrText>
      </w:r>
      <w:r>
        <w:rPr>
          <w:rFonts w:hint="eastAsia" w:hAnsi="宋体"/>
        </w:rPr>
        <w:instrText xml:space="preserve">TOC \o "1-7" \h \z</w:instrText>
      </w:r>
      <w:r>
        <w:rPr>
          <w:rFonts w:hAnsi="宋体"/>
        </w:rPr>
        <w:instrText xml:space="preserve"> </w:instrText>
      </w:r>
      <w:r>
        <w:rPr>
          <w:rFonts w:hAnsi="宋体"/>
        </w:rPr>
        <w:fldChar w:fldCharType="separate"/>
      </w:r>
      <w:r>
        <w:rPr>
          <w:rFonts w:hAnsi="宋体"/>
        </w:rPr>
        <w:fldChar w:fldCharType="begin"/>
      </w:r>
      <w:r>
        <w:rPr>
          <w:rFonts w:hAnsi="宋体"/>
        </w:rPr>
        <w:instrText xml:space="preserve"> HYPERLINK \l _Toc24685 </w:instrText>
      </w:r>
      <w:r>
        <w:rPr>
          <w:rFonts w:hAnsi="宋体"/>
        </w:rPr>
        <w:fldChar w:fldCharType="separate"/>
      </w:r>
      <w:r>
        <w:rPr>
          <w:rFonts w:ascii="Times New Roman"/>
        </w:rPr>
        <w:t>前    言</w:t>
      </w:r>
      <w:r>
        <w:tab/>
      </w:r>
      <w:r>
        <w:fldChar w:fldCharType="begin"/>
      </w:r>
      <w:r>
        <w:instrText xml:space="preserve"> PAGEREF _Toc24685 \h </w:instrText>
      </w:r>
      <w:r>
        <w:fldChar w:fldCharType="separate"/>
      </w:r>
      <w:r>
        <w:t>4</w:t>
      </w:r>
      <w:r>
        <w:fldChar w:fldCharType="end"/>
      </w:r>
      <w:r>
        <w:rPr>
          <w:rFonts w:hAnsi="宋体"/>
        </w:rPr>
        <w:fldChar w:fldCharType="end"/>
      </w:r>
    </w:p>
    <w:p>
      <w:pPr>
        <w:pStyle w:val="20"/>
        <w:tabs>
          <w:tab w:val="right" w:leader="dot" w:pos="9356"/>
        </w:tabs>
      </w:pPr>
      <w:r>
        <w:rPr>
          <w:rFonts w:hAnsi="宋体"/>
        </w:rPr>
        <w:fldChar w:fldCharType="begin"/>
      </w:r>
      <w:r>
        <w:rPr>
          <w:rFonts w:hAnsi="宋体"/>
        </w:rPr>
        <w:instrText xml:space="preserve"> HYPERLINK \l _Toc11309 </w:instrText>
      </w:r>
      <w:r>
        <w:rPr>
          <w:rFonts w:hAnsi="宋体"/>
        </w:rPr>
        <w:fldChar w:fldCharType="separate"/>
      </w:r>
      <w:r>
        <w:rPr>
          <w:rFonts w:hint="eastAsia" w:ascii="黑体" w:hAnsi="Times New Roman" w:eastAsia="黑体"/>
          <w:i w:val="0"/>
          <w:szCs w:val="21"/>
        </w:rPr>
        <w:t xml:space="preserve">1 </w:t>
      </w:r>
      <w:r>
        <w:t>范围</w:t>
      </w:r>
      <w:r>
        <w:tab/>
      </w:r>
      <w:r>
        <w:fldChar w:fldCharType="begin"/>
      </w:r>
      <w:r>
        <w:instrText xml:space="preserve"> PAGEREF _Toc11309 \h </w:instrText>
      </w:r>
      <w:r>
        <w:fldChar w:fldCharType="separate"/>
      </w:r>
      <w:r>
        <w:t>5</w:t>
      </w:r>
      <w:r>
        <w:fldChar w:fldCharType="end"/>
      </w:r>
      <w:r>
        <w:rPr>
          <w:rFonts w:hAnsi="宋体"/>
        </w:rPr>
        <w:fldChar w:fldCharType="end"/>
      </w:r>
    </w:p>
    <w:p>
      <w:pPr>
        <w:pStyle w:val="20"/>
        <w:tabs>
          <w:tab w:val="right" w:leader="dot" w:pos="9356"/>
        </w:tabs>
      </w:pPr>
      <w:r>
        <w:rPr>
          <w:rFonts w:hAnsi="宋体"/>
        </w:rPr>
        <w:fldChar w:fldCharType="begin"/>
      </w:r>
      <w:r>
        <w:rPr>
          <w:rFonts w:hAnsi="宋体"/>
        </w:rPr>
        <w:instrText xml:space="preserve"> HYPERLINK \l _Toc437 </w:instrText>
      </w:r>
      <w:r>
        <w:rPr>
          <w:rFonts w:hAnsi="宋体"/>
        </w:rPr>
        <w:fldChar w:fldCharType="separate"/>
      </w:r>
      <w:r>
        <w:rPr>
          <w:rFonts w:hint="eastAsia" w:ascii="黑体" w:hAnsi="Times New Roman" w:eastAsia="黑体"/>
          <w:i w:val="0"/>
          <w:szCs w:val="21"/>
        </w:rPr>
        <w:t xml:space="preserve">2 </w:t>
      </w:r>
      <w:r>
        <w:t>规范性引用文件</w:t>
      </w:r>
      <w:r>
        <w:tab/>
      </w:r>
      <w:r>
        <w:fldChar w:fldCharType="begin"/>
      </w:r>
      <w:r>
        <w:instrText xml:space="preserve"> PAGEREF _Toc437 \h </w:instrText>
      </w:r>
      <w:r>
        <w:fldChar w:fldCharType="separate"/>
      </w:r>
      <w:r>
        <w:t>5</w:t>
      </w:r>
      <w:r>
        <w:fldChar w:fldCharType="end"/>
      </w:r>
      <w:r>
        <w:rPr>
          <w:rFonts w:hAnsi="宋体"/>
        </w:rPr>
        <w:fldChar w:fldCharType="end"/>
      </w:r>
    </w:p>
    <w:p>
      <w:pPr>
        <w:pStyle w:val="20"/>
        <w:tabs>
          <w:tab w:val="right" w:leader="dot" w:pos="9356"/>
        </w:tabs>
      </w:pPr>
      <w:r>
        <w:rPr>
          <w:rFonts w:hAnsi="宋体"/>
        </w:rPr>
        <w:fldChar w:fldCharType="begin"/>
      </w:r>
      <w:r>
        <w:rPr>
          <w:rFonts w:hAnsi="宋体"/>
        </w:rPr>
        <w:instrText xml:space="preserve"> HYPERLINK \l _Toc17071 </w:instrText>
      </w:r>
      <w:r>
        <w:rPr>
          <w:rFonts w:hAnsi="宋体"/>
        </w:rPr>
        <w:fldChar w:fldCharType="separate"/>
      </w:r>
      <w:r>
        <w:rPr>
          <w:rFonts w:hint="eastAsia" w:ascii="黑体" w:hAnsi="Times New Roman" w:eastAsia="黑体"/>
          <w:i w:val="0"/>
          <w:szCs w:val="21"/>
        </w:rPr>
        <w:t xml:space="preserve">3 </w:t>
      </w:r>
      <w:r>
        <w:t>术语和定义</w:t>
      </w:r>
      <w:r>
        <w:tab/>
      </w:r>
      <w:r>
        <w:fldChar w:fldCharType="begin"/>
      </w:r>
      <w:r>
        <w:instrText xml:space="preserve"> PAGEREF _Toc17071 \h </w:instrText>
      </w:r>
      <w:r>
        <w:fldChar w:fldCharType="separate"/>
      </w:r>
      <w:r>
        <w:t>5</w:t>
      </w:r>
      <w:r>
        <w:fldChar w:fldCharType="end"/>
      </w:r>
      <w:r>
        <w:rPr>
          <w:rFonts w:hAnsi="宋体"/>
        </w:rPr>
        <w:fldChar w:fldCharType="end"/>
      </w:r>
    </w:p>
    <w:p>
      <w:pPr>
        <w:pStyle w:val="20"/>
        <w:tabs>
          <w:tab w:val="right" w:leader="dot" w:pos="9356"/>
        </w:tabs>
      </w:pPr>
      <w:r>
        <w:rPr>
          <w:rFonts w:hAnsi="宋体"/>
        </w:rPr>
        <w:fldChar w:fldCharType="begin"/>
      </w:r>
      <w:r>
        <w:rPr>
          <w:rFonts w:hAnsi="宋体"/>
        </w:rPr>
        <w:instrText xml:space="preserve"> HYPERLINK \l _Toc14141 </w:instrText>
      </w:r>
      <w:r>
        <w:rPr>
          <w:rFonts w:hAnsi="宋体"/>
        </w:rPr>
        <w:fldChar w:fldCharType="separate"/>
      </w:r>
      <w:r>
        <w:rPr>
          <w:rFonts w:hint="eastAsia" w:ascii="黑体" w:hAnsi="Times New Roman" w:eastAsia="黑体"/>
          <w:i w:val="0"/>
          <w:szCs w:val="21"/>
        </w:rPr>
        <w:t xml:space="preserve">4 </w:t>
      </w:r>
      <w:r>
        <w:rPr>
          <w:rFonts w:hint="eastAsia"/>
          <w:lang w:val="en-US" w:eastAsia="zh-CN"/>
        </w:rPr>
        <w:t>现场交接试验</w:t>
      </w:r>
      <w:r>
        <w:tab/>
      </w:r>
      <w:r>
        <w:fldChar w:fldCharType="begin"/>
      </w:r>
      <w:r>
        <w:instrText xml:space="preserve"> PAGEREF _Toc14141 \h </w:instrText>
      </w:r>
      <w:r>
        <w:fldChar w:fldCharType="separate"/>
      </w:r>
      <w:r>
        <w:t>5</w:t>
      </w:r>
      <w:r>
        <w:fldChar w:fldCharType="end"/>
      </w:r>
      <w:r>
        <w:rPr>
          <w:rFonts w:hAnsi="宋体"/>
        </w:rPr>
        <w:fldChar w:fldCharType="end"/>
      </w:r>
    </w:p>
    <w:p>
      <w:pPr>
        <w:pStyle w:val="19"/>
        <w:tabs>
          <w:tab w:val="right" w:leader="dot" w:pos="9356"/>
        </w:tabs>
      </w:pPr>
      <w:r>
        <w:rPr>
          <w:rFonts w:hAnsi="宋体"/>
        </w:rPr>
        <w:fldChar w:fldCharType="begin"/>
      </w:r>
      <w:r>
        <w:rPr>
          <w:rFonts w:hAnsi="宋体"/>
        </w:rPr>
        <w:instrText xml:space="preserve"> HYPERLINK \l _Toc32399 </w:instrText>
      </w:r>
      <w:r>
        <w:rPr>
          <w:rFonts w:hAnsi="宋体"/>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4.1 </w:t>
      </w:r>
      <w:r>
        <w:rPr>
          <w:rFonts w:hint="eastAsia"/>
          <w:lang w:val="en-US" w:eastAsia="zh-CN"/>
        </w:rPr>
        <w:t>快速检测控制装置试验</w:t>
      </w:r>
      <w:r>
        <w:tab/>
      </w:r>
      <w:r>
        <w:fldChar w:fldCharType="begin"/>
      </w:r>
      <w:r>
        <w:instrText xml:space="preserve"> PAGEREF _Toc32399 \h </w:instrText>
      </w:r>
      <w:r>
        <w:fldChar w:fldCharType="separate"/>
      </w:r>
      <w:r>
        <w:t>6</w:t>
      </w:r>
      <w:r>
        <w:fldChar w:fldCharType="end"/>
      </w:r>
      <w:r>
        <w:rPr>
          <w:rFonts w:hAnsi="宋体"/>
        </w:rPr>
        <w:fldChar w:fldCharType="end"/>
      </w:r>
    </w:p>
    <w:p>
      <w:pPr>
        <w:pStyle w:val="20"/>
        <w:tabs>
          <w:tab w:val="right" w:leader="dot" w:pos="9356"/>
        </w:tabs>
        <w:ind w:firstLine="210" w:firstLineChars="100"/>
      </w:pPr>
      <w:r>
        <w:rPr>
          <w:rFonts w:hAnsi="宋体"/>
        </w:rPr>
        <w:fldChar w:fldCharType="begin"/>
      </w:r>
      <w:r>
        <w:rPr>
          <w:rFonts w:hAnsi="宋体"/>
        </w:rPr>
        <w:instrText xml:space="preserve"> HYPERLINK \l _Toc7243 </w:instrText>
      </w:r>
      <w:r>
        <w:rPr>
          <w:rFonts w:hAnsi="宋体"/>
        </w:rPr>
        <w:fldChar w:fldCharType="separate"/>
      </w:r>
      <w:r>
        <w:rPr>
          <w:rFonts w:hint="eastAsia" w:ascii="黑体" w:eastAsia="黑体"/>
          <w:i w:val="0"/>
          <w:caps w:val="0"/>
          <w:strike w:val="0"/>
          <w:dstrike w:val="0"/>
          <w:vanish w:val="0"/>
          <w:spacing w:val="0"/>
          <w:w w:val="100"/>
          <w:position w:val="0"/>
          <w:vertAlign w:val="baseline"/>
          <w:lang w:eastAsia="zh-CN"/>
        </w:rPr>
        <w:t xml:space="preserve">4.2 </w:t>
      </w:r>
      <w:r>
        <w:rPr>
          <w:rFonts w:hint="eastAsia"/>
        </w:rPr>
        <w:t>全冗余智能快速断路器</w:t>
      </w:r>
      <w:r>
        <w:rPr>
          <w:rFonts w:hint="eastAsia"/>
          <w:lang w:val="en-US" w:eastAsia="zh-CN"/>
        </w:rPr>
        <w:t>试验</w:t>
      </w:r>
      <w:r>
        <w:tab/>
      </w:r>
      <w:r>
        <w:fldChar w:fldCharType="begin"/>
      </w:r>
      <w:r>
        <w:instrText xml:space="preserve"> PAGEREF _Toc7243 \h </w:instrText>
      </w:r>
      <w:r>
        <w:fldChar w:fldCharType="separate"/>
      </w:r>
      <w:r>
        <w:t>7</w:t>
      </w:r>
      <w:r>
        <w:fldChar w:fldCharType="end"/>
      </w:r>
      <w:r>
        <w:rPr>
          <w:rFonts w:hAnsi="宋体"/>
        </w:rPr>
        <w:fldChar w:fldCharType="end"/>
      </w:r>
    </w:p>
    <w:p>
      <w:pPr>
        <w:pStyle w:val="20"/>
        <w:tabs>
          <w:tab w:val="right" w:leader="dot" w:pos="9356"/>
        </w:tabs>
        <w:ind w:firstLine="210" w:firstLineChars="100"/>
      </w:pPr>
      <w:r>
        <w:rPr>
          <w:rFonts w:hAnsi="宋体"/>
        </w:rPr>
        <w:fldChar w:fldCharType="begin"/>
      </w:r>
      <w:r>
        <w:rPr>
          <w:rFonts w:hAnsi="宋体"/>
        </w:rPr>
        <w:instrText xml:space="preserve"> HYPERLINK \l _Toc23818 </w:instrText>
      </w:r>
      <w:r>
        <w:rPr>
          <w:rFonts w:hAnsi="宋体"/>
        </w:rPr>
        <w:fldChar w:fldCharType="separate"/>
      </w:r>
      <w:r>
        <w:rPr>
          <w:rFonts w:hint="default" w:ascii="黑体" w:hAnsi="黑体" w:eastAsia="黑体" w:cs="黑体"/>
          <w:i w:val="0"/>
          <w:caps w:val="0"/>
          <w:strike w:val="0"/>
          <w:dstrike w:val="0"/>
          <w:vanish w:val="0"/>
          <w:spacing w:val="0"/>
          <w:w w:val="100"/>
          <w:position w:val="0"/>
          <w:vertAlign w:val="baseline"/>
          <w:lang w:val="en-US" w:eastAsia="zh-CN"/>
        </w:rPr>
        <w:t xml:space="preserve">4.3 </w:t>
      </w:r>
      <w:r>
        <w:rPr>
          <w:rFonts w:hint="eastAsia"/>
          <w:lang w:val="en-US" w:eastAsia="zh-CN"/>
        </w:rPr>
        <w:t>一、二次联合传动试验</w:t>
      </w:r>
      <w:r>
        <w:tab/>
      </w:r>
      <w:r>
        <w:fldChar w:fldCharType="begin"/>
      </w:r>
      <w:r>
        <w:instrText xml:space="preserve"> PAGEREF _Toc23818 \h </w:instrText>
      </w:r>
      <w:r>
        <w:fldChar w:fldCharType="separate"/>
      </w:r>
      <w:r>
        <w:t>9</w:t>
      </w:r>
      <w:r>
        <w:fldChar w:fldCharType="end"/>
      </w:r>
      <w:r>
        <w:rPr>
          <w:rFonts w:hAnsi="宋体"/>
        </w:rPr>
        <w:fldChar w:fldCharType="end"/>
      </w:r>
    </w:p>
    <w:p>
      <w:pPr>
        <w:pStyle w:val="21"/>
        <w:tabs>
          <w:tab w:val="right" w:leader="dot" w:pos="9356"/>
        </w:tabs>
      </w:pPr>
      <w:r>
        <w:rPr>
          <w:rFonts w:hAnsi="宋体"/>
        </w:rPr>
        <w:fldChar w:fldCharType="begin"/>
      </w:r>
      <w:r>
        <w:rPr>
          <w:rFonts w:hAnsi="宋体"/>
        </w:rPr>
        <w:instrText xml:space="preserve"> HYPERLINK \l _Toc30337 </w:instrText>
      </w:r>
      <w:r>
        <w:rPr>
          <w:rFonts w:hAnsi="宋体"/>
        </w:rPr>
        <w:fldChar w:fldCharType="separate"/>
      </w:r>
      <w:r>
        <w:rPr>
          <w:rFonts w:hint="default" w:ascii="黑体" w:hAnsi="黑体" w:eastAsia="黑体" w:cs="黑体"/>
          <w:i w:val="0"/>
          <w:caps w:val="0"/>
          <w:strike w:val="0"/>
          <w:dstrike w:val="0"/>
          <w:vanish w:val="0"/>
          <w:spacing w:val="0"/>
          <w:w w:val="100"/>
          <w:position w:val="0"/>
          <w:vertAlign w:val="baseline"/>
        </w:rPr>
        <w:t xml:space="preserve">5 </w:t>
      </w:r>
      <w:r>
        <w:t>系统调试</w:t>
      </w:r>
      <w:r>
        <w:tab/>
      </w:r>
      <w:r>
        <w:fldChar w:fldCharType="begin"/>
      </w:r>
      <w:r>
        <w:instrText xml:space="preserve"> PAGEREF _Toc30337 \h </w:instrText>
      </w:r>
      <w:r>
        <w:fldChar w:fldCharType="separate"/>
      </w:r>
      <w:r>
        <w:t>9</w:t>
      </w:r>
      <w:r>
        <w:fldChar w:fldCharType="end"/>
      </w:r>
      <w:r>
        <w:rPr>
          <w:rFonts w:hAnsi="宋体"/>
        </w:rPr>
        <w:fldChar w:fldCharType="end"/>
      </w:r>
    </w:p>
    <w:p>
      <w:pPr>
        <w:pStyle w:val="20"/>
        <w:tabs>
          <w:tab w:val="right" w:leader="dot" w:pos="9356"/>
        </w:tabs>
        <w:ind w:firstLine="210" w:firstLineChars="100"/>
      </w:pPr>
      <w:r>
        <w:rPr>
          <w:rFonts w:hAnsi="宋体"/>
        </w:rPr>
        <w:fldChar w:fldCharType="begin"/>
      </w:r>
      <w:r>
        <w:rPr>
          <w:rFonts w:hAnsi="宋体"/>
        </w:rPr>
        <w:instrText xml:space="preserve"> HYPERLINK \l _Toc10397 </w:instrText>
      </w:r>
      <w:r>
        <w:rPr>
          <w:rFonts w:hAnsi="宋体"/>
        </w:rPr>
        <w:fldChar w:fldCharType="separate"/>
      </w:r>
      <w:r>
        <w:rPr>
          <w:rFonts w:hint="default" w:ascii="黑体" w:hAnsi="黑体" w:eastAsia="黑体" w:cs="黑体"/>
          <w:i w:val="0"/>
          <w:caps w:val="0"/>
          <w:strike w:val="0"/>
          <w:dstrike w:val="0"/>
          <w:vanish w:val="0"/>
          <w:spacing w:val="0"/>
          <w:w w:val="100"/>
          <w:position w:val="0"/>
          <w:vertAlign w:val="baseline"/>
        </w:rPr>
        <w:t xml:space="preserve">5.1 </w:t>
      </w:r>
      <w:r>
        <w:rPr>
          <w:rFonts w:hint="eastAsia"/>
        </w:rPr>
        <w:t>试验前应具备的条件</w:t>
      </w:r>
      <w:r>
        <w:tab/>
      </w:r>
      <w:r>
        <w:fldChar w:fldCharType="begin"/>
      </w:r>
      <w:r>
        <w:instrText xml:space="preserve"> PAGEREF _Toc10397 \h </w:instrText>
      </w:r>
      <w:r>
        <w:fldChar w:fldCharType="separate"/>
      </w:r>
      <w:r>
        <w:t>9</w:t>
      </w:r>
      <w:r>
        <w:fldChar w:fldCharType="end"/>
      </w:r>
      <w:r>
        <w:rPr>
          <w:rFonts w:hAnsi="宋体"/>
        </w:rPr>
        <w:fldChar w:fldCharType="end"/>
      </w:r>
    </w:p>
    <w:p>
      <w:pPr>
        <w:pStyle w:val="20"/>
        <w:tabs>
          <w:tab w:val="right" w:leader="dot" w:pos="9356"/>
        </w:tabs>
        <w:ind w:firstLine="210" w:firstLineChars="100"/>
      </w:pPr>
      <w:r>
        <w:rPr>
          <w:rFonts w:hAnsi="宋体"/>
        </w:rPr>
        <w:fldChar w:fldCharType="begin"/>
      </w:r>
      <w:r>
        <w:rPr>
          <w:rFonts w:hAnsi="宋体"/>
        </w:rPr>
        <w:instrText xml:space="preserve"> HYPERLINK \l _Toc30220 </w:instrText>
      </w:r>
      <w:r>
        <w:rPr>
          <w:rFonts w:hAnsi="宋体"/>
        </w:rPr>
        <w:fldChar w:fldCharType="separate"/>
      </w:r>
      <w:r>
        <w:rPr>
          <w:rFonts w:hint="default" w:ascii="黑体" w:hAnsi="黑体" w:eastAsia="黑体" w:cs="黑体"/>
          <w:i w:val="0"/>
          <w:caps w:val="0"/>
          <w:strike w:val="0"/>
          <w:dstrike w:val="0"/>
          <w:vanish w:val="0"/>
          <w:spacing w:val="0"/>
          <w:w w:val="100"/>
          <w:position w:val="0"/>
          <w:vertAlign w:val="baseline"/>
        </w:rPr>
        <w:t xml:space="preserve">5.2 </w:t>
      </w:r>
      <w:r>
        <w:rPr>
          <w:rFonts w:hint="eastAsia"/>
        </w:rPr>
        <w:t>系统调试项目及要求</w:t>
      </w:r>
      <w:r>
        <w:tab/>
      </w:r>
      <w:r>
        <w:fldChar w:fldCharType="begin"/>
      </w:r>
      <w:r>
        <w:instrText xml:space="preserve"> PAGEREF _Toc30220 \h </w:instrText>
      </w:r>
      <w:r>
        <w:fldChar w:fldCharType="separate"/>
      </w:r>
      <w:r>
        <w:t>9</w:t>
      </w:r>
      <w:r>
        <w:fldChar w:fldCharType="end"/>
      </w:r>
      <w:r>
        <w:rPr>
          <w:rFonts w:hAnsi="宋体"/>
        </w:rPr>
        <w:fldChar w:fldCharType="end"/>
      </w:r>
    </w:p>
    <w:p>
      <w:pPr>
        <w:pStyle w:val="21"/>
        <w:tabs>
          <w:tab w:val="right" w:leader="dot" w:pos="9356"/>
        </w:tabs>
      </w:pPr>
      <w:r>
        <w:rPr>
          <w:rFonts w:hAnsi="宋体"/>
        </w:rPr>
        <w:fldChar w:fldCharType="begin"/>
      </w:r>
      <w:r>
        <w:rPr>
          <w:rFonts w:hAnsi="宋体"/>
        </w:rPr>
        <w:instrText xml:space="preserve"> HYPERLINK \l _Toc23851 </w:instrText>
      </w:r>
      <w:r>
        <w:rPr>
          <w:rFonts w:hAnsi="宋体"/>
        </w:rPr>
        <w:fldChar w:fldCharType="separate"/>
      </w:r>
      <w:r>
        <w:rPr>
          <w:rFonts w:hint="default" w:ascii="黑体" w:hAnsi="黑体" w:eastAsia="黑体" w:cs="黑体"/>
          <w:i w:val="0"/>
          <w:caps w:val="0"/>
          <w:strike w:val="0"/>
          <w:dstrike w:val="0"/>
          <w:vanish w:val="0"/>
          <w:spacing w:val="0"/>
          <w:w w:val="100"/>
          <w:position w:val="0"/>
          <w:vertAlign w:val="baseline"/>
        </w:rPr>
        <w:t xml:space="preserve">6 </w:t>
      </w:r>
      <w:r>
        <w:rPr>
          <w:rFonts w:hint="eastAsia"/>
        </w:rPr>
        <w:t>运</w:t>
      </w:r>
      <w:r>
        <w:rPr>
          <w:rFonts w:hint="eastAsia"/>
          <w:lang w:val="en-US" w:eastAsia="zh-CN"/>
        </w:rPr>
        <w:t>行</w:t>
      </w:r>
      <w:r>
        <w:rPr>
          <w:rFonts w:hint="eastAsia"/>
        </w:rPr>
        <w:t>维</w:t>
      </w:r>
      <w:r>
        <w:rPr>
          <w:rFonts w:hint="eastAsia"/>
          <w:lang w:val="en-US" w:eastAsia="zh-CN"/>
        </w:rPr>
        <w:t>护</w:t>
      </w:r>
      <w:r>
        <w:tab/>
      </w:r>
      <w:r>
        <w:fldChar w:fldCharType="begin"/>
      </w:r>
      <w:r>
        <w:instrText xml:space="preserve"> PAGEREF _Toc23851 \h </w:instrText>
      </w:r>
      <w:r>
        <w:fldChar w:fldCharType="separate"/>
      </w:r>
      <w:r>
        <w:t>10</w:t>
      </w:r>
      <w:r>
        <w:fldChar w:fldCharType="end"/>
      </w:r>
      <w:r>
        <w:rPr>
          <w:rFonts w:hAnsi="宋体"/>
        </w:rPr>
        <w:fldChar w:fldCharType="end"/>
      </w:r>
    </w:p>
    <w:p>
      <w:pPr>
        <w:pStyle w:val="20"/>
        <w:tabs>
          <w:tab w:val="right" w:leader="dot" w:pos="9356"/>
        </w:tabs>
        <w:ind w:firstLine="210" w:firstLineChars="100"/>
      </w:pPr>
      <w:r>
        <w:rPr>
          <w:rFonts w:hAnsi="宋体"/>
        </w:rPr>
        <w:fldChar w:fldCharType="begin"/>
      </w:r>
      <w:r>
        <w:rPr>
          <w:rFonts w:hAnsi="宋体"/>
        </w:rPr>
        <w:instrText xml:space="preserve"> HYPERLINK \l _Toc28265 </w:instrText>
      </w:r>
      <w:r>
        <w:rPr>
          <w:rFonts w:hAnsi="宋体"/>
        </w:rPr>
        <w:fldChar w:fldCharType="separate"/>
      </w:r>
      <w:r>
        <w:rPr>
          <w:rFonts w:hint="default" w:ascii="黑体" w:hAnsi="黑体" w:eastAsia="黑体" w:cs="黑体"/>
          <w:i w:val="0"/>
          <w:caps w:val="0"/>
          <w:strike w:val="0"/>
          <w:dstrike w:val="0"/>
          <w:vanish w:val="0"/>
          <w:spacing w:val="0"/>
          <w:w w:val="100"/>
          <w:position w:val="0"/>
          <w:szCs w:val="21"/>
          <w:vertAlign w:val="baseline"/>
        </w:rPr>
        <w:t xml:space="preserve">6.1 </w:t>
      </w:r>
      <w:r>
        <w:rPr>
          <w:rFonts w:hint="eastAsia"/>
          <w:lang w:eastAsia="zh-CN"/>
        </w:rPr>
        <w:t>巡视</w:t>
      </w:r>
      <w:r>
        <w:tab/>
      </w:r>
      <w:r>
        <w:fldChar w:fldCharType="begin"/>
      </w:r>
      <w:r>
        <w:instrText xml:space="preserve"> PAGEREF _Toc28265 \h </w:instrText>
      </w:r>
      <w:r>
        <w:fldChar w:fldCharType="separate"/>
      </w:r>
      <w:r>
        <w:t>10</w:t>
      </w:r>
      <w:r>
        <w:fldChar w:fldCharType="end"/>
      </w:r>
      <w:r>
        <w:rPr>
          <w:rFonts w:hAnsi="宋体"/>
        </w:rPr>
        <w:fldChar w:fldCharType="end"/>
      </w:r>
    </w:p>
    <w:p>
      <w:pPr>
        <w:pStyle w:val="20"/>
        <w:tabs>
          <w:tab w:val="right" w:leader="dot" w:pos="9356"/>
        </w:tabs>
        <w:ind w:firstLine="210" w:firstLineChars="100"/>
      </w:pPr>
      <w:r>
        <w:rPr>
          <w:rFonts w:hAnsi="宋体"/>
        </w:rPr>
        <w:fldChar w:fldCharType="begin"/>
      </w:r>
      <w:r>
        <w:rPr>
          <w:rFonts w:hAnsi="宋体"/>
        </w:rPr>
        <w:instrText xml:space="preserve"> HYPERLINK \l _Toc11222 </w:instrText>
      </w:r>
      <w:r>
        <w:rPr>
          <w:rFonts w:hAnsi="宋体"/>
        </w:rPr>
        <w:fldChar w:fldCharType="separate"/>
      </w:r>
      <w:r>
        <w:rPr>
          <w:rFonts w:hint="default" w:ascii="黑体" w:hAnsi="黑体" w:eastAsia="黑体" w:cs="黑体"/>
          <w:i w:val="0"/>
          <w:caps w:val="0"/>
          <w:strike w:val="0"/>
          <w:dstrike w:val="0"/>
          <w:vanish w:val="0"/>
          <w:spacing w:val="0"/>
          <w:w w:val="100"/>
          <w:position w:val="0"/>
          <w:vertAlign w:val="baseline"/>
          <w:lang w:val="en-US" w:eastAsia="zh-CN"/>
        </w:rPr>
        <w:t xml:space="preserve">6.2 </w:t>
      </w:r>
      <w:r>
        <w:rPr>
          <w:rFonts w:hint="eastAsia"/>
        </w:rPr>
        <w:t>传动</w:t>
      </w:r>
      <w:r>
        <w:rPr>
          <w:rFonts w:hint="eastAsia"/>
          <w:lang w:val="en-US" w:eastAsia="zh-CN"/>
        </w:rPr>
        <w:t>操作</w:t>
      </w:r>
      <w:r>
        <w:tab/>
      </w:r>
      <w:r>
        <w:fldChar w:fldCharType="begin"/>
      </w:r>
      <w:r>
        <w:instrText xml:space="preserve"> PAGEREF _Toc11222 \h </w:instrText>
      </w:r>
      <w:r>
        <w:fldChar w:fldCharType="separate"/>
      </w:r>
      <w:r>
        <w:t>11</w:t>
      </w:r>
      <w:r>
        <w:fldChar w:fldCharType="end"/>
      </w:r>
      <w:r>
        <w:rPr>
          <w:rFonts w:hAnsi="宋体"/>
        </w:rPr>
        <w:fldChar w:fldCharType="end"/>
      </w:r>
    </w:p>
    <w:p>
      <w:pPr>
        <w:pStyle w:val="20"/>
        <w:tabs>
          <w:tab w:val="right" w:leader="dot" w:pos="9356"/>
        </w:tabs>
        <w:ind w:firstLine="210" w:firstLineChars="100"/>
      </w:pPr>
      <w:r>
        <w:rPr>
          <w:rFonts w:hAnsi="宋体"/>
        </w:rPr>
        <w:fldChar w:fldCharType="begin"/>
      </w:r>
      <w:r>
        <w:rPr>
          <w:rFonts w:hAnsi="宋体"/>
        </w:rPr>
        <w:instrText xml:space="preserve"> HYPERLINK \l _Toc29230 </w:instrText>
      </w:r>
      <w:r>
        <w:rPr>
          <w:rFonts w:hAnsi="宋体"/>
        </w:rPr>
        <w:fldChar w:fldCharType="separate"/>
      </w:r>
      <w:r>
        <w:rPr>
          <w:rFonts w:hint="default" w:ascii="黑体" w:hAnsi="黑体" w:eastAsia="黑体" w:cs="黑体"/>
          <w:i w:val="0"/>
          <w:caps w:val="0"/>
          <w:strike w:val="0"/>
          <w:dstrike w:val="0"/>
          <w:vanish w:val="0"/>
          <w:spacing w:val="0"/>
          <w:w w:val="100"/>
          <w:position w:val="0"/>
          <w:vertAlign w:val="baseline"/>
          <w:lang w:val="en-US" w:eastAsia="zh-CN"/>
        </w:rPr>
        <w:t xml:space="preserve">6.3 </w:t>
      </w:r>
      <w:r>
        <w:rPr>
          <w:rFonts w:hint="eastAsia"/>
          <w:lang w:val="en-US" w:eastAsia="zh-CN"/>
        </w:rPr>
        <w:t>维护</w:t>
      </w:r>
      <w:r>
        <w:tab/>
      </w:r>
      <w:r>
        <w:fldChar w:fldCharType="begin"/>
      </w:r>
      <w:r>
        <w:instrText xml:space="preserve"> PAGEREF _Toc29230 \h </w:instrText>
      </w:r>
      <w:r>
        <w:fldChar w:fldCharType="separate"/>
      </w:r>
      <w:r>
        <w:t>12</w:t>
      </w:r>
      <w:r>
        <w:fldChar w:fldCharType="end"/>
      </w:r>
      <w:r>
        <w:rPr>
          <w:rFonts w:hAnsi="宋体"/>
        </w:rPr>
        <w:fldChar w:fldCharType="end"/>
      </w:r>
    </w:p>
    <w:p>
      <w:pPr>
        <w:pStyle w:val="258"/>
        <w:ind w:firstLine="420"/>
        <w:rPr>
          <w:rFonts w:hAnsi="宋体"/>
        </w:rPr>
      </w:pPr>
      <w:r>
        <w:rPr>
          <w:rFonts w:hAnsi="宋体"/>
        </w:rPr>
        <w:fldChar w:fldCharType="end"/>
      </w:r>
    </w:p>
    <w:p>
      <w:pPr>
        <w:widowControl/>
        <w:jc w:val="left"/>
        <w:rPr>
          <w:rFonts w:eastAsia="黑体"/>
          <w:kern w:val="0"/>
          <w:sz w:val="32"/>
          <w:szCs w:val="20"/>
        </w:rPr>
      </w:pPr>
    </w:p>
    <w:p>
      <w:pPr>
        <w:widowControl/>
        <w:jc w:val="left"/>
        <w:rPr>
          <w:rFonts w:eastAsia="黑体"/>
          <w:kern w:val="0"/>
          <w:sz w:val="32"/>
          <w:szCs w:val="20"/>
        </w:rPr>
      </w:pPr>
      <w:r>
        <w:br w:type="page"/>
      </w:r>
    </w:p>
    <w:p>
      <w:pPr>
        <w:pStyle w:val="256"/>
        <w:rPr>
          <w:rFonts w:ascii="Times New Roman"/>
        </w:rPr>
      </w:pPr>
      <w:bookmarkStart w:id="5" w:name="_Toc24685"/>
      <w:r>
        <w:rPr>
          <w:rFonts w:ascii="Times New Roman"/>
        </w:rPr>
        <w:t>前    言</w:t>
      </w:r>
      <w:bookmarkEnd w:id="2"/>
      <w:bookmarkEnd w:id="3"/>
      <w:bookmarkEnd w:id="4"/>
      <w:bookmarkEnd w:id="5"/>
    </w:p>
    <w:p>
      <w:pPr>
        <w:ind w:firstLine="420" w:firstLineChars="200"/>
        <w:rPr>
          <w:rFonts w:ascii="黑体" w:hAnsi="黑体" w:eastAsia="黑体"/>
          <w:color w:val="5B9BD5" w:themeColor="accent1"/>
          <w14:textFill>
            <w14:solidFill>
              <w14:schemeClr w14:val="accent1"/>
            </w14:solidFill>
          </w14:textFill>
        </w:rPr>
      </w:pPr>
      <w:r>
        <w:rPr>
          <w:color w:val="000000" w:themeColor="text1"/>
          <w14:textFill>
            <w14:solidFill>
              <w14:schemeClr w14:val="tx1"/>
            </w14:solidFill>
          </w14:textFill>
        </w:rPr>
        <w:t>本文件</w:t>
      </w:r>
      <w:r>
        <w:rPr>
          <w:rFonts w:hint="eastAsia" w:ascii="宋体" w:hAnsi="宋体"/>
          <w:color w:val="000000" w:themeColor="text1"/>
          <w14:textFill>
            <w14:solidFill>
              <w14:schemeClr w14:val="tx1"/>
            </w14:solidFill>
          </w14:textFill>
        </w:rPr>
        <w:t>按照</w:t>
      </w:r>
      <w:r>
        <w:rPr>
          <w:rFonts w:ascii="宋体" w:hAnsi="宋体"/>
          <w:color w:val="000000" w:themeColor="text1"/>
          <w14:textFill>
            <w14:solidFill>
              <w14:schemeClr w14:val="tx1"/>
            </w14:solidFill>
          </w14:textFill>
        </w:rPr>
        <w:t>《中国电机工程学会标准化管理办法》、《中国电机工程学会标准化管理办法实施细则》</w:t>
      </w:r>
      <w:r>
        <w:rPr>
          <w:rFonts w:hint="eastAsia" w:ascii="宋体" w:hAnsi="宋体"/>
          <w:color w:val="000000" w:themeColor="text1"/>
          <w14:textFill>
            <w14:solidFill>
              <w14:schemeClr w14:val="tx1"/>
            </w14:solidFill>
          </w14:textFill>
        </w:rPr>
        <w:t>的要求，依据</w:t>
      </w:r>
      <w:r>
        <w:rPr>
          <w:color w:val="000000" w:themeColor="text1"/>
          <w14:textFill>
            <w14:solidFill>
              <w14:schemeClr w14:val="tx1"/>
            </w14:solidFill>
          </w14:textFill>
        </w:rPr>
        <w:t>GB/T 1.1—2020《标准化工作导则 第1部分：标准化文件的结构和起草规则》的规定起草。</w:t>
      </w:r>
    </w:p>
    <w:p>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本文件是</w:t>
      </w:r>
      <w:r>
        <w:rPr>
          <w:color w:val="000000" w:themeColor="text1"/>
          <w14:textFill>
            <w14:solidFill>
              <w14:schemeClr w14:val="tx1"/>
            </w14:solidFill>
          </w14:textFill>
        </w:rPr>
        <w:t>T/CSEE XXXX</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基于电网拓扑瞬态重构的短路电流抑制系统技术规范</w:t>
      </w:r>
      <w:r>
        <w:rPr>
          <w:rFonts w:hint="eastAsia"/>
          <w:color w:val="000000" w:themeColor="text1"/>
          <w14:textFill>
            <w14:solidFill>
              <w14:schemeClr w14:val="tx1"/>
            </w14:solidFill>
          </w14:textFill>
        </w:rPr>
        <w:t>》的第</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部分。</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请注意本文件的某些内容可能涉及专利。本文件的发布机构不承担识别专利的责任。</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color w:val="000000" w:themeColor="text1"/>
          <w14:textFill>
            <w14:solidFill>
              <w14:schemeClr w14:val="tx1"/>
            </w14:solidFill>
          </w14:textFill>
        </w:rPr>
        <w:t>本文件</w:t>
      </w:r>
      <w:r>
        <w:rPr>
          <w:rFonts w:hint="eastAsia" w:ascii="宋体" w:cs="宋体"/>
          <w:color w:val="000000" w:themeColor="text1"/>
          <w:kern w:val="0"/>
          <w:szCs w:val="21"/>
          <w14:textFill>
            <w14:solidFill>
              <w14:schemeClr w14:val="tx1"/>
            </w14:solidFill>
          </w14:textFill>
        </w:rPr>
        <w:t>由中国电机工程学会提出。</w:t>
      </w:r>
    </w:p>
    <w:p>
      <w:pPr>
        <w:ind w:firstLine="42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本文件由中国电机工程学会X</w:t>
      </w:r>
      <w:r>
        <w:rPr>
          <w:rFonts w:ascii="宋体" w:hAnsi="宋体"/>
          <w:color w:val="000000" w:themeColor="text1"/>
          <w14:textFill>
            <w14:solidFill>
              <w14:schemeClr w14:val="tx1"/>
            </w14:solidFill>
          </w14:textFill>
        </w:rPr>
        <w:t>XXXXXXXXX</w:t>
      </w:r>
      <w:r>
        <w:rPr>
          <w:rFonts w:hint="eastAsia" w:ascii="宋体" w:hAnsi="宋体"/>
          <w:color w:val="000000" w:themeColor="text1"/>
          <w14:textFill>
            <w14:solidFill>
              <w14:schemeClr w14:val="tx1"/>
            </w14:solidFill>
          </w14:textFill>
        </w:rPr>
        <w:t>标准专业委员会技术归口和解释。</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本文件起草单位：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本文件主要起草人：</w:t>
      </w:r>
      <w:r>
        <w:rPr>
          <w:rFonts w:hint="eastAsia"/>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本文件首次发布。 </w:t>
      </w:r>
    </w:p>
    <w:p>
      <w:pPr>
        <w:ind w:firstLine="420" w:firstLineChars="200"/>
        <w:rPr>
          <w:rFonts w:ascii="宋体" w:hAnsi="宋体"/>
        </w:rPr>
      </w:pPr>
      <w:r>
        <w:rPr>
          <w:rFonts w:hint="eastAsia" w:ascii="宋体" w:hAnsi="宋体"/>
          <w:color w:val="000000" w:themeColor="text1"/>
          <w14:textFill>
            <w14:solidFill>
              <w14:schemeClr w14:val="tx1"/>
            </w14:solidFill>
          </w14:textFill>
        </w:rPr>
        <w:t>本文件</w:t>
      </w:r>
      <w:r>
        <w:rPr>
          <w:rFonts w:hint="eastAsia" w:ascii="宋体" w:hAnsi="宋体"/>
        </w:rPr>
        <w:t>在执行过程中的意见或建议反馈至中国电机工程学会标准执行办公室（地址：北京市西城区白广路二条1 号，100761，网址：http：//www.csee.org.cn，邮箱：</w:t>
      </w:r>
      <w:r>
        <w:fldChar w:fldCharType="begin"/>
      </w:r>
      <w:r>
        <w:instrText xml:space="preserve"> HYPERLINK "mailto:cseebz@csee.org.cn" </w:instrText>
      </w:r>
      <w:r>
        <w:fldChar w:fldCharType="separate"/>
      </w:r>
      <w:r>
        <w:rPr>
          <w:rStyle w:val="242"/>
          <w:rFonts w:hint="eastAsia" w:ascii="宋体" w:hAnsi="宋体"/>
        </w:rPr>
        <w:t>cseebz@csee.org.cn</w:t>
      </w:r>
      <w:r>
        <w:rPr>
          <w:rStyle w:val="242"/>
          <w:rFonts w:ascii="宋体" w:hAnsi="宋体"/>
        </w:rPr>
        <w:fldChar w:fldCharType="end"/>
      </w:r>
      <w:r>
        <w:rPr>
          <w:rFonts w:hint="eastAsia" w:ascii="宋体" w:hAnsi="宋体"/>
        </w:rPr>
        <w:t>）。</w:t>
      </w:r>
    </w:p>
    <w:p>
      <w:pPr>
        <w:ind w:firstLine="420" w:firstLineChars="200"/>
        <w:rPr>
          <w:rFonts w:ascii="宋体" w:hAnsi="宋体"/>
        </w:rPr>
      </w:pPr>
    </w:p>
    <w:p>
      <w:pPr>
        <w:ind w:firstLine="420" w:firstLineChars="200"/>
        <w:rPr>
          <w:rFonts w:ascii="宋体" w:hAnsi="宋体"/>
        </w:rPr>
      </w:pPr>
    </w:p>
    <w:p>
      <w:pPr>
        <w:widowControl/>
        <w:jc w:val="left"/>
        <w:rPr>
          <w:rFonts w:eastAsia="黑体"/>
          <w:kern w:val="0"/>
          <w:sz w:val="32"/>
          <w:szCs w:val="20"/>
        </w:rPr>
      </w:pPr>
      <w:bookmarkStart w:id="6" w:name="标准引言"/>
      <w:bookmarkEnd w:id="6"/>
      <w:bookmarkStart w:id="7" w:name="标准目次"/>
      <w:bookmarkEnd w:id="7"/>
      <w:r>
        <w:br w:type="page"/>
      </w:r>
    </w:p>
    <w:p>
      <w:pPr>
        <w:pStyle w:val="316"/>
        <w:rPr>
          <w:rFonts w:ascii="Times New Roman"/>
        </w:rPr>
      </w:pPr>
      <w:bookmarkStart w:id="8" w:name="_Toc3407"/>
      <w:bookmarkStart w:id="9" w:name="_Toc25533"/>
      <w:bookmarkStart w:id="10" w:name="_Toc6817"/>
      <w:bookmarkStart w:id="11" w:name="_Toc6319"/>
      <w:bookmarkStart w:id="12" w:name="_Toc10111"/>
      <w:bookmarkStart w:id="13" w:name="_Toc5061"/>
      <w:bookmarkStart w:id="14" w:name="_Toc32626"/>
      <w:r>
        <w:rPr>
          <w:rFonts w:hint="eastAsia" w:ascii="Times New Roman"/>
        </w:rPr>
        <w:t>基于电网拓扑</w:t>
      </w:r>
      <w:r>
        <w:rPr>
          <w:rFonts w:hint="eastAsia" w:ascii="Times New Roman"/>
          <w:lang w:eastAsia="zh-CN"/>
        </w:rPr>
        <w:t>瞬</w:t>
      </w:r>
      <w:r>
        <w:rPr>
          <w:rFonts w:hint="eastAsia" w:ascii="Times New Roman"/>
        </w:rPr>
        <w:t xml:space="preserve">态重构的短路电流抑制系统技术规范 </w:t>
      </w:r>
      <w:r>
        <w:rPr>
          <w:rFonts w:ascii="Times New Roman"/>
        </w:rPr>
        <w:br w:type="textWrapping"/>
      </w:r>
      <w:r>
        <w:rPr>
          <w:rFonts w:hint="eastAsia" w:ascii="Times New Roman"/>
        </w:rPr>
        <w:t>第</w:t>
      </w:r>
      <w:r>
        <w:rPr>
          <w:rFonts w:hint="eastAsia" w:ascii="Times New Roman"/>
          <w:lang w:val="en-US" w:eastAsia="zh-CN"/>
        </w:rPr>
        <w:t>4</w:t>
      </w:r>
      <w:r>
        <w:rPr>
          <w:rFonts w:hint="eastAsia" w:ascii="Times New Roman"/>
        </w:rPr>
        <w:t>部分 短路电流抑制系统</w:t>
      </w:r>
      <w:r>
        <w:rPr>
          <w:rFonts w:hint="eastAsia" w:ascii="Times New Roman"/>
          <w:lang w:val="en-US" w:eastAsia="zh-CN"/>
        </w:rPr>
        <w:t>现场调试及运维</w:t>
      </w:r>
      <w:bookmarkEnd w:id="8"/>
      <w:bookmarkEnd w:id="9"/>
      <w:bookmarkEnd w:id="10"/>
      <w:bookmarkEnd w:id="11"/>
      <w:bookmarkEnd w:id="12"/>
      <w:bookmarkEnd w:id="13"/>
      <w:bookmarkEnd w:id="14"/>
    </w:p>
    <w:p>
      <w:pPr>
        <w:pStyle w:val="259"/>
        <w:bidi w:val="0"/>
        <w:ind w:left="0" w:leftChars="0" w:firstLine="0" w:firstLineChars="0"/>
        <w:outlineLvl w:val="0"/>
      </w:pPr>
      <w:bookmarkStart w:id="15" w:name="_Toc11309"/>
      <w:bookmarkStart w:id="16" w:name="_Toc55228494"/>
      <w:bookmarkStart w:id="17" w:name="_Toc62027348"/>
      <w:bookmarkStart w:id="18" w:name="_Toc63642873"/>
      <w:r>
        <w:t>范围</w:t>
      </w:r>
      <w:bookmarkEnd w:id="15"/>
      <w:bookmarkEnd w:id="16"/>
      <w:bookmarkEnd w:id="17"/>
      <w:bookmarkEnd w:id="18"/>
    </w:p>
    <w:p>
      <w:pPr>
        <w:pStyle w:val="258"/>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本文件</w:t>
      </w:r>
      <w:r>
        <w:rPr>
          <w:rFonts w:hint="eastAsia" w:ascii="Times New Roman"/>
          <w:color w:val="000000" w:themeColor="text1"/>
          <w:szCs w:val="21"/>
          <w14:textFill>
            <w14:solidFill>
              <w14:schemeClr w14:val="tx1"/>
            </w14:solidFill>
          </w14:textFill>
        </w:rPr>
        <w:t>规定</w:t>
      </w:r>
      <w:r>
        <w:rPr>
          <w:rFonts w:ascii="Times New Roman"/>
          <w:color w:val="000000" w:themeColor="text1"/>
          <w:szCs w:val="21"/>
          <w14:textFill>
            <w14:solidFill>
              <w14:schemeClr w14:val="tx1"/>
            </w14:solidFill>
          </w14:textFill>
        </w:rPr>
        <w:t>了</w:t>
      </w:r>
      <w:r>
        <w:rPr>
          <w:rFonts w:hint="eastAsia"/>
          <w:szCs w:val="21"/>
        </w:rPr>
        <w:t>基于</w:t>
      </w:r>
      <w:r>
        <w:rPr>
          <w:rFonts w:hint="eastAsia"/>
          <w:szCs w:val="21"/>
          <w:lang w:eastAsia="zh-CN"/>
        </w:rPr>
        <w:t>电网拓扑瞬态重构</w:t>
      </w:r>
      <w:r>
        <w:rPr>
          <w:rFonts w:hint="eastAsia"/>
          <w:szCs w:val="21"/>
        </w:rPr>
        <w:t>的短路电流抑制系统应用的</w:t>
      </w:r>
      <w:r>
        <w:rPr>
          <w:rFonts w:hint="eastAsia"/>
          <w:szCs w:val="21"/>
          <w:lang w:eastAsia="zh-CN"/>
        </w:rPr>
        <w:t>现场交接试验</w:t>
      </w:r>
      <w:r>
        <w:rPr>
          <w:rFonts w:hint="eastAsia"/>
          <w:szCs w:val="21"/>
        </w:rPr>
        <w:t>、</w:t>
      </w:r>
      <w:r>
        <w:rPr>
          <w:rFonts w:hint="eastAsia"/>
          <w:szCs w:val="21"/>
          <w:lang w:eastAsia="zh-CN"/>
        </w:rPr>
        <w:t>系统调试</w:t>
      </w:r>
      <w:r>
        <w:rPr>
          <w:rFonts w:hint="eastAsia"/>
          <w:szCs w:val="21"/>
        </w:rPr>
        <w:t>、</w:t>
      </w:r>
      <w:r>
        <w:rPr>
          <w:rFonts w:hint="eastAsia"/>
          <w:szCs w:val="21"/>
          <w:lang w:val="en-US" w:eastAsia="zh-CN"/>
        </w:rPr>
        <w:t>运行维护</w:t>
      </w:r>
      <w:r>
        <w:rPr>
          <w:rFonts w:hint="eastAsia"/>
          <w:szCs w:val="21"/>
        </w:rPr>
        <w:t>要求等</w:t>
      </w:r>
      <w:r>
        <w:rPr>
          <w:rFonts w:ascii="Times New Roman"/>
          <w:color w:val="000000" w:themeColor="text1"/>
          <w:szCs w:val="21"/>
          <w14:textFill>
            <w14:solidFill>
              <w14:schemeClr w14:val="tx1"/>
            </w14:solidFill>
          </w14:textFill>
        </w:rPr>
        <w:t>。</w:t>
      </w:r>
    </w:p>
    <w:p>
      <w:pPr>
        <w:pStyle w:val="258"/>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本文件适用于</w:t>
      </w:r>
      <w:r>
        <w:rPr>
          <w:rFonts w:hint="eastAsia" w:ascii="Times New Roman"/>
          <w:color w:val="000000" w:themeColor="text1"/>
          <w:szCs w:val="21"/>
          <w14:textFill>
            <w14:solidFill>
              <w14:schemeClr w14:val="tx1"/>
            </w14:solidFill>
          </w14:textFill>
        </w:rPr>
        <w:t>设计安装在运行电压</w:t>
      </w:r>
      <w:r>
        <w:rPr>
          <w:rFonts w:ascii="Times New Roman"/>
          <w:color w:val="000000" w:themeColor="text1"/>
          <w:szCs w:val="21"/>
          <w14:textFill>
            <w14:solidFill>
              <w14:schemeClr w14:val="tx1"/>
            </w14:solidFill>
          </w14:textFill>
        </w:rPr>
        <w:t>220</w:t>
      </w:r>
      <w:r>
        <w:rPr>
          <w:rFonts w:hint="eastAsia" w:ascii="Times New Roman"/>
          <w:color w:val="000000" w:themeColor="text1"/>
          <w:szCs w:val="21"/>
          <w14:textFill>
            <w14:solidFill>
              <w14:schemeClr w14:val="tx1"/>
            </w14:solidFill>
          </w14:textFill>
        </w:rPr>
        <w:t>kV及以上、频率50 Hz的电力系统。</w:t>
      </w:r>
    </w:p>
    <w:p>
      <w:pPr>
        <w:pStyle w:val="259"/>
        <w:bidi w:val="0"/>
        <w:ind w:left="0" w:leftChars="0" w:firstLine="0" w:firstLineChars="0"/>
        <w:outlineLvl w:val="0"/>
      </w:pPr>
      <w:bookmarkStart w:id="19" w:name="_Toc55228495"/>
      <w:bookmarkStart w:id="20" w:name="_Toc63642874"/>
      <w:bookmarkStart w:id="21" w:name="_Toc62027349"/>
      <w:bookmarkStart w:id="22" w:name="_Toc437"/>
      <w:r>
        <w:t>规范性引用文</w:t>
      </w:r>
      <w:bookmarkEnd w:id="19"/>
      <w:r>
        <w:t>件</w:t>
      </w:r>
      <w:bookmarkEnd w:id="20"/>
      <w:bookmarkEnd w:id="21"/>
      <w:bookmarkEnd w:id="22"/>
    </w:p>
    <w:p>
      <w:pPr>
        <w:pStyle w:val="258"/>
        <w:ind w:firstLine="420"/>
        <w:rPr>
          <w:rFonts w:ascii="Times New Roman"/>
          <w:szCs w:val="21"/>
        </w:rPr>
      </w:pPr>
      <w:r>
        <w:rPr>
          <w:rFonts w:ascii="Times New Roman"/>
          <w:color w:val="000000" w:themeColor="text1"/>
          <w:szCs w:val="2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8"/>
        <w:tabs>
          <w:tab w:val="center" w:pos="4201"/>
          <w:tab w:val="right" w:leader="dot" w:pos="9298"/>
        </w:tabs>
        <w:ind w:firstLine="420"/>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GB 50150</w:t>
      </w:r>
      <w:r>
        <w:rPr>
          <w:rFonts w:ascii="Times New Roman"/>
          <w:szCs w:val="21"/>
        </w:rPr>
        <w:t>—</w:t>
      </w:r>
      <w:r>
        <w:rPr>
          <w:rFonts w:hint="eastAsia" w:ascii="Times New Roman" w:hAnsi="Times New Roman"/>
          <w:kern w:val="2"/>
          <w:sz w:val="21"/>
          <w:szCs w:val="21"/>
          <w:lang w:val="en-US" w:eastAsia="zh-CN" w:bidi="ar-SA"/>
        </w:rPr>
        <w:t xml:space="preserve">2016  </w:t>
      </w:r>
      <w:r>
        <w:rPr>
          <w:rFonts w:hint="eastAsia" w:ascii="Times New Roman"/>
          <w:kern w:val="2"/>
          <w:sz w:val="21"/>
          <w:szCs w:val="21"/>
          <w:lang w:val="en-US" w:eastAsia="zh-CN" w:bidi="ar-SA"/>
        </w:rPr>
        <w:t xml:space="preserve">  </w:t>
      </w:r>
      <w:r>
        <w:rPr>
          <w:rFonts w:hint="eastAsia" w:ascii="Times New Roman" w:hAnsi="Times New Roman"/>
          <w:kern w:val="2"/>
          <w:sz w:val="21"/>
          <w:szCs w:val="21"/>
          <w:lang w:val="en-US" w:eastAsia="zh-CN" w:bidi="ar-SA"/>
        </w:rPr>
        <w:t>电气装</w:t>
      </w:r>
      <w:r>
        <w:rPr>
          <w:rFonts w:hint="eastAsia" w:ascii="Times New Roman" w:hAnsi="Times New Roman"/>
          <w:color w:val="auto"/>
          <w:kern w:val="2"/>
          <w:sz w:val="21"/>
          <w:szCs w:val="21"/>
          <w:lang w:val="en-US" w:eastAsia="zh-CN" w:bidi="ar-SA"/>
        </w:rPr>
        <w:t>置安装工程电气设备交接试验标准</w:t>
      </w:r>
    </w:p>
    <w:p>
      <w:pPr>
        <w:pStyle w:val="258"/>
        <w:tabs>
          <w:tab w:val="center" w:pos="4201"/>
          <w:tab w:val="right" w:leader="dot" w:pos="9298"/>
        </w:tabs>
        <w:ind w:firstLine="420"/>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GB/T 1984</w:t>
      </w:r>
      <w:r>
        <w:rPr>
          <w:rFonts w:ascii="Times New Roman"/>
          <w:szCs w:val="21"/>
        </w:rPr>
        <w:t>—</w:t>
      </w:r>
      <w:r>
        <w:rPr>
          <w:rFonts w:hint="eastAsia" w:ascii="Times New Roman" w:hAnsi="Times New Roman"/>
          <w:kern w:val="2"/>
          <w:sz w:val="21"/>
          <w:szCs w:val="21"/>
          <w:lang w:val="en-US" w:eastAsia="zh-CN" w:bidi="ar-SA"/>
        </w:rPr>
        <w:t>2014   高压交流断路器</w:t>
      </w:r>
    </w:p>
    <w:p>
      <w:pPr>
        <w:pStyle w:val="258"/>
        <w:tabs>
          <w:tab w:val="center" w:pos="4201"/>
          <w:tab w:val="right" w:leader="dot" w:pos="9298"/>
        </w:tabs>
        <w:ind w:firstLine="420"/>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GB/T 11022</w:t>
      </w:r>
      <w:r>
        <w:rPr>
          <w:rFonts w:ascii="Times New Roman"/>
          <w:szCs w:val="21"/>
        </w:rPr>
        <w:t>—</w:t>
      </w:r>
      <w:r>
        <w:rPr>
          <w:rFonts w:hint="eastAsia" w:ascii="Times New Roman" w:hAnsi="Times New Roman"/>
          <w:kern w:val="2"/>
          <w:sz w:val="21"/>
          <w:szCs w:val="21"/>
          <w:lang w:val="en-US" w:eastAsia="zh-CN" w:bidi="ar-SA"/>
        </w:rPr>
        <w:t>2020  高压开关设备和控制设备标准的共同技术要求</w:t>
      </w:r>
    </w:p>
    <w:p>
      <w:pPr>
        <w:pStyle w:val="51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Times New Roman" w:hAnsi="Times New Roman"/>
          <w:kern w:val="2"/>
          <w:sz w:val="21"/>
          <w:szCs w:val="21"/>
          <w:lang w:val="en-US" w:eastAsia="zh-CN" w:bidi="ar-SA"/>
        </w:rPr>
      </w:pPr>
      <w:r>
        <w:t>GB/T 7261</w:t>
      </w:r>
      <w:r>
        <w:rPr>
          <w:rFonts w:ascii="Times New Roman"/>
          <w:szCs w:val="21"/>
        </w:rPr>
        <w:t>—</w:t>
      </w:r>
      <w:r>
        <w:t>2016</w:t>
      </w:r>
      <w:r>
        <w:rPr>
          <w:rFonts w:hint="eastAsia"/>
        </w:rPr>
        <w:t xml:space="preserve">　 </w:t>
      </w:r>
      <w:r>
        <w:t>继电保护和安全自动装置基本试验方法</w:t>
      </w:r>
    </w:p>
    <w:p>
      <w:pPr>
        <w:pStyle w:val="258"/>
        <w:tabs>
          <w:tab w:val="center" w:pos="4201"/>
          <w:tab w:val="right" w:leader="dot" w:pos="9298"/>
        </w:tabs>
        <w:ind w:firstLine="420"/>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DL/T 402</w:t>
      </w:r>
      <w:r>
        <w:rPr>
          <w:rFonts w:ascii="Times New Roman"/>
          <w:szCs w:val="21"/>
        </w:rPr>
        <w:t>—</w:t>
      </w:r>
      <w:r>
        <w:rPr>
          <w:rFonts w:hint="eastAsia" w:ascii="Times New Roman" w:hAnsi="Times New Roman"/>
          <w:kern w:val="2"/>
          <w:sz w:val="21"/>
          <w:szCs w:val="21"/>
          <w:lang w:val="en-US" w:eastAsia="zh-CN" w:bidi="ar-SA"/>
        </w:rPr>
        <w:t>2016    高压交流断路器</w:t>
      </w:r>
    </w:p>
    <w:p>
      <w:pPr>
        <w:pStyle w:val="258"/>
        <w:tabs>
          <w:tab w:val="center" w:pos="4201"/>
          <w:tab w:val="right" w:leader="dot" w:pos="9298"/>
        </w:tabs>
        <w:ind w:firstLine="420"/>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DL/T 593</w:t>
      </w:r>
      <w:r>
        <w:rPr>
          <w:rFonts w:ascii="Times New Roman"/>
          <w:szCs w:val="21"/>
        </w:rPr>
        <w:t>—</w:t>
      </w:r>
      <w:r>
        <w:rPr>
          <w:rFonts w:hint="eastAsia" w:ascii="Times New Roman" w:hAnsi="Times New Roman"/>
          <w:kern w:val="2"/>
          <w:sz w:val="21"/>
          <w:szCs w:val="21"/>
          <w:lang w:val="en-US" w:eastAsia="zh-CN" w:bidi="ar-SA"/>
        </w:rPr>
        <w:t>2016    高压开关设备和控制设备标准的共用技术要求</w:t>
      </w:r>
    </w:p>
    <w:p>
      <w:pPr>
        <w:pStyle w:val="258"/>
        <w:tabs>
          <w:tab w:val="center" w:pos="4201"/>
          <w:tab w:val="right" w:leader="dot" w:pos="9298"/>
        </w:tabs>
        <w:ind w:firstLine="420"/>
        <w:rPr>
          <w:rFonts w:hint="default"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 xml:space="preserve">DL/T </w:t>
      </w:r>
      <w:r>
        <w:rPr>
          <w:rFonts w:hint="eastAsia" w:ascii="Times New Roman"/>
          <w:kern w:val="2"/>
          <w:sz w:val="21"/>
          <w:szCs w:val="21"/>
          <w:lang w:val="en-US" w:eastAsia="zh-CN" w:bidi="ar-SA"/>
        </w:rPr>
        <w:t>664</w:t>
      </w:r>
      <w:r>
        <w:rPr>
          <w:rFonts w:ascii="Times New Roman"/>
          <w:szCs w:val="21"/>
        </w:rPr>
        <w:t>—</w:t>
      </w:r>
      <w:r>
        <w:rPr>
          <w:rFonts w:hint="eastAsia" w:ascii="Times New Roman" w:hAnsi="Times New Roman"/>
          <w:kern w:val="2"/>
          <w:sz w:val="21"/>
          <w:szCs w:val="21"/>
          <w:lang w:val="en-US" w:eastAsia="zh-CN" w:bidi="ar-SA"/>
        </w:rPr>
        <w:t>20</w:t>
      </w:r>
      <w:r>
        <w:rPr>
          <w:rFonts w:hint="eastAsia" w:ascii="Times New Roman"/>
          <w:kern w:val="2"/>
          <w:sz w:val="21"/>
          <w:szCs w:val="21"/>
          <w:lang w:val="en-US" w:eastAsia="zh-CN" w:bidi="ar-SA"/>
        </w:rPr>
        <w:t>08    带电设备红外诊断应用规范</w:t>
      </w:r>
    </w:p>
    <w:p>
      <w:pPr>
        <w:pStyle w:val="259"/>
        <w:bidi w:val="0"/>
        <w:ind w:left="0" w:leftChars="0" w:firstLine="0" w:firstLineChars="0"/>
        <w:outlineLvl w:val="0"/>
      </w:pPr>
      <w:bookmarkStart w:id="23" w:name="_Toc17071"/>
      <w:bookmarkStart w:id="24" w:name="_Toc55228496"/>
      <w:bookmarkStart w:id="25" w:name="_Toc63642875"/>
      <w:bookmarkStart w:id="26" w:name="_Toc62027350"/>
      <w:r>
        <w:t>术语和定义</w:t>
      </w:r>
      <w:bookmarkEnd w:id="23"/>
      <w:bookmarkEnd w:id="24"/>
      <w:bookmarkEnd w:id="25"/>
      <w:bookmarkEnd w:id="26"/>
    </w:p>
    <w:p>
      <w:pPr>
        <w:pStyle w:val="258"/>
        <w:ind w:firstLine="420"/>
        <w:rPr>
          <w:rFonts w:ascii="Times New Roman"/>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DL/T</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402</w:t>
      </w:r>
      <w:r>
        <w:rPr>
          <w:rFonts w:ascii="Times New Roman"/>
          <w:color w:val="000000" w:themeColor="text1"/>
          <w:szCs w:val="21"/>
          <w14:textFill>
            <w14:solidFill>
              <w14:schemeClr w14:val="tx1"/>
            </w14:solidFill>
          </w14:textFill>
        </w:rPr>
        <w:t>界定的以及下列术语和定义适用于本文件。</w:t>
      </w:r>
    </w:p>
    <w:p>
      <w:pPr>
        <w:pStyle w:val="324"/>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Times New Roman"/>
        </w:rPr>
      </w:pPr>
      <w:r>
        <w:rPr>
          <w:rFonts w:ascii="Times New Roman"/>
        </w:rPr>
        <w:t>电网拓扑</w:t>
      </w:r>
      <w:r>
        <w:rPr>
          <w:rFonts w:hint="eastAsia" w:ascii="Times New Roman"/>
        </w:rPr>
        <w:t>瞬态</w:t>
      </w:r>
      <w:r>
        <w:rPr>
          <w:rFonts w:ascii="Times New Roman"/>
        </w:rPr>
        <w:t>重构</w:t>
      </w:r>
      <w:r>
        <w:rPr>
          <w:rFonts w:ascii="Times New Roman"/>
          <w:color w:val="000000" w:themeColor="text1"/>
          <w14:textFill>
            <w14:solidFill>
              <w14:schemeClr w14:val="tx1"/>
            </w14:solidFill>
          </w14:textFill>
        </w:rPr>
        <w:t xml:space="preserve">  </w:t>
      </w:r>
      <w:r>
        <w:rPr>
          <w:rFonts w:ascii="Times New Roman"/>
          <w:color w:val="FF0000"/>
        </w:rPr>
        <w:t xml:space="preserve">  </w:t>
      </w:r>
    </w:p>
    <w:p>
      <w:pPr>
        <w:pStyle w:val="258"/>
        <w:rPr>
          <w:rFonts w:ascii="Times New Roman"/>
          <w:szCs w:val="21"/>
        </w:rPr>
      </w:pPr>
      <w:r>
        <w:rPr>
          <w:rFonts w:hint="eastAsia"/>
        </w:rPr>
        <w:t>系统发生故障后，在常规断路器动作前，瞬态改变电网拓扑结构，增大故障点等值短路阻抗或改变短路电流分布，从而抑制短路电流的一种方法。</w:t>
      </w:r>
    </w:p>
    <w:p>
      <w:pPr>
        <w:pStyle w:val="324"/>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Times New Roman" w:hAnsi="Times New Roman" w:cs="Times New Roman"/>
          <w:color w:val="000000" w:themeColor="text1"/>
          <w:lang w:val="en-US" w:eastAsia="zh-CN"/>
          <w14:textFill>
            <w14:solidFill>
              <w14:schemeClr w14:val="tx1"/>
            </w14:solidFill>
          </w14:textFill>
        </w:rPr>
      </w:pPr>
      <w:bookmarkStart w:id="27" w:name="_Toc24516"/>
      <w:bookmarkStart w:id="28" w:name="_Toc3472"/>
      <w:r>
        <w:rPr>
          <w:rFonts w:hint="eastAsia" w:ascii="Times New Roman" w:cs="Times New Roman"/>
          <w:color w:val="000000" w:themeColor="text1"/>
          <w:lang w:val="en-US" w:eastAsia="zh-CN"/>
          <w14:textFill>
            <w14:solidFill>
              <w14:schemeClr w14:val="tx1"/>
            </w14:solidFill>
          </w14:textFill>
        </w:rPr>
        <w:t>快速检测控制装置</w:t>
      </w:r>
    </w:p>
    <w:p>
      <w:pPr>
        <w:pStyle w:val="258"/>
        <w:ind w:firstLine="420"/>
        <w:rPr>
          <w:rFonts w:hint="eastAsia"/>
        </w:rPr>
      </w:pPr>
      <w:r>
        <w:rPr>
          <w:rFonts w:hint="eastAsia"/>
        </w:rPr>
        <w:t>一种通过采集电网电压、电流进行短路故障快速识别和同期检测并控制全冗余智能快速断路器分合闸以实现</w:t>
      </w:r>
      <w:r>
        <w:rPr>
          <w:rFonts w:hint="eastAsia"/>
          <w:lang w:eastAsia="zh-CN"/>
        </w:rPr>
        <w:t>电网拓扑瞬态重构</w:t>
      </w:r>
      <w:r>
        <w:rPr>
          <w:rFonts w:hint="eastAsia"/>
        </w:rPr>
        <w:t>与恢复的装置。</w:t>
      </w:r>
    </w:p>
    <w:bookmarkEnd w:id="27"/>
    <w:bookmarkEnd w:id="28"/>
    <w:p>
      <w:pPr>
        <w:pStyle w:val="324"/>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cs="Times New Roman"/>
          <w:color w:val="000000" w:themeColor="text1"/>
          <w:lang w:val="en-US" w:eastAsia="zh-CN"/>
          <w14:textFill>
            <w14:solidFill>
              <w14:schemeClr w14:val="tx1"/>
            </w14:solidFill>
          </w14:textFill>
        </w:rPr>
        <w:t>全冗余智能快速断路器</w:t>
      </w:r>
    </w:p>
    <w:p>
      <w:pPr>
        <w:pStyle w:val="258"/>
        <w:rPr>
          <w:rFonts w:hint="eastAsia"/>
          <w:lang w:val="en-US" w:eastAsia="zh-CN"/>
        </w:rPr>
      </w:pPr>
      <w:r>
        <w:rPr>
          <w:rFonts w:hint="eastAsia" w:ascii="宋体" w:hAnsi="Times New Roman" w:eastAsia="宋体" w:cs="Times New Roman"/>
          <w:sz w:val="21"/>
          <w:lang w:val="en-US" w:eastAsia="zh-CN" w:bidi="ar-SA"/>
        </w:rPr>
        <w:t>一种用于短路电流抑制系统、由两个独立智能快速断路器串联一体化设计组成的快速断路器。</w:t>
      </w:r>
    </w:p>
    <w:p>
      <w:pPr>
        <w:pStyle w:val="324"/>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cs="Times New Roman"/>
          <w:color w:val="000000" w:themeColor="text1"/>
          <w:lang w:val="en-US" w:eastAsia="zh-CN"/>
          <w14:textFill>
            <w14:solidFill>
              <w14:schemeClr w14:val="tx1"/>
            </w14:solidFill>
          </w14:textFill>
        </w:rPr>
        <w:t>短路电流抑制系统</w:t>
      </w:r>
    </w:p>
    <w:p>
      <w:pPr>
        <w:pStyle w:val="324"/>
        <w:numPr>
          <w:ilvl w:val="0"/>
          <w:numId w:val="0"/>
        </w:numPr>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由快速检测控制装置及一组或多组快速断路器组成的，用于实现短路故障后电网拓扑瞬态重构，从而抑制短路电流的系统。</w:t>
      </w:r>
    </w:p>
    <w:p>
      <w:pPr>
        <w:pStyle w:val="259"/>
        <w:bidi w:val="0"/>
        <w:ind w:left="0" w:leftChars="0" w:firstLine="0" w:firstLineChars="0"/>
        <w:outlineLvl w:val="0"/>
      </w:pPr>
      <w:bookmarkStart w:id="29" w:name="_Toc14141"/>
      <w:r>
        <w:rPr>
          <w:rFonts w:hint="eastAsia"/>
          <w:lang w:val="en-US" w:eastAsia="zh-CN"/>
        </w:rPr>
        <w:t>现场交接试验</w:t>
      </w:r>
      <w:bookmarkEnd w:id="29"/>
    </w:p>
    <w:p>
      <w:pPr>
        <w:pStyle w:val="260"/>
        <w:ind w:left="0"/>
        <w:outlineLvl w:val="1"/>
        <w:rPr>
          <w:color w:val="000000" w:themeColor="text1"/>
          <w14:textFill>
            <w14:solidFill>
              <w14:schemeClr w14:val="tx1"/>
            </w14:solidFill>
          </w14:textFill>
        </w:rPr>
      </w:pPr>
      <w:bookmarkStart w:id="30" w:name="_Toc32399"/>
      <w:r>
        <w:rPr>
          <w:rFonts w:hint="eastAsia"/>
          <w:color w:val="000000" w:themeColor="text1"/>
          <w:lang w:val="en-US" w:eastAsia="zh-CN"/>
          <w14:textFill>
            <w14:solidFill>
              <w14:schemeClr w14:val="tx1"/>
            </w14:solidFill>
          </w14:textFill>
        </w:rPr>
        <w:t>快速检测控制装置试验</w:t>
      </w:r>
      <w:bookmarkEnd w:id="30"/>
    </w:p>
    <w:p>
      <w:pPr>
        <w:pStyle w:val="261"/>
        <w:keepNext w:val="0"/>
        <w:keepLines w:val="0"/>
        <w:pageBreakBefore w:val="0"/>
        <w:widowControl/>
        <w:numPr>
          <w:ilvl w:val="2"/>
          <w:numId w:val="29"/>
        </w:numPr>
        <w:tabs>
          <w:tab w:val="left" w:pos="0"/>
        </w:tabs>
        <w:kinsoku/>
        <w:wordWrap/>
        <w:overflowPunct/>
        <w:topLinePunct w:val="0"/>
        <w:autoSpaceDE/>
        <w:autoSpaceDN/>
        <w:bidi w:val="0"/>
        <w:adjustRightInd/>
        <w:snapToGrid/>
        <w:ind w:left="0" w:leftChars="0" w:firstLine="0" w:firstLineChars="0"/>
        <w:textAlignment w:val="auto"/>
        <w:outlineLvl w:val="2"/>
        <w:rPr>
          <w:rFonts w:hint="eastAsia"/>
          <w:lang w:eastAsia="zh-CN"/>
        </w:rPr>
      </w:pPr>
      <w:bookmarkStart w:id="31" w:name="_Toc12425"/>
      <w:r>
        <w:rPr>
          <w:rFonts w:hint="eastAsia"/>
          <w:lang w:eastAsia="zh-CN"/>
        </w:rPr>
        <w:t>现场试验项目</w:t>
      </w:r>
      <w:bookmarkEnd w:id="31"/>
    </w:p>
    <w:p>
      <w:pPr>
        <w:pStyle w:val="520"/>
        <w:keepNext w:val="0"/>
        <w:keepLines w:val="0"/>
        <w:pageBreakBefore w:val="0"/>
        <w:widowControl w:val="0"/>
        <w:numPr>
          <w:ilvl w:val="0"/>
          <w:numId w:val="0"/>
        </w:numPr>
        <w:tabs>
          <w:tab w:val="clear" w:pos="5955"/>
        </w:tabs>
        <w:kinsoku/>
        <w:wordWrap/>
        <w:overflowPunct/>
        <w:topLinePunct w:val="0"/>
        <w:autoSpaceDE/>
        <w:autoSpaceDN/>
        <w:bidi w:val="0"/>
        <w:adjustRightInd/>
        <w:snapToGrid/>
        <w:spacing w:beforeLines="0" w:afterLines="0" w:line="240" w:lineRule="auto"/>
        <w:ind w:leftChars="200"/>
        <w:textAlignment w:val="auto"/>
        <w:outlineLvl w:val="9"/>
        <w:rPr>
          <w:rFonts w:ascii="Times New Roman" w:hAnsi="宋体" w:eastAsia="宋体"/>
        </w:rPr>
      </w:pPr>
      <w:bookmarkStart w:id="32" w:name="_Toc25216"/>
      <w:bookmarkStart w:id="33" w:name="_Toc1550"/>
      <w:bookmarkStart w:id="34" w:name="_Toc5974"/>
      <w:r>
        <w:rPr>
          <w:rFonts w:hint="eastAsia" w:ascii="Times New Roman" w:hAnsi="宋体" w:eastAsia="宋体"/>
        </w:rPr>
        <w:t>本条款是装置现场检验过程中应遵守的基本原则，其没有涉及的内容按照D</w:t>
      </w:r>
      <w:r>
        <w:rPr>
          <w:rFonts w:ascii="Times New Roman" w:hAnsi="宋体" w:eastAsia="宋体"/>
        </w:rPr>
        <w:t>L/T 995</w:t>
      </w:r>
      <w:r>
        <w:rPr>
          <w:rFonts w:hint="eastAsia" w:ascii="Times New Roman" w:hAnsi="宋体" w:eastAsia="宋体"/>
        </w:rPr>
        <w:t>的规定进行：</w:t>
      </w:r>
      <w:bookmarkEnd w:id="32"/>
      <w:bookmarkEnd w:id="33"/>
      <w:bookmarkEnd w:id="34"/>
    </w:p>
    <w:p>
      <w:pPr>
        <w:pStyle w:val="518"/>
        <w:numPr>
          <w:ilvl w:val="5"/>
          <w:numId w:val="30"/>
        </w:numPr>
        <w:spacing w:line="240" w:lineRule="auto"/>
        <w:ind w:left="839" w:leftChars="0" w:hanging="419" w:firstLineChars="0"/>
        <w:rPr>
          <w:rFonts w:hAnsi="宋体"/>
        </w:rPr>
      </w:pPr>
      <w:r>
        <w:rPr>
          <w:rFonts w:hint="eastAsia" w:hAnsi="宋体"/>
        </w:rPr>
        <w:t>外观及接线检查；</w:t>
      </w:r>
    </w:p>
    <w:p>
      <w:pPr>
        <w:pStyle w:val="518"/>
        <w:numPr>
          <w:ilvl w:val="5"/>
          <w:numId w:val="30"/>
        </w:numPr>
        <w:spacing w:line="240" w:lineRule="auto"/>
        <w:ind w:left="839" w:leftChars="0" w:hanging="419" w:firstLineChars="0"/>
        <w:rPr>
          <w:rFonts w:hAnsi="宋体"/>
        </w:rPr>
      </w:pPr>
      <w:r>
        <w:rPr>
          <w:rFonts w:hint="eastAsia" w:hAnsi="宋体"/>
        </w:rPr>
        <w:t>人机界面检验；</w:t>
      </w:r>
    </w:p>
    <w:p>
      <w:pPr>
        <w:pStyle w:val="518"/>
        <w:numPr>
          <w:ilvl w:val="5"/>
          <w:numId w:val="30"/>
        </w:numPr>
        <w:spacing w:line="240" w:lineRule="auto"/>
        <w:ind w:left="839" w:leftChars="0" w:hanging="419" w:firstLineChars="0"/>
        <w:rPr>
          <w:rFonts w:hAnsi="宋体"/>
        </w:rPr>
      </w:pPr>
      <w:r>
        <w:rPr>
          <w:rFonts w:hint="eastAsia" w:hAnsi="宋体"/>
        </w:rPr>
        <w:t>数据采集检验；</w:t>
      </w:r>
    </w:p>
    <w:p>
      <w:pPr>
        <w:pStyle w:val="518"/>
        <w:numPr>
          <w:ilvl w:val="5"/>
          <w:numId w:val="30"/>
        </w:numPr>
        <w:spacing w:line="240" w:lineRule="auto"/>
        <w:ind w:left="839" w:leftChars="0" w:hanging="419" w:firstLineChars="0"/>
        <w:rPr>
          <w:rFonts w:hAnsi="宋体"/>
        </w:rPr>
      </w:pPr>
      <w:r>
        <w:rPr>
          <w:rFonts w:hint="eastAsia" w:hAnsi="宋体"/>
        </w:rPr>
        <w:t>光纤通信检验；</w:t>
      </w:r>
    </w:p>
    <w:p>
      <w:pPr>
        <w:pStyle w:val="518"/>
        <w:numPr>
          <w:ilvl w:val="5"/>
          <w:numId w:val="30"/>
        </w:numPr>
        <w:spacing w:line="240" w:lineRule="auto"/>
        <w:ind w:left="839" w:leftChars="0" w:hanging="419" w:firstLineChars="0"/>
        <w:rPr>
          <w:rFonts w:hAnsi="宋体"/>
        </w:rPr>
      </w:pPr>
      <w:r>
        <w:rPr>
          <w:rFonts w:hint="eastAsia" w:hAnsi="宋体"/>
        </w:rPr>
        <w:t>限流功能检验；</w:t>
      </w:r>
    </w:p>
    <w:p>
      <w:pPr>
        <w:pStyle w:val="518"/>
        <w:numPr>
          <w:ilvl w:val="5"/>
          <w:numId w:val="30"/>
        </w:numPr>
        <w:spacing w:line="240" w:lineRule="auto"/>
        <w:ind w:left="839" w:leftChars="0" w:hanging="419" w:firstLineChars="0"/>
        <w:rPr>
          <w:rFonts w:hAnsi="宋体"/>
        </w:rPr>
      </w:pPr>
      <w:r>
        <w:rPr>
          <w:rFonts w:hint="eastAsia" w:hAnsi="宋体"/>
        </w:rPr>
        <w:t>监控系统检验；</w:t>
      </w:r>
    </w:p>
    <w:p>
      <w:pPr>
        <w:pStyle w:val="518"/>
        <w:numPr>
          <w:ilvl w:val="5"/>
          <w:numId w:val="30"/>
        </w:numPr>
        <w:spacing w:line="240" w:lineRule="auto"/>
        <w:ind w:left="839" w:leftChars="0" w:hanging="419" w:firstLineChars="0"/>
        <w:rPr>
          <w:rFonts w:hAnsi="宋体"/>
        </w:rPr>
      </w:pPr>
      <w:r>
        <w:rPr>
          <w:rFonts w:hint="eastAsia" w:hAnsi="宋体"/>
        </w:rPr>
        <w:t>故障录波功能检验；</w:t>
      </w:r>
    </w:p>
    <w:p>
      <w:pPr>
        <w:pStyle w:val="518"/>
        <w:numPr>
          <w:ilvl w:val="5"/>
          <w:numId w:val="30"/>
        </w:numPr>
        <w:spacing w:line="240" w:lineRule="auto"/>
        <w:ind w:left="839" w:leftChars="0" w:hanging="419" w:firstLineChars="0"/>
        <w:rPr>
          <w:rFonts w:hAnsi="宋体"/>
        </w:rPr>
      </w:pPr>
      <w:r>
        <w:rPr>
          <w:rFonts w:hint="eastAsia" w:hAnsi="宋体"/>
        </w:rPr>
        <w:t>双系统掉电试验。</w:t>
      </w:r>
    </w:p>
    <w:p>
      <w:pPr>
        <w:pStyle w:val="520"/>
        <w:keepNext w:val="0"/>
        <w:keepLines w:val="0"/>
        <w:pageBreakBefore w:val="0"/>
        <w:widowControl w:val="0"/>
        <w:numPr>
          <w:ilvl w:val="2"/>
          <w:numId w:val="30"/>
        </w:numPr>
        <w:tabs>
          <w:tab w:val="clear" w:pos="0"/>
          <w:tab w:val="clear" w:pos="5955"/>
        </w:tabs>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Times New Roman" w:hAnsi="宋体" w:eastAsia="宋体"/>
          <w:b/>
          <w:bCs/>
        </w:rPr>
      </w:pPr>
      <w:bookmarkStart w:id="35" w:name="_Toc18134"/>
      <w:bookmarkStart w:id="36" w:name="_Toc10172"/>
      <w:r>
        <w:rPr>
          <w:rFonts w:hint="eastAsia" w:ascii="Times New Roman" w:hAnsi="宋体" w:eastAsia="宋体"/>
          <w:b/>
          <w:bCs/>
        </w:rPr>
        <w:t>外观及接线检查</w:t>
      </w:r>
      <w:bookmarkEnd w:id="35"/>
      <w:bookmarkEnd w:id="36"/>
    </w:p>
    <w:p>
      <w:pPr>
        <w:pStyle w:val="518"/>
        <w:numPr>
          <w:ilvl w:val="5"/>
          <w:numId w:val="30"/>
        </w:numPr>
        <w:spacing w:line="240" w:lineRule="auto"/>
        <w:ind w:left="839" w:leftChars="0" w:hanging="419" w:firstLineChars="0"/>
      </w:pPr>
      <w:r>
        <w:rPr>
          <w:rFonts w:hint="eastAsia"/>
        </w:rPr>
        <w:t>装置的硬件配置，电缆、光缆的接线及标识等应符合要求；</w:t>
      </w:r>
    </w:p>
    <w:p>
      <w:pPr>
        <w:pStyle w:val="518"/>
        <w:numPr>
          <w:ilvl w:val="5"/>
          <w:numId w:val="30"/>
        </w:numPr>
        <w:spacing w:line="240" w:lineRule="auto"/>
        <w:ind w:left="839" w:leftChars="0" w:hanging="419" w:firstLineChars="0"/>
      </w:pPr>
      <w:r>
        <w:rPr>
          <w:rFonts w:hint="eastAsia"/>
        </w:rPr>
        <w:t>装置的外观应完好，无明显损坏及变形</w:t>
      </w:r>
      <w:r>
        <w:t>；</w:t>
      </w:r>
    </w:p>
    <w:p>
      <w:pPr>
        <w:pStyle w:val="518"/>
        <w:numPr>
          <w:ilvl w:val="5"/>
          <w:numId w:val="30"/>
        </w:numPr>
        <w:spacing w:line="240" w:lineRule="auto"/>
        <w:ind w:left="839" w:leftChars="0" w:hanging="419" w:firstLineChars="0"/>
      </w:pPr>
      <w:r>
        <w:rPr>
          <w:rFonts w:hint="eastAsia"/>
        </w:rPr>
        <w:t>装置及其二次回路的绝缘应符合产品技术条件规定；</w:t>
      </w:r>
    </w:p>
    <w:p>
      <w:pPr>
        <w:pStyle w:val="518"/>
        <w:numPr>
          <w:ilvl w:val="5"/>
          <w:numId w:val="30"/>
        </w:numPr>
        <w:spacing w:line="240" w:lineRule="auto"/>
        <w:ind w:left="839" w:leftChars="0" w:hanging="419" w:firstLineChars="0"/>
      </w:pPr>
      <w:r>
        <w:rPr>
          <w:rFonts w:hint="eastAsia"/>
        </w:rPr>
        <w:t>装置的端子排、光回路和电气回路应连接正确可靠，且标识清晰准确；</w:t>
      </w:r>
    </w:p>
    <w:p>
      <w:pPr>
        <w:pStyle w:val="518"/>
        <w:numPr>
          <w:ilvl w:val="5"/>
          <w:numId w:val="30"/>
        </w:numPr>
        <w:spacing w:line="240" w:lineRule="auto"/>
        <w:ind w:left="839" w:leftChars="0" w:hanging="419" w:firstLineChars="0"/>
      </w:pPr>
      <w:r>
        <w:rPr>
          <w:rFonts w:hint="eastAsia"/>
        </w:rPr>
        <w:t>按键、压板等应操作灵活；</w:t>
      </w:r>
    </w:p>
    <w:p>
      <w:pPr>
        <w:pStyle w:val="518"/>
        <w:numPr>
          <w:ilvl w:val="5"/>
          <w:numId w:val="30"/>
        </w:numPr>
        <w:spacing w:line="240" w:lineRule="auto"/>
        <w:ind w:left="839" w:leftChars="0" w:hanging="419" w:firstLineChars="0"/>
      </w:pPr>
      <w:r>
        <w:rPr>
          <w:rFonts w:hint="eastAsia"/>
        </w:rPr>
        <w:t>光纤、光缆、电缆应无断裂、破损。</w:t>
      </w:r>
    </w:p>
    <w:p>
      <w:pPr>
        <w:pStyle w:val="520"/>
        <w:keepNext w:val="0"/>
        <w:keepLines w:val="0"/>
        <w:pageBreakBefore w:val="0"/>
        <w:widowControl w:val="0"/>
        <w:numPr>
          <w:ilvl w:val="2"/>
          <w:numId w:val="30"/>
        </w:numPr>
        <w:tabs>
          <w:tab w:val="clear" w:pos="0"/>
          <w:tab w:val="clear" w:pos="5955"/>
        </w:tabs>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Times New Roman" w:hAnsi="宋体" w:eastAsia="宋体"/>
          <w:b/>
          <w:bCs/>
        </w:rPr>
      </w:pPr>
      <w:bookmarkStart w:id="37" w:name="_Toc26323"/>
      <w:bookmarkStart w:id="38" w:name="_Toc12687"/>
      <w:r>
        <w:rPr>
          <w:rFonts w:hint="eastAsia" w:ascii="Times New Roman" w:hAnsi="宋体" w:eastAsia="宋体"/>
          <w:b/>
          <w:bCs/>
        </w:rPr>
        <w:t>人机界面检验</w:t>
      </w:r>
      <w:bookmarkEnd w:id="37"/>
      <w:bookmarkEnd w:id="38"/>
    </w:p>
    <w:p>
      <w:pPr>
        <w:pStyle w:val="518"/>
        <w:numPr>
          <w:ilvl w:val="5"/>
          <w:numId w:val="30"/>
        </w:numPr>
        <w:spacing w:line="240" w:lineRule="auto"/>
        <w:ind w:left="839" w:leftChars="0" w:hanging="419" w:firstLineChars="0"/>
      </w:pPr>
      <w:r>
        <w:rPr>
          <w:rFonts w:hint="eastAsia"/>
        </w:rPr>
        <w:t>对人机界面的检验分别按照三类功能进行：操作类、显示类、定值修改和设置类；</w:t>
      </w:r>
    </w:p>
    <w:p>
      <w:pPr>
        <w:pStyle w:val="518"/>
        <w:numPr>
          <w:ilvl w:val="5"/>
          <w:numId w:val="30"/>
        </w:numPr>
        <w:spacing w:line="240" w:lineRule="auto"/>
        <w:ind w:left="839" w:leftChars="0" w:hanging="419" w:firstLineChars="0"/>
      </w:pPr>
      <w:r>
        <w:rPr>
          <w:rFonts w:hint="eastAsia"/>
        </w:rPr>
        <w:t>对于操作类，主要检查通过人机界面的模拟传动功能分合快速断路器，此试验可与</w:t>
      </w:r>
      <w:r>
        <w:rPr>
          <w:rFonts w:hint="eastAsia" w:hAnsi="宋体"/>
        </w:rPr>
        <w:t>光纤通信检验</w:t>
      </w:r>
      <w:r>
        <w:rPr>
          <w:rFonts w:hint="eastAsia"/>
        </w:rPr>
        <w:t>结合进行；</w:t>
      </w:r>
    </w:p>
    <w:p>
      <w:pPr>
        <w:pStyle w:val="518"/>
        <w:numPr>
          <w:ilvl w:val="5"/>
          <w:numId w:val="30"/>
        </w:numPr>
        <w:spacing w:line="240" w:lineRule="auto"/>
        <w:ind w:left="839" w:leftChars="0" w:hanging="419" w:firstLineChars="0"/>
      </w:pPr>
      <w:r>
        <w:rPr>
          <w:rFonts w:hint="eastAsia"/>
        </w:rPr>
        <w:t>对于显示类，主要检查人机界面上显示的电压和电流测量值、快速断路器状态信号与实际值是否一致，此试验可与数据采集检验、</w:t>
      </w:r>
      <w:r>
        <w:rPr>
          <w:rFonts w:hint="eastAsia" w:hAnsi="宋体"/>
        </w:rPr>
        <w:t>光纤通信检验</w:t>
      </w:r>
      <w:r>
        <w:rPr>
          <w:rFonts w:hint="eastAsia"/>
        </w:rPr>
        <w:t>结合进行；</w:t>
      </w:r>
    </w:p>
    <w:p>
      <w:pPr>
        <w:pStyle w:val="518"/>
        <w:numPr>
          <w:ilvl w:val="5"/>
          <w:numId w:val="30"/>
        </w:numPr>
        <w:spacing w:line="240" w:lineRule="auto"/>
        <w:ind w:left="839" w:leftChars="0" w:hanging="419" w:firstLineChars="0"/>
      </w:pPr>
      <w:r>
        <w:rPr>
          <w:rFonts w:hint="eastAsia"/>
        </w:rPr>
        <w:t>对于定值修改和设置类，主要检查装置参数设置、控制定值、功能投退等。</w:t>
      </w:r>
    </w:p>
    <w:p>
      <w:pPr>
        <w:pStyle w:val="520"/>
        <w:keepNext w:val="0"/>
        <w:keepLines w:val="0"/>
        <w:pageBreakBefore w:val="0"/>
        <w:widowControl w:val="0"/>
        <w:numPr>
          <w:ilvl w:val="2"/>
          <w:numId w:val="30"/>
        </w:numPr>
        <w:tabs>
          <w:tab w:val="clear" w:pos="0"/>
          <w:tab w:val="clear" w:pos="5955"/>
        </w:tabs>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Times New Roman" w:hAnsi="宋体" w:eastAsia="宋体"/>
          <w:b/>
          <w:bCs/>
          <w:color w:val="FF0000"/>
        </w:rPr>
      </w:pPr>
      <w:bookmarkStart w:id="39" w:name="_Toc11473"/>
      <w:bookmarkStart w:id="40" w:name="_Toc16759"/>
      <w:r>
        <w:rPr>
          <w:rFonts w:hint="eastAsia" w:ascii="Times New Roman" w:hAnsi="宋体" w:eastAsia="宋体"/>
          <w:b/>
          <w:bCs/>
        </w:rPr>
        <w:t>数据采集检验</w:t>
      </w:r>
      <w:bookmarkEnd w:id="39"/>
      <w:bookmarkEnd w:id="40"/>
    </w:p>
    <w:p>
      <w:pPr>
        <w:pStyle w:val="518"/>
        <w:numPr>
          <w:ilvl w:val="5"/>
          <w:numId w:val="30"/>
        </w:numPr>
        <w:spacing w:line="240" w:lineRule="auto"/>
        <w:ind w:left="839" w:leftChars="0" w:hanging="419" w:firstLineChars="0"/>
      </w:pPr>
      <w:r>
        <w:rPr>
          <w:rFonts w:hint="eastAsia"/>
        </w:rPr>
        <w:t>准确度检验，利用标准信号源或其他试验装置在互感器的</w:t>
      </w:r>
      <w:r>
        <w:rPr>
          <w:rFonts w:hint="eastAsia"/>
          <w:color w:val="auto"/>
        </w:rPr>
        <w:t>二次侧或者一次</w:t>
      </w:r>
      <w:r>
        <w:rPr>
          <w:rFonts w:hint="eastAsia"/>
        </w:rPr>
        <w:t>侧加入指定的电压、电流量值，通过人机界面观察显示的测量值，偏差是否符合设计要求；</w:t>
      </w:r>
    </w:p>
    <w:p>
      <w:pPr>
        <w:pStyle w:val="518"/>
        <w:numPr>
          <w:ilvl w:val="5"/>
          <w:numId w:val="30"/>
        </w:numPr>
        <w:spacing w:line="240" w:lineRule="auto"/>
        <w:ind w:left="839" w:leftChars="0" w:hanging="419" w:firstLineChars="0"/>
      </w:pPr>
      <w:r>
        <w:rPr>
          <w:rFonts w:hint="eastAsia"/>
        </w:rPr>
        <w:t>零漂检验，按照D</w:t>
      </w:r>
      <w:r>
        <w:t>L/T 995</w:t>
      </w:r>
      <w:r>
        <w:rPr>
          <w:rFonts w:hint="eastAsia"/>
        </w:rPr>
        <w:t>中的规定进行；</w:t>
      </w:r>
    </w:p>
    <w:p>
      <w:pPr>
        <w:pStyle w:val="518"/>
        <w:numPr>
          <w:ilvl w:val="5"/>
          <w:numId w:val="30"/>
        </w:numPr>
        <w:spacing w:line="240" w:lineRule="auto"/>
        <w:ind w:left="839" w:leftChars="0" w:hanging="419" w:firstLineChars="0"/>
      </w:pPr>
      <w:r>
        <w:rPr>
          <w:rFonts w:hint="eastAsia"/>
        </w:rPr>
        <w:t>线性度检验，采用和标准测量系统相比对的试验方法进行。</w:t>
      </w:r>
    </w:p>
    <w:p>
      <w:pPr>
        <w:pStyle w:val="520"/>
        <w:keepNext w:val="0"/>
        <w:keepLines w:val="0"/>
        <w:pageBreakBefore w:val="0"/>
        <w:widowControl w:val="0"/>
        <w:numPr>
          <w:ilvl w:val="2"/>
          <w:numId w:val="30"/>
        </w:numPr>
        <w:tabs>
          <w:tab w:val="clear" w:pos="0"/>
          <w:tab w:val="clear" w:pos="5955"/>
        </w:tabs>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Times New Roman" w:hAnsi="宋体" w:eastAsia="宋体"/>
          <w:b/>
          <w:bCs/>
        </w:rPr>
      </w:pPr>
      <w:bookmarkStart w:id="41" w:name="_Toc11851"/>
      <w:bookmarkStart w:id="42" w:name="_Toc554"/>
      <w:r>
        <w:rPr>
          <w:rFonts w:hint="eastAsia" w:ascii="Times New Roman" w:hAnsi="宋体" w:eastAsia="宋体"/>
          <w:b/>
          <w:bCs/>
        </w:rPr>
        <w:t>光纤通信检验</w:t>
      </w:r>
      <w:bookmarkEnd w:id="41"/>
      <w:bookmarkEnd w:id="42"/>
    </w:p>
    <w:p>
      <w:pPr>
        <w:pStyle w:val="518"/>
        <w:numPr>
          <w:ilvl w:val="5"/>
          <w:numId w:val="30"/>
        </w:numPr>
        <w:spacing w:line="240" w:lineRule="auto"/>
        <w:ind w:left="839" w:leftChars="0" w:hanging="419" w:firstLineChars="0"/>
      </w:pPr>
      <w:r>
        <w:rPr>
          <w:rFonts w:hint="eastAsia"/>
        </w:rPr>
        <w:t>上行通信检验，根据通信协议中的状态定义模拟快速断路器状态信号，检查装置接收到的状态信号是否与实际一致；</w:t>
      </w:r>
    </w:p>
    <w:p>
      <w:pPr>
        <w:pStyle w:val="518"/>
        <w:numPr>
          <w:ilvl w:val="5"/>
          <w:numId w:val="30"/>
        </w:numPr>
        <w:spacing w:line="240" w:lineRule="auto"/>
        <w:ind w:left="839" w:leftChars="0" w:hanging="419" w:firstLineChars="0"/>
      </w:pPr>
      <w:r>
        <w:rPr>
          <w:rFonts w:hint="eastAsia"/>
        </w:rPr>
        <w:t>下行通信检验，通过模拟传动分合快速断路器，快速断路器动作行为应与指令一致，状态信号变化应符合设计要求。</w:t>
      </w:r>
    </w:p>
    <w:p>
      <w:pPr>
        <w:pStyle w:val="520"/>
        <w:keepNext w:val="0"/>
        <w:keepLines w:val="0"/>
        <w:pageBreakBefore w:val="0"/>
        <w:widowControl w:val="0"/>
        <w:numPr>
          <w:ilvl w:val="2"/>
          <w:numId w:val="30"/>
        </w:numPr>
        <w:tabs>
          <w:tab w:val="clear" w:pos="0"/>
          <w:tab w:val="clear" w:pos="5955"/>
        </w:tabs>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Times New Roman" w:hAnsi="宋体" w:eastAsia="宋体"/>
          <w:b/>
          <w:bCs/>
          <w:color w:val="000000"/>
        </w:rPr>
      </w:pPr>
      <w:bookmarkStart w:id="43" w:name="_Toc25627"/>
      <w:bookmarkStart w:id="44" w:name="_Toc150"/>
      <w:r>
        <w:rPr>
          <w:rFonts w:hint="eastAsia" w:ascii="Times New Roman" w:hAnsi="宋体" w:eastAsia="宋体"/>
          <w:b/>
          <w:bCs/>
          <w:color w:val="000000"/>
          <w:lang w:val="en-US" w:eastAsia="zh-CN"/>
        </w:rPr>
        <w:t>限流</w:t>
      </w:r>
      <w:r>
        <w:rPr>
          <w:rFonts w:hint="eastAsia" w:ascii="Times New Roman" w:hAnsi="宋体" w:eastAsia="宋体"/>
          <w:b/>
          <w:bCs/>
          <w:color w:val="000000"/>
        </w:rPr>
        <w:t>功能检验</w:t>
      </w:r>
      <w:bookmarkEnd w:id="43"/>
      <w:bookmarkEnd w:id="44"/>
    </w:p>
    <w:p>
      <w:pPr>
        <w:pStyle w:val="518"/>
        <w:numPr>
          <w:ilvl w:val="5"/>
          <w:numId w:val="30"/>
        </w:numPr>
        <w:spacing w:line="240" w:lineRule="auto"/>
        <w:ind w:left="839" w:leftChars="0" w:hanging="419" w:firstLineChars="0"/>
      </w:pPr>
      <w:r>
        <w:rPr>
          <w:rFonts w:hint="eastAsia"/>
        </w:rPr>
        <w:t>快速分闸功能检验，通过数据采集系统向装置加入指定的电压、电流量值，记录装置动作情况，检查定值准确度、分闸功能的闭锁与投退等应符合设计要求；</w:t>
      </w:r>
    </w:p>
    <w:p>
      <w:pPr>
        <w:pStyle w:val="518"/>
        <w:numPr>
          <w:ilvl w:val="5"/>
          <w:numId w:val="30"/>
        </w:numPr>
        <w:spacing w:line="240" w:lineRule="auto"/>
        <w:ind w:left="839" w:leftChars="0" w:hanging="419" w:firstLineChars="0"/>
      </w:pPr>
      <w:r>
        <w:rPr>
          <w:rFonts w:hint="eastAsia"/>
        </w:rPr>
        <w:t>自动恢复功能检验，通过数据采集系统向装置加入指定的电压、电流量值，记录装置动作情况，检查同期条件、充放电条件、自动恢复功能的闭锁与投退等应符合设计要求。</w:t>
      </w:r>
    </w:p>
    <w:p>
      <w:pPr>
        <w:pStyle w:val="520"/>
        <w:keepNext w:val="0"/>
        <w:keepLines w:val="0"/>
        <w:pageBreakBefore w:val="0"/>
        <w:widowControl w:val="0"/>
        <w:numPr>
          <w:ilvl w:val="2"/>
          <w:numId w:val="30"/>
        </w:numPr>
        <w:tabs>
          <w:tab w:val="clear" w:pos="0"/>
          <w:tab w:val="clear" w:pos="5955"/>
        </w:tabs>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Times New Roman" w:hAnsi="宋体" w:eastAsia="宋体"/>
          <w:b/>
          <w:bCs/>
        </w:rPr>
      </w:pPr>
      <w:bookmarkStart w:id="45" w:name="_Toc27799"/>
      <w:bookmarkStart w:id="46" w:name="_Toc6132"/>
      <w:r>
        <w:rPr>
          <w:rFonts w:hint="eastAsia" w:ascii="Times New Roman" w:hAnsi="宋体" w:eastAsia="宋体"/>
          <w:b/>
          <w:bCs/>
        </w:rPr>
        <w:t>监控系统检验</w:t>
      </w:r>
      <w:bookmarkEnd w:id="45"/>
      <w:bookmarkEnd w:id="46"/>
    </w:p>
    <w:p>
      <w:pPr>
        <w:pStyle w:val="518"/>
        <w:numPr>
          <w:ilvl w:val="5"/>
          <w:numId w:val="30"/>
        </w:numPr>
        <w:spacing w:line="240" w:lineRule="auto"/>
        <w:ind w:left="839" w:leftChars="0" w:hanging="419" w:firstLineChars="0"/>
      </w:pPr>
      <w:r>
        <w:rPr>
          <w:rFonts w:hint="eastAsia"/>
        </w:rPr>
        <w:t>检查监控系统上的电压、电流显示值与输入值应一致，偏差不应超过±5%，此试验可与数据采集检验结合进行；</w:t>
      </w:r>
    </w:p>
    <w:p>
      <w:pPr>
        <w:pStyle w:val="518"/>
        <w:numPr>
          <w:ilvl w:val="5"/>
          <w:numId w:val="30"/>
        </w:numPr>
        <w:spacing w:line="240" w:lineRule="auto"/>
        <w:ind w:left="839" w:leftChars="0" w:hanging="419" w:firstLineChars="0"/>
      </w:pPr>
      <w:r>
        <w:rPr>
          <w:rFonts w:hint="eastAsia"/>
        </w:rPr>
        <w:t>通过监控系统上的光字牌和事件顺序记录验证遥信量应正确，此试验可与</w:t>
      </w:r>
      <w:r>
        <w:rPr>
          <w:rFonts w:hint="eastAsia" w:hAnsi="宋体"/>
        </w:rPr>
        <w:t>光纤通信检验</w:t>
      </w:r>
      <w:r>
        <w:rPr>
          <w:rFonts w:hint="eastAsia"/>
        </w:rPr>
        <w:t>结合进行；</w:t>
      </w:r>
    </w:p>
    <w:p>
      <w:pPr>
        <w:pStyle w:val="518"/>
        <w:numPr>
          <w:ilvl w:val="5"/>
          <w:numId w:val="30"/>
        </w:numPr>
        <w:spacing w:line="240" w:lineRule="auto"/>
        <w:ind w:left="839" w:leftChars="0" w:hanging="419" w:firstLineChars="0"/>
      </w:pPr>
      <w:r>
        <w:rPr>
          <w:rFonts w:hint="eastAsia"/>
        </w:rPr>
        <w:t>通过监控系统上的光字牌验证告警事件应正确，此试验可与</w:t>
      </w:r>
      <w:r>
        <w:rPr>
          <w:rFonts w:hint="eastAsia" w:hAnsi="宋体"/>
        </w:rPr>
        <w:t>光纤通信检验</w:t>
      </w:r>
      <w:r>
        <w:rPr>
          <w:rFonts w:hint="eastAsia"/>
        </w:rPr>
        <w:t>结合进行；</w:t>
      </w:r>
    </w:p>
    <w:p>
      <w:pPr>
        <w:pStyle w:val="518"/>
        <w:numPr>
          <w:ilvl w:val="5"/>
          <w:numId w:val="30"/>
        </w:numPr>
        <w:spacing w:line="240" w:lineRule="auto"/>
        <w:ind w:left="839" w:leftChars="0" w:hanging="419" w:firstLineChars="0"/>
      </w:pPr>
      <w:r>
        <w:rPr>
          <w:rFonts w:hint="eastAsia"/>
        </w:rPr>
        <w:t>通过监控系统上的动作报文验证动作事件应正确，此试验可与</w:t>
      </w:r>
      <w:r>
        <w:rPr>
          <w:rFonts w:hint="eastAsia"/>
          <w:lang w:val="en-US" w:eastAsia="zh-CN"/>
        </w:rPr>
        <w:t>动作逻辑</w:t>
      </w:r>
      <w:r>
        <w:rPr>
          <w:rFonts w:hint="eastAsia"/>
        </w:rPr>
        <w:t>功能检验结合进行。</w:t>
      </w:r>
    </w:p>
    <w:p>
      <w:pPr>
        <w:pStyle w:val="520"/>
        <w:keepNext w:val="0"/>
        <w:keepLines w:val="0"/>
        <w:pageBreakBefore w:val="0"/>
        <w:widowControl w:val="0"/>
        <w:numPr>
          <w:ilvl w:val="2"/>
          <w:numId w:val="30"/>
        </w:numPr>
        <w:tabs>
          <w:tab w:val="clear" w:pos="0"/>
          <w:tab w:val="clear" w:pos="5955"/>
        </w:tabs>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Times New Roman" w:hAnsi="宋体" w:eastAsia="宋体"/>
          <w:b/>
          <w:bCs/>
        </w:rPr>
      </w:pPr>
      <w:bookmarkStart w:id="47" w:name="_Toc24060"/>
      <w:bookmarkStart w:id="48" w:name="_Toc2741"/>
      <w:r>
        <w:rPr>
          <w:rFonts w:hint="eastAsia" w:ascii="Times New Roman" w:hAnsi="宋体" w:eastAsia="宋体"/>
          <w:b/>
          <w:bCs/>
        </w:rPr>
        <w:t>故障录波功能检验</w:t>
      </w:r>
      <w:bookmarkEnd w:id="47"/>
      <w:bookmarkEnd w:id="48"/>
    </w:p>
    <w:p>
      <w:pPr>
        <w:pStyle w:val="518"/>
        <w:numPr>
          <w:ilvl w:val="5"/>
          <w:numId w:val="30"/>
        </w:numPr>
        <w:spacing w:line="240" w:lineRule="auto"/>
        <w:ind w:left="839" w:leftChars="0" w:hanging="419" w:firstLineChars="0"/>
      </w:pPr>
      <w:r>
        <w:rPr>
          <w:rFonts w:hint="eastAsia"/>
        </w:rPr>
        <w:t>手动启动录波，录波文件中的模拟量和开关量与实际的模拟量和开关量应一致；</w:t>
      </w:r>
    </w:p>
    <w:p>
      <w:pPr>
        <w:pStyle w:val="518"/>
        <w:numPr>
          <w:ilvl w:val="5"/>
          <w:numId w:val="30"/>
        </w:numPr>
        <w:spacing w:line="240" w:lineRule="auto"/>
        <w:ind w:left="839" w:leftChars="0" w:hanging="419" w:firstLineChars="0"/>
      </w:pPr>
      <w:r>
        <w:rPr>
          <w:rFonts w:hint="eastAsia"/>
        </w:rPr>
        <w:t>对装置动作启动录波功能进行检验，此试验可与限流功能检验结合进行；</w:t>
      </w:r>
    </w:p>
    <w:p>
      <w:pPr>
        <w:pStyle w:val="518"/>
        <w:numPr>
          <w:ilvl w:val="5"/>
          <w:numId w:val="30"/>
        </w:numPr>
        <w:spacing w:line="240" w:lineRule="auto"/>
        <w:ind w:left="839" w:leftChars="0" w:hanging="419" w:firstLineChars="0"/>
      </w:pPr>
      <w:r>
        <w:rPr>
          <w:rFonts w:hint="eastAsia"/>
        </w:rPr>
        <w:t>通过保护信息子站调用录波文件，装置通信应正常。</w:t>
      </w:r>
    </w:p>
    <w:p>
      <w:pPr>
        <w:pStyle w:val="520"/>
        <w:keepNext w:val="0"/>
        <w:keepLines w:val="0"/>
        <w:pageBreakBefore w:val="0"/>
        <w:widowControl w:val="0"/>
        <w:numPr>
          <w:ilvl w:val="2"/>
          <w:numId w:val="30"/>
        </w:numPr>
        <w:tabs>
          <w:tab w:val="clear" w:pos="0"/>
          <w:tab w:val="clear" w:pos="5955"/>
        </w:tabs>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ascii="Times New Roman" w:hAnsi="宋体" w:eastAsia="宋体"/>
          <w:b/>
          <w:bCs/>
        </w:rPr>
      </w:pPr>
      <w:bookmarkStart w:id="49" w:name="_Toc553"/>
      <w:bookmarkStart w:id="50" w:name="_Toc731"/>
      <w:r>
        <w:rPr>
          <w:rFonts w:hint="eastAsia" w:ascii="Times New Roman" w:hAnsi="宋体" w:eastAsia="宋体"/>
          <w:b/>
          <w:bCs/>
        </w:rPr>
        <w:t>双系统掉电试验</w:t>
      </w:r>
      <w:bookmarkEnd w:id="49"/>
      <w:bookmarkEnd w:id="50"/>
    </w:p>
    <w:p>
      <w:pPr>
        <w:pStyle w:val="518"/>
        <w:tabs>
          <w:tab w:val="left" w:pos="839"/>
        </w:tabs>
        <w:spacing w:line="240" w:lineRule="auto"/>
        <w:ind w:left="420" w:firstLine="420" w:firstLineChars="200"/>
        <w:rPr>
          <w:rFonts w:hint="eastAsia" w:hAnsi="宋体"/>
          <w:szCs w:val="21"/>
        </w:rPr>
      </w:pPr>
      <w:r>
        <w:rPr>
          <w:rFonts w:hint="eastAsia"/>
        </w:rPr>
        <w:t>限流系统正常运行，断开一套装置的直流供电电源，然后再合上，检查装置无误动</w:t>
      </w:r>
      <w:r>
        <w:rPr>
          <w:rFonts w:hint="eastAsia"/>
          <w:lang w:eastAsia="zh-CN"/>
        </w:rPr>
        <w:t>；</w:t>
      </w:r>
      <w:r>
        <w:rPr>
          <w:rFonts w:hint="eastAsia"/>
          <w:lang w:val="en-US" w:eastAsia="zh-CN"/>
        </w:rPr>
        <w:t>同时</w:t>
      </w:r>
      <w:r>
        <w:rPr>
          <w:rFonts w:hint="eastAsia"/>
        </w:rPr>
        <w:t>对另一套装置重复试验。</w:t>
      </w:r>
    </w:p>
    <w:p>
      <w:pPr>
        <w:pStyle w:val="521"/>
        <w:keepNext w:val="0"/>
        <w:keepLines w:val="0"/>
        <w:pageBreakBefore w:val="0"/>
        <w:widowControl w:val="0"/>
        <w:numPr>
          <w:ilvl w:val="1"/>
          <w:numId w:val="30"/>
        </w:numPr>
        <w:tabs>
          <w:tab w:val="clear" w:pos="567"/>
        </w:tabs>
        <w:kinsoku/>
        <w:wordWrap/>
        <w:overflowPunct/>
        <w:topLinePunct w:val="0"/>
        <w:autoSpaceDE/>
        <w:autoSpaceDN/>
        <w:bidi w:val="0"/>
        <w:adjustRightInd/>
        <w:snapToGrid/>
        <w:spacing w:before="156" w:after="156" w:line="240" w:lineRule="auto"/>
        <w:ind w:left="0" w:leftChars="0" w:firstLine="0" w:firstLineChars="0"/>
        <w:textAlignment w:val="auto"/>
        <w:rPr>
          <w:rFonts w:hint="eastAsia" w:eastAsia="黑体"/>
          <w:lang w:eastAsia="zh-CN"/>
        </w:rPr>
      </w:pPr>
      <w:bookmarkStart w:id="51" w:name="_Toc59"/>
      <w:bookmarkStart w:id="52" w:name="_Toc7243"/>
      <w:bookmarkStart w:id="53" w:name="_Toc32209"/>
      <w:r>
        <w:rPr>
          <w:rFonts w:hint="eastAsia"/>
        </w:rPr>
        <w:t>全冗余智能快速断路器</w:t>
      </w:r>
      <w:r>
        <w:rPr>
          <w:rFonts w:hint="eastAsia"/>
          <w:lang w:val="en-US" w:eastAsia="zh-CN"/>
        </w:rPr>
        <w:t>试验</w:t>
      </w:r>
      <w:bookmarkEnd w:id="51"/>
      <w:bookmarkEnd w:id="52"/>
      <w:bookmarkEnd w:id="53"/>
    </w:p>
    <w:p>
      <w:pPr>
        <w:pStyle w:val="520"/>
        <w:keepNext w:val="0"/>
        <w:keepLines w:val="0"/>
        <w:pageBreakBefore w:val="0"/>
        <w:widowControl w:val="0"/>
        <w:numPr>
          <w:ilvl w:val="2"/>
          <w:numId w:val="31"/>
        </w:numPr>
        <w:tabs>
          <w:tab w:val="clear" w:pos="0"/>
          <w:tab w:val="clear" w:pos="5955"/>
        </w:tabs>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Times New Roman" w:hAnsi="宋体" w:eastAsia="宋体"/>
          <w:b/>
          <w:bCs/>
          <w:lang w:eastAsia="zh-CN"/>
        </w:rPr>
      </w:pPr>
      <w:bookmarkStart w:id="54" w:name="_Toc7808"/>
      <w:bookmarkStart w:id="55" w:name="_Toc12548"/>
      <w:r>
        <w:rPr>
          <w:rFonts w:hint="eastAsia" w:ascii="Times New Roman" w:hAnsi="宋体" w:eastAsia="宋体"/>
          <w:b/>
          <w:bCs/>
          <w:lang w:eastAsia="zh-CN"/>
        </w:rPr>
        <w:t>现场试验项目</w:t>
      </w:r>
      <w:bookmarkEnd w:id="54"/>
      <w:bookmarkEnd w:id="55"/>
    </w:p>
    <w:p>
      <w:pPr>
        <w:pStyle w:val="520"/>
        <w:keepNext w:val="0"/>
        <w:keepLines w:val="0"/>
        <w:pageBreakBefore w:val="0"/>
        <w:widowControl w:val="0"/>
        <w:kinsoku/>
        <w:wordWrap/>
        <w:overflowPunct/>
        <w:topLinePunct w:val="0"/>
        <w:autoSpaceDE/>
        <w:autoSpaceDN/>
        <w:bidi w:val="0"/>
        <w:adjustRightInd/>
        <w:snapToGrid/>
        <w:spacing w:beforeLines="0" w:afterLines="0"/>
        <w:ind w:left="0" w:firstLine="420" w:firstLineChars="200"/>
        <w:textAlignment w:val="auto"/>
        <w:outlineLvl w:val="9"/>
        <w:rPr>
          <w:rFonts w:hint="eastAsia" w:ascii="宋体" w:hAnsi="Times New Roman" w:eastAsia="宋体"/>
          <w:sz w:val="21"/>
          <w:szCs w:val="22"/>
          <w:lang w:val="en-US" w:eastAsia="zh-CN" w:bidi="ar-SA"/>
        </w:rPr>
      </w:pPr>
      <w:bookmarkStart w:id="56" w:name="_Toc5228"/>
      <w:bookmarkStart w:id="57" w:name="_Toc9259"/>
      <w:r>
        <w:rPr>
          <w:rFonts w:hint="eastAsia" w:ascii="宋体" w:hAnsi="Times New Roman" w:eastAsia="宋体"/>
          <w:sz w:val="21"/>
          <w:szCs w:val="22"/>
          <w:lang w:val="en-US" w:eastAsia="zh-CN" w:bidi="ar-SA"/>
        </w:rPr>
        <w:t>全冗余智能快速断路器的现场试验项目，应包括下列内容:</w:t>
      </w:r>
      <w:bookmarkEnd w:id="56"/>
      <w:bookmarkEnd w:id="57"/>
    </w:p>
    <w:p>
      <w:pPr>
        <w:pStyle w:val="258"/>
        <w:numPr>
          <w:ilvl w:val="0"/>
          <w:numId w:val="32"/>
        </w:numPr>
        <w:ind w:firstLine="420"/>
      </w:pPr>
      <w:r>
        <w:rPr>
          <w:rFonts w:hint="default" w:ascii="Times New Roman" w:hAnsi="Times New Roman" w:cs="Times New Roman"/>
        </w:rPr>
        <w:t>主回路电阻测量</w:t>
      </w:r>
      <w:r>
        <w:rPr>
          <w:rFonts w:hint="eastAsia" w:ascii="Times New Roman" w:cs="Times New Roman"/>
          <w:lang w:eastAsia="zh-CN"/>
        </w:rPr>
        <w:t>；</w:t>
      </w:r>
    </w:p>
    <w:p>
      <w:pPr>
        <w:pStyle w:val="258"/>
        <w:numPr>
          <w:ilvl w:val="0"/>
          <w:numId w:val="32"/>
        </w:numPr>
        <w:ind w:firstLine="420"/>
      </w:pPr>
      <w:r>
        <w:rPr>
          <w:rFonts w:hint="eastAsia"/>
          <w:lang w:val="en-US" w:eastAsia="zh-CN"/>
        </w:rPr>
        <w:t>密封性试验</w:t>
      </w:r>
      <w:r>
        <w:rPr>
          <w:rFonts w:hint="default" w:ascii="Times New Roman" w:hAnsi="Times New Roman" w:cs="Times New Roman"/>
        </w:rPr>
        <w:t>（SF</w:t>
      </w:r>
      <w:r>
        <w:rPr>
          <w:rFonts w:hint="default" w:ascii="Times New Roman" w:hAnsi="Times New Roman" w:cs="Times New Roman"/>
          <w:vertAlign w:val="subscript"/>
        </w:rPr>
        <w:t>6</w:t>
      </w:r>
      <w:r>
        <w:rPr>
          <w:rFonts w:hint="default" w:ascii="Times New Roman" w:hAnsi="Times New Roman" w:cs="Times New Roman"/>
        </w:rPr>
        <w:t>）</w:t>
      </w:r>
      <w:r>
        <w:rPr>
          <w:rFonts w:hint="eastAsia" w:ascii="Times New Roman" w:cs="Times New Roman"/>
          <w:lang w:eastAsia="zh-CN"/>
        </w:rPr>
        <w:t>；</w:t>
      </w:r>
    </w:p>
    <w:p>
      <w:pPr>
        <w:pStyle w:val="258"/>
        <w:numPr>
          <w:ilvl w:val="0"/>
          <w:numId w:val="32"/>
        </w:numPr>
        <w:ind w:firstLine="420"/>
      </w:pPr>
      <w:r>
        <w:rPr>
          <w:rFonts w:hint="default" w:ascii="Times New Roman" w:hAnsi="Times New Roman" w:cs="Times New Roman"/>
        </w:rPr>
        <w:t>六氟化硫气体含水量测量</w:t>
      </w:r>
      <w:r>
        <w:rPr>
          <w:rFonts w:hint="eastAsia" w:ascii="Times New Roman" w:cs="Times New Roman"/>
          <w:lang w:eastAsia="zh-CN"/>
        </w:rPr>
        <w:t>；</w:t>
      </w:r>
    </w:p>
    <w:p>
      <w:pPr>
        <w:pStyle w:val="258"/>
        <w:numPr>
          <w:ilvl w:val="0"/>
          <w:numId w:val="32"/>
        </w:numPr>
        <w:ind w:firstLine="420"/>
      </w:pPr>
      <w:r>
        <w:rPr>
          <w:rFonts w:hint="default" w:ascii="Times New Roman" w:hAnsi="Times New Roman" w:cs="Times New Roman"/>
        </w:rPr>
        <w:t>碟簧机构压力整定值检查</w:t>
      </w:r>
      <w:r>
        <w:rPr>
          <w:rFonts w:hint="eastAsia" w:ascii="Times New Roman" w:cs="Times New Roman"/>
          <w:lang w:eastAsia="zh-CN"/>
        </w:rPr>
        <w:t>；</w:t>
      </w:r>
    </w:p>
    <w:p>
      <w:pPr>
        <w:pStyle w:val="258"/>
        <w:numPr>
          <w:ilvl w:val="0"/>
          <w:numId w:val="32"/>
        </w:numPr>
        <w:ind w:firstLine="420"/>
      </w:pPr>
      <w:r>
        <w:rPr>
          <w:rFonts w:hint="default" w:ascii="Times New Roman" w:hAnsi="Times New Roman" w:cs="Times New Roman"/>
        </w:rPr>
        <w:t>断路器机械特性测试</w:t>
      </w:r>
      <w:r>
        <w:rPr>
          <w:rFonts w:hint="eastAsia" w:ascii="Times New Roman" w:cs="Times New Roman"/>
          <w:lang w:eastAsia="zh-CN"/>
        </w:rPr>
        <w:t>；</w:t>
      </w:r>
    </w:p>
    <w:p>
      <w:pPr>
        <w:pStyle w:val="258"/>
        <w:numPr>
          <w:ilvl w:val="0"/>
          <w:numId w:val="32"/>
        </w:numPr>
        <w:ind w:firstLine="420"/>
      </w:pPr>
      <w:r>
        <w:rPr>
          <w:rFonts w:hint="default" w:ascii="Times New Roman" w:hAnsi="Times New Roman" w:cs="Times New Roman"/>
        </w:rPr>
        <w:t>交流耐压试验</w:t>
      </w:r>
      <w:r>
        <w:rPr>
          <w:rFonts w:hint="eastAsia" w:ascii="Times New Roman" w:cs="Times New Roman"/>
          <w:lang w:eastAsia="zh-CN"/>
        </w:rPr>
        <w:t>；</w:t>
      </w:r>
    </w:p>
    <w:p>
      <w:pPr>
        <w:pStyle w:val="258"/>
        <w:numPr>
          <w:ilvl w:val="0"/>
          <w:numId w:val="32"/>
        </w:numPr>
        <w:ind w:firstLine="420"/>
      </w:pPr>
      <w:r>
        <w:rPr>
          <w:rFonts w:hint="default" w:ascii="Times New Roman" w:hAnsi="Times New Roman" w:cs="Times New Roman"/>
        </w:rPr>
        <w:t>智能</w:t>
      </w:r>
      <w:r>
        <w:rPr>
          <w:rFonts w:hint="default" w:ascii="Times New Roman" w:hAnsi="Times New Roman" w:cs="Times New Roman"/>
          <w:lang w:eastAsia="zh-CN"/>
        </w:rPr>
        <w:t>监</w:t>
      </w:r>
      <w:r>
        <w:rPr>
          <w:rFonts w:hint="default" w:ascii="Times New Roman" w:hAnsi="Times New Roman" w:cs="Times New Roman"/>
        </w:rPr>
        <w:t>测装置测试</w:t>
      </w:r>
      <w:r>
        <w:rPr>
          <w:rFonts w:hint="eastAsia" w:ascii="Times New Roman" w:cs="Times New Roman"/>
          <w:lang w:eastAsia="zh-CN"/>
        </w:rPr>
        <w:t>；</w:t>
      </w:r>
    </w:p>
    <w:p>
      <w:pPr>
        <w:pStyle w:val="258"/>
        <w:numPr>
          <w:ilvl w:val="0"/>
          <w:numId w:val="32"/>
        </w:numPr>
        <w:ind w:firstLine="420"/>
      </w:pPr>
      <w:r>
        <w:rPr>
          <w:rFonts w:hint="default" w:ascii="Times New Roman" w:hAnsi="Times New Roman" w:cs="Times New Roman"/>
          <w:lang w:val="en-US" w:eastAsia="zh-CN"/>
        </w:rPr>
        <w:t>并联电容器电容量测量</w:t>
      </w:r>
      <w:r>
        <w:rPr>
          <w:rFonts w:hint="eastAsia" w:ascii="Times New Roman" w:cs="Times New Roman"/>
          <w:lang w:val="en-US" w:eastAsia="zh-CN"/>
        </w:rPr>
        <w:t>；</w:t>
      </w:r>
    </w:p>
    <w:p>
      <w:pPr>
        <w:pStyle w:val="258"/>
        <w:numPr>
          <w:ilvl w:val="0"/>
          <w:numId w:val="32"/>
        </w:numPr>
        <w:ind w:firstLine="420"/>
        <w:rPr>
          <w:rFonts w:hint="eastAsia" w:ascii="宋体" w:hAnsi="Times New Roman" w:eastAsia="宋体"/>
          <w:sz w:val="21"/>
          <w:szCs w:val="22"/>
          <w:lang w:val="en-US" w:eastAsia="zh-CN" w:bidi="ar-SA"/>
        </w:rPr>
      </w:pPr>
      <w:r>
        <w:rPr>
          <w:rFonts w:hint="eastAsia"/>
          <w:lang w:val="en-US" w:eastAsia="zh-CN"/>
        </w:rPr>
        <w:t>电流互感器试验。</w:t>
      </w:r>
    </w:p>
    <w:p>
      <w:pPr>
        <w:pStyle w:val="520"/>
        <w:numPr>
          <w:ilvl w:val="2"/>
          <w:numId w:val="33"/>
        </w:numPr>
        <w:tabs>
          <w:tab w:val="clear" w:pos="0"/>
        </w:tabs>
        <w:spacing w:before="156" w:after="156"/>
        <w:ind w:left="0" w:leftChars="0" w:firstLine="0" w:firstLineChars="0"/>
        <w:rPr>
          <w:rFonts w:hint="eastAsia"/>
        </w:rPr>
      </w:pPr>
      <w:bookmarkStart w:id="58" w:name="_Toc12784"/>
      <w:bookmarkStart w:id="59" w:name="_Toc31090"/>
      <w:r>
        <w:rPr>
          <w:rFonts w:hint="eastAsia"/>
        </w:rPr>
        <w:t>主回路电阻测量</w:t>
      </w:r>
      <w:bookmarkEnd w:id="58"/>
      <w:bookmarkEnd w:id="59"/>
    </w:p>
    <w:p>
      <w:pPr>
        <w:pStyle w:val="258"/>
        <w:ind w:firstLine="420"/>
        <w:rPr>
          <w:rFonts w:hint="default" w:ascii="Times New Roman" w:hAnsi="Times New Roman" w:cs="Times New Roman"/>
        </w:rPr>
      </w:pPr>
      <w:r>
        <w:rPr>
          <w:rFonts w:hint="default" w:ascii="Times New Roman" w:hAnsi="Times New Roman" w:cs="Times New Roman"/>
        </w:rPr>
        <w:t>应符合以下规定：测量主回路电阻值，宜采用电流不小于100A 的直流压降法</w:t>
      </w:r>
      <w:r>
        <w:rPr>
          <w:rFonts w:hint="eastAsia" w:ascii="Times New Roman" w:cs="Times New Roman"/>
          <w:lang w:eastAsia="zh-CN"/>
        </w:rPr>
        <w:t>，</w:t>
      </w:r>
      <w:r>
        <w:rPr>
          <w:rFonts w:hint="default" w:ascii="Times New Roman" w:hAnsi="Times New Roman" w:cs="Times New Roman"/>
        </w:rPr>
        <w:t>测试结果应符合产品技术条件规定值</w:t>
      </w:r>
      <w:r>
        <w:rPr>
          <w:rFonts w:hint="default" w:ascii="Times New Roman" w:hAnsi="Times New Roman" w:cs="Times New Roman"/>
          <w:lang w:eastAsia="zh-CN"/>
        </w:rPr>
        <w:t>，</w:t>
      </w:r>
      <w:r>
        <w:rPr>
          <w:rFonts w:hint="default" w:ascii="Times New Roman" w:hAnsi="Times New Roman" w:cs="Times New Roman"/>
          <w:lang w:val="en-US" w:eastAsia="zh-CN"/>
        </w:rPr>
        <w:t>同时</w:t>
      </w:r>
      <w:r>
        <w:rPr>
          <w:rFonts w:hint="default" w:ascii="Times New Roman" w:hAnsi="Times New Roman" w:cs="Times New Roman"/>
        </w:rPr>
        <w:t>不得超过</w:t>
      </w:r>
      <w:r>
        <w:rPr>
          <w:rFonts w:hint="default" w:ascii="Times New Roman" w:hAnsi="Times New Roman" w:cs="Times New Roman"/>
          <w:lang w:val="en-US" w:eastAsia="zh-CN"/>
        </w:rPr>
        <w:t>出厂试验值的</w:t>
      </w:r>
      <w:r>
        <w:rPr>
          <w:rFonts w:hint="default" w:ascii="Times New Roman" w:hAnsi="Times New Roman" w:cs="Times New Roman"/>
        </w:rPr>
        <w:t>120%。</w:t>
      </w:r>
    </w:p>
    <w:p>
      <w:pPr>
        <w:pStyle w:val="520"/>
        <w:numPr>
          <w:ilvl w:val="2"/>
          <w:numId w:val="33"/>
        </w:numPr>
        <w:tabs>
          <w:tab w:val="clear" w:pos="0"/>
        </w:tabs>
        <w:spacing w:before="156" w:after="156"/>
        <w:ind w:left="0" w:leftChars="0" w:firstLine="0" w:firstLineChars="0"/>
        <w:rPr>
          <w:rFonts w:hint="eastAsia"/>
        </w:rPr>
      </w:pPr>
      <w:bookmarkStart w:id="60" w:name="_Toc1533"/>
      <w:bookmarkStart w:id="61" w:name="_Toc25944"/>
      <w:r>
        <w:rPr>
          <w:rFonts w:hint="eastAsia"/>
        </w:rPr>
        <w:t>密封性试验</w:t>
      </w:r>
      <w:bookmarkEnd w:id="60"/>
      <w:bookmarkEnd w:id="61"/>
    </w:p>
    <w:p>
      <w:pPr>
        <w:pStyle w:val="258"/>
        <w:ind w:firstLine="420"/>
        <w:rPr>
          <w:rFonts w:hint="default" w:ascii="Times New Roman" w:hAnsi="Times New Roman" w:cs="Times New Roman"/>
        </w:rPr>
      </w:pPr>
      <w:r>
        <w:rPr>
          <w:rFonts w:hint="default" w:ascii="Times New Roman" w:hAnsi="Times New Roman" w:cs="Times New Roman"/>
        </w:rPr>
        <w:t>应符合以下规定：密封性试验可采用灵敏度不低于1×10</w:t>
      </w:r>
      <w:r>
        <w:rPr>
          <w:rFonts w:hint="default" w:ascii="Times New Roman" w:hAnsi="Times New Roman" w:cs="Times New Roman"/>
          <w:vertAlign w:val="superscript"/>
        </w:rPr>
        <w:t>-6</w:t>
      </w:r>
      <w:r>
        <w:rPr>
          <w:rFonts w:hint="default" w:ascii="Times New Roman" w:hAnsi="Times New Roman" w:cs="Times New Roman"/>
        </w:rPr>
        <w:t xml:space="preserve"> (体积比)的检漏仪对各气室密封部位、管道接头等处进行检测，检漏仪不应报警</w:t>
      </w:r>
      <w:r>
        <w:rPr>
          <w:rFonts w:hint="eastAsia" w:ascii="Times New Roman" w:cs="Times New Roman"/>
          <w:lang w:eastAsia="zh-CN"/>
        </w:rPr>
        <w:t>，</w:t>
      </w:r>
      <w:r>
        <w:rPr>
          <w:rFonts w:hint="default" w:ascii="Times New Roman" w:hAnsi="Times New Roman" w:cs="Times New Roman"/>
        </w:rPr>
        <w:t>必要时可采用局部包扎法进行气体泄漏测量</w:t>
      </w:r>
      <w:r>
        <w:rPr>
          <w:rFonts w:hint="eastAsia" w:ascii="Times New Roman" w:cs="Times New Roman"/>
          <w:lang w:eastAsia="zh-CN"/>
        </w:rPr>
        <w:t>；</w:t>
      </w:r>
    </w:p>
    <w:p>
      <w:pPr>
        <w:pStyle w:val="258"/>
        <w:ind w:firstLine="420"/>
        <w:rPr>
          <w:rFonts w:hint="default" w:ascii="Times New Roman" w:hAnsi="Times New Roman" w:cs="Times New Roman"/>
        </w:rPr>
      </w:pPr>
      <w:r>
        <w:rPr>
          <w:rFonts w:hint="default" w:ascii="Times New Roman" w:hAnsi="Times New Roman" w:cs="Times New Roman"/>
        </w:rPr>
        <w:t>密封试验应在产品充气24h 以后，且操动试验后进行，以24h 的漏气量换算，断路器气室年漏气率不应大于0.</w:t>
      </w:r>
      <w:r>
        <w:rPr>
          <w:rFonts w:hint="eastAsia" w:ascii="Times New Roman" w:cs="Times New Roman"/>
          <w:lang w:val="en-US" w:eastAsia="zh-CN"/>
        </w:rPr>
        <w:t>5</w:t>
      </w:r>
      <w:r>
        <w:rPr>
          <w:rFonts w:hint="default" w:ascii="Times New Roman" w:hAnsi="Times New Roman" w:cs="Times New Roman"/>
        </w:rPr>
        <w:t>%。</w:t>
      </w:r>
    </w:p>
    <w:p>
      <w:pPr>
        <w:pStyle w:val="520"/>
        <w:numPr>
          <w:ilvl w:val="2"/>
          <w:numId w:val="33"/>
        </w:numPr>
        <w:tabs>
          <w:tab w:val="clear" w:pos="0"/>
        </w:tabs>
        <w:spacing w:before="156" w:after="156"/>
        <w:ind w:left="0" w:leftChars="0" w:firstLine="0" w:firstLineChars="0"/>
        <w:rPr>
          <w:rFonts w:hint="eastAsia"/>
        </w:rPr>
      </w:pPr>
      <w:bookmarkStart w:id="62" w:name="_Toc13997"/>
      <w:bookmarkStart w:id="63" w:name="_Toc17595"/>
      <w:r>
        <w:rPr>
          <w:rFonts w:hint="eastAsia"/>
        </w:rPr>
        <w:t>六氟化硫气体含水量测量</w:t>
      </w:r>
      <w:bookmarkEnd w:id="62"/>
      <w:bookmarkEnd w:id="63"/>
    </w:p>
    <w:p>
      <w:pPr>
        <w:pStyle w:val="258"/>
        <w:ind w:firstLine="420"/>
        <w:rPr>
          <w:rFonts w:hint="default" w:ascii="Times New Roman" w:hAnsi="Times New Roman" w:cs="Times New Roman"/>
        </w:rPr>
      </w:pPr>
      <w:r>
        <w:rPr>
          <w:rFonts w:hint="default" w:ascii="Times New Roman" w:hAnsi="Times New Roman" w:cs="Times New Roman"/>
        </w:rPr>
        <w:t>应符合以下规定：测量六氟化硫气体含水量，应按</w:t>
      </w:r>
      <w:r>
        <w:rPr>
          <w:rFonts w:hint="default" w:ascii="Times New Roman" w:hAnsi="Times New Roman" w:eastAsia="宋体" w:cs="Times New Roman"/>
        </w:rPr>
        <w:t>现行国标</w:t>
      </w:r>
      <w:r>
        <w:rPr>
          <w:rFonts w:hint="default" w:ascii="Times New Roman" w:hAnsi="Times New Roman" w:cs="Times New Roman"/>
        </w:rPr>
        <w:t>GB 7674《额定电压72.5kV 及以上气体绝缘金属封闭开关设备》和GB/T8905《六氟化硫电气设备中气体管理和检测导则</w:t>
      </w:r>
      <w:r>
        <w:rPr>
          <w:rFonts w:hint="eastAsia" w:ascii="Times New Roman" w:cs="Times New Roman"/>
          <w:lang w:eastAsia="zh-CN"/>
        </w:rPr>
        <w:t>》</w:t>
      </w:r>
      <w:r>
        <w:rPr>
          <w:rFonts w:hint="default" w:ascii="Times New Roman" w:hAnsi="Times New Roman" w:cs="Times New Roman"/>
        </w:rPr>
        <w:t>的有关规定执行; 气体含水量的测量应在产品充气24h 后进行，且不应大于150μL/L。</w:t>
      </w:r>
    </w:p>
    <w:p>
      <w:pPr>
        <w:pStyle w:val="520"/>
        <w:numPr>
          <w:ilvl w:val="2"/>
          <w:numId w:val="33"/>
        </w:numPr>
        <w:tabs>
          <w:tab w:val="clear" w:pos="0"/>
        </w:tabs>
        <w:spacing w:before="156" w:after="156"/>
        <w:ind w:left="0" w:leftChars="0" w:firstLine="0" w:firstLineChars="0"/>
        <w:rPr>
          <w:rFonts w:hint="eastAsia"/>
        </w:rPr>
      </w:pPr>
      <w:bookmarkStart w:id="64" w:name="_Toc15112"/>
      <w:bookmarkStart w:id="65" w:name="_Toc21950"/>
      <w:r>
        <w:rPr>
          <w:rFonts w:hint="eastAsia"/>
        </w:rPr>
        <w:t>碟簧机构压力整定值检查</w:t>
      </w:r>
      <w:bookmarkEnd w:id="64"/>
      <w:bookmarkEnd w:id="65"/>
    </w:p>
    <w:p>
      <w:pPr>
        <w:pStyle w:val="258"/>
        <w:ind w:firstLine="420"/>
        <w:rPr>
          <w:rFonts w:hint="eastAsia"/>
        </w:rPr>
      </w:pPr>
      <w:r>
        <w:rPr>
          <w:rFonts w:hint="eastAsia"/>
        </w:rPr>
        <w:t>碟簧液压机构操作油压</w:t>
      </w:r>
      <w:r>
        <w:t>整定值</w:t>
      </w:r>
      <w:r>
        <w:rPr>
          <w:rFonts w:hint="eastAsia"/>
        </w:rPr>
        <w:t>（碟簧</w:t>
      </w:r>
      <w:r>
        <w:t>压缩量</w:t>
      </w:r>
      <w:r>
        <w:rPr>
          <w:rFonts w:hint="eastAsia"/>
        </w:rPr>
        <w:t>）</w:t>
      </w:r>
      <w:r>
        <w:t>应满足</w:t>
      </w:r>
      <w:r>
        <w:rPr>
          <w:rFonts w:hint="eastAsia"/>
        </w:rPr>
        <w:t>产品</w:t>
      </w:r>
      <w:r>
        <w:t>技术</w:t>
      </w:r>
      <w:r>
        <w:rPr>
          <w:rFonts w:hint="eastAsia"/>
        </w:rPr>
        <w:t>条件</w:t>
      </w:r>
      <w:r>
        <w:t>要求</w:t>
      </w:r>
      <w:r>
        <w:rPr>
          <w:rFonts w:hint="eastAsia"/>
        </w:rPr>
        <w:t>。</w:t>
      </w:r>
    </w:p>
    <w:p>
      <w:pPr>
        <w:pStyle w:val="520"/>
        <w:numPr>
          <w:ilvl w:val="2"/>
          <w:numId w:val="33"/>
        </w:numPr>
        <w:tabs>
          <w:tab w:val="clear" w:pos="0"/>
        </w:tabs>
        <w:spacing w:before="156" w:after="156"/>
        <w:ind w:left="0" w:leftChars="0" w:firstLine="0" w:firstLineChars="0"/>
        <w:rPr>
          <w:rFonts w:hint="eastAsia"/>
        </w:rPr>
      </w:pPr>
      <w:bookmarkStart w:id="66" w:name="_Toc24214"/>
      <w:bookmarkStart w:id="67" w:name="_Toc306"/>
      <w:r>
        <w:rPr>
          <w:rFonts w:hint="eastAsia"/>
        </w:rPr>
        <w:t>断路器机械特性</w:t>
      </w:r>
      <w:r>
        <w:t>测试</w:t>
      </w:r>
      <w:bookmarkEnd w:id="66"/>
      <w:bookmarkEnd w:id="67"/>
    </w:p>
    <w:p>
      <w:pPr>
        <w:pStyle w:val="258"/>
        <w:ind w:firstLine="420"/>
        <w:rPr>
          <w:rFonts w:hint="default" w:ascii="Times New Roman" w:hAnsi="Times New Roman" w:cs="Times New Roman"/>
        </w:rPr>
      </w:pPr>
      <w:r>
        <w:rPr>
          <w:rFonts w:hint="default" w:ascii="Times New Roman" w:hAnsi="Times New Roman" w:cs="Times New Roman"/>
          <w:snapToGrid w:val="0"/>
        </w:rPr>
        <w:t>应在额定</w:t>
      </w:r>
      <w:r>
        <w:rPr>
          <w:rFonts w:hint="default" w:ascii="Times New Roman" w:hAnsi="Times New Roman" w:cs="Times New Roman"/>
          <w:snapToGrid w:val="0"/>
          <w:lang w:eastAsia="zh-CN"/>
        </w:rPr>
        <w:t>、</w:t>
      </w:r>
      <w:r>
        <w:rPr>
          <w:rFonts w:hint="default" w:ascii="Times New Roman" w:hAnsi="Times New Roman" w:cs="Times New Roman"/>
        </w:rPr>
        <w:t>最低电源电压和操作压力条件下分别进行</w:t>
      </w:r>
      <w:r>
        <w:rPr>
          <w:rFonts w:hint="default" w:ascii="Times New Roman" w:hAnsi="Times New Roman" w:cs="Times New Roman"/>
          <w:lang w:val="en-US" w:eastAsia="zh-CN"/>
        </w:rPr>
        <w:t>5次</w:t>
      </w:r>
      <w:r>
        <w:rPr>
          <w:rFonts w:hint="default" w:ascii="Times New Roman" w:hAnsi="Times New Roman" w:cs="Times New Roman"/>
        </w:rPr>
        <w:t>机械</w:t>
      </w:r>
      <w:r>
        <w:rPr>
          <w:rFonts w:hint="default" w:ascii="Times New Roman" w:hAnsi="Times New Roman" w:cs="Times New Roman"/>
          <w:lang w:val="en-US" w:eastAsia="zh-CN"/>
        </w:rPr>
        <w:t>特性分合闸测试。记录</w:t>
      </w:r>
      <w:r>
        <w:rPr>
          <w:rFonts w:hint="default" w:ascii="Times New Roman" w:hAnsi="Times New Roman" w:cs="Times New Roman"/>
        </w:rPr>
        <w:t>断路器主、辅触头的分、合闸时间，分、合闸同期性，实测数值应符合产品技术条件的规定；记录</w:t>
      </w:r>
      <w:r>
        <w:rPr>
          <w:rFonts w:hint="default" w:ascii="Times New Roman" w:hAnsi="Times New Roman" w:cs="Times New Roman"/>
          <w:lang w:val="en-US" w:eastAsia="zh-CN"/>
        </w:rPr>
        <w:t>断路器</w:t>
      </w:r>
      <w:r>
        <w:rPr>
          <w:rFonts w:hint="default" w:ascii="Times New Roman" w:hAnsi="Times New Roman" w:cs="Times New Roman"/>
        </w:rPr>
        <w:t>机械特性行程曲线，并与出厂</w:t>
      </w:r>
      <w:r>
        <w:rPr>
          <w:rFonts w:hint="default" w:ascii="Times New Roman" w:hAnsi="Times New Roman" w:cs="Times New Roman"/>
          <w:lang w:val="en-US" w:eastAsia="zh-CN"/>
        </w:rPr>
        <w:t>试验时的</w:t>
      </w:r>
      <w:r>
        <w:rPr>
          <w:rFonts w:hint="default" w:ascii="Times New Roman" w:hAnsi="Times New Roman" w:cs="Times New Roman"/>
        </w:rPr>
        <w:t>行程曲线进行对比，不得超出参考机械</w:t>
      </w:r>
      <w:r>
        <w:rPr>
          <w:rFonts w:hint="default" w:ascii="Times New Roman" w:hAnsi="Times New Roman" w:cs="Times New Roman"/>
          <w:lang w:val="en-US" w:eastAsia="zh-CN"/>
        </w:rPr>
        <w:t>特性</w:t>
      </w:r>
      <w:r>
        <w:rPr>
          <w:rFonts w:hint="default" w:ascii="Times New Roman" w:hAnsi="Times New Roman" w:cs="Times New Roman"/>
        </w:rPr>
        <w:t>行程特性±</w:t>
      </w:r>
      <w:r>
        <w:rPr>
          <w:rFonts w:hint="default" w:ascii="Times New Roman" w:hAnsi="Times New Roman" w:cs="Times New Roman"/>
          <w:lang w:val="en-US" w:eastAsia="zh-CN"/>
        </w:rPr>
        <w:t>5%</w:t>
      </w:r>
      <w:r>
        <w:rPr>
          <w:rFonts w:hint="default" w:ascii="Times New Roman" w:hAnsi="Times New Roman" w:cs="Times New Roman"/>
        </w:rPr>
        <w:t>包络线范围</w:t>
      </w:r>
      <w:r>
        <w:rPr>
          <w:rFonts w:hint="eastAsia" w:ascii="Times New Roman" w:cs="Times New Roman"/>
          <w:lang w:val="en-US" w:eastAsia="zh-CN"/>
        </w:rPr>
        <w:t>内；</w:t>
      </w:r>
    </w:p>
    <w:p>
      <w:pPr>
        <w:pStyle w:val="258"/>
        <w:ind w:firstLine="420"/>
        <w:rPr>
          <w:rFonts w:hint="default" w:ascii="Times New Roman" w:hAnsi="Times New Roman" w:cs="Times New Roman"/>
          <w:highlight w:val="green"/>
        </w:rPr>
      </w:pPr>
      <w:r>
        <w:rPr>
          <w:rFonts w:hint="default" w:ascii="Times New Roman" w:hAnsi="Times New Roman" w:cs="Times New Roman"/>
          <w:snapToGrid w:val="0"/>
        </w:rPr>
        <w:t>模拟</w:t>
      </w:r>
      <w:r>
        <w:rPr>
          <w:rFonts w:hint="eastAsia" w:ascii="Times New Roman" w:cs="Times New Roman"/>
          <w:snapToGrid w:val="0"/>
          <w:lang w:val="en-US" w:eastAsia="zh-CN"/>
        </w:rPr>
        <w:t>液压机构二级阀电磁斥力脱扣器的</w:t>
      </w:r>
      <w:r>
        <w:rPr>
          <w:rFonts w:hint="default" w:ascii="Times New Roman" w:hAnsi="Times New Roman" w:cs="Times New Roman"/>
          <w:snapToGrid w:val="0"/>
        </w:rPr>
        <w:t>储能电容的充电电源失电情况，在失电后半小时，进行一次分闸操作，分闸时间仍满足技术条件要求。</w:t>
      </w:r>
    </w:p>
    <w:p>
      <w:pPr>
        <w:pStyle w:val="520"/>
        <w:numPr>
          <w:ilvl w:val="2"/>
          <w:numId w:val="33"/>
        </w:numPr>
        <w:tabs>
          <w:tab w:val="clear" w:pos="0"/>
        </w:tabs>
        <w:spacing w:before="156" w:after="156"/>
        <w:ind w:left="0" w:leftChars="0" w:firstLine="0" w:firstLineChars="0"/>
        <w:rPr>
          <w:rFonts w:hint="eastAsia"/>
        </w:rPr>
      </w:pPr>
      <w:bookmarkStart w:id="68" w:name="_Toc21756"/>
      <w:bookmarkStart w:id="69" w:name="_Toc20688"/>
      <w:r>
        <w:rPr>
          <w:rFonts w:hint="eastAsia"/>
          <w:lang w:val="en-US" w:eastAsia="zh-CN"/>
        </w:rPr>
        <w:t>主回路</w:t>
      </w:r>
      <w:r>
        <w:rPr>
          <w:rFonts w:hint="eastAsia"/>
        </w:rPr>
        <w:t>交流耐压试验</w:t>
      </w:r>
      <w:bookmarkEnd w:id="68"/>
      <w:bookmarkEnd w:id="69"/>
    </w:p>
    <w:p>
      <w:pPr>
        <w:pStyle w:val="258"/>
        <w:ind w:firstLine="420"/>
        <w:rPr>
          <w:rFonts w:hint="default" w:ascii="Times New Roman" w:hAnsi="Times New Roman" w:eastAsia="宋体" w:cs="Times New Roman"/>
          <w:lang w:val="en-US" w:eastAsia="zh-CN"/>
        </w:rPr>
      </w:pPr>
      <w:r>
        <w:rPr>
          <w:rFonts w:hint="default" w:ascii="Times New Roman" w:cs="Times New Roman"/>
        </w:rPr>
        <w:t>全冗余智能快速断路器</w:t>
      </w:r>
      <w:r>
        <w:rPr>
          <w:rFonts w:hint="default" w:ascii="Times New Roman" w:cs="Times New Roman"/>
          <w:lang w:val="en-US" w:eastAsia="zh-CN"/>
        </w:rPr>
        <w:t>交流耐压试验应在SF</w:t>
      </w:r>
      <w:r>
        <w:rPr>
          <w:rFonts w:hint="default" w:ascii="Times New Roman" w:cs="Times New Roman"/>
          <w:vertAlign w:val="subscript"/>
          <w:lang w:val="en-US" w:eastAsia="zh-CN"/>
        </w:rPr>
        <w:t>6</w:t>
      </w:r>
      <w:r>
        <w:rPr>
          <w:rFonts w:hint="default" w:ascii="Times New Roman" w:cs="Times New Roman"/>
          <w:lang w:val="en-US" w:eastAsia="zh-CN"/>
        </w:rPr>
        <w:t>气压为额定值时进行，并应进行合闸对地和断口间耐压试验，</w:t>
      </w:r>
      <w:r>
        <w:rPr>
          <w:rFonts w:hint="eastAsia" w:ascii="Times New Roman" w:cs="Times New Roman"/>
          <w:color w:val="000000"/>
          <w:lang w:val="en-US" w:eastAsia="zh-CN"/>
        </w:rPr>
        <w:t>耐压试验的试验程序和方法参考</w:t>
      </w:r>
      <w:r>
        <w:rPr>
          <w:rFonts w:hint="default" w:ascii="Times New Roman" w:hAnsi="Times New Roman" w:cs="Times New Roman"/>
          <w:color w:val="000000"/>
          <w:spacing w:val="-2"/>
          <w:sz w:val="21"/>
          <w:szCs w:val="21"/>
          <w:highlight w:val="none"/>
        </w:rPr>
        <w:t>GB 50150</w:t>
      </w:r>
      <w:r>
        <w:rPr>
          <w:rFonts w:hint="default" w:ascii="Times New Roman" w:hAnsi="Times New Roman" w:cs="Times New Roman"/>
          <w:color w:val="000000"/>
          <w:spacing w:val="-2"/>
          <w:sz w:val="21"/>
          <w:szCs w:val="21"/>
          <w:highlight w:val="none"/>
          <w:lang w:eastAsia="zh-CN"/>
        </w:rPr>
        <w:t>《</w:t>
      </w:r>
      <w:r>
        <w:rPr>
          <w:rFonts w:hint="default" w:ascii="Times New Roman" w:hAnsi="Times New Roman" w:cs="Times New Roman"/>
          <w:color w:val="000000"/>
          <w:kern w:val="2"/>
          <w:sz w:val="21"/>
          <w:szCs w:val="21"/>
          <w:lang w:val="en-US" w:eastAsia="zh-CN" w:bidi="ar-SA"/>
        </w:rPr>
        <w:t>电气装置安装工程电气设备交接试验标准</w:t>
      </w:r>
      <w:r>
        <w:rPr>
          <w:rFonts w:hint="default" w:ascii="Times New Roman" w:hAnsi="Times New Roman" w:cs="Times New Roman"/>
          <w:color w:val="000000"/>
          <w:spacing w:val="-2"/>
          <w:sz w:val="21"/>
          <w:szCs w:val="21"/>
          <w:highlight w:val="none"/>
          <w:lang w:eastAsia="zh-CN"/>
        </w:rPr>
        <w:t>》</w:t>
      </w:r>
      <w:r>
        <w:rPr>
          <w:rFonts w:hint="eastAsia" w:ascii="Times New Roman" w:cs="Times New Roman"/>
          <w:color w:val="000000"/>
          <w:spacing w:val="-2"/>
          <w:sz w:val="21"/>
          <w:szCs w:val="21"/>
          <w:highlight w:val="none"/>
          <w:lang w:val="en-US" w:eastAsia="zh-CN"/>
        </w:rPr>
        <w:t>的有关规定执行，考虑气体绝缘金属封闭开关设备全电压进行交流耐压试验要求，</w:t>
      </w:r>
      <w:r>
        <w:rPr>
          <w:rFonts w:hint="default" w:ascii="Times New Roman" w:hAnsi="Times New Roman" w:cs="Times New Roman"/>
          <w:color w:val="000000"/>
        </w:rPr>
        <w:t>试验</w:t>
      </w:r>
      <w:r>
        <w:rPr>
          <w:rFonts w:hint="default" w:ascii="Times New Roman" w:hAnsi="Times New Roman" w:cs="Times New Roman"/>
        </w:rPr>
        <w:t>电压值应为出厂试验电压的</w:t>
      </w:r>
      <w:r>
        <w:rPr>
          <w:rFonts w:hint="eastAsia" w:ascii="Times New Roman" w:cs="Times New Roman"/>
          <w:lang w:val="en-US" w:eastAsia="zh-CN"/>
        </w:rPr>
        <w:t>100</w:t>
      </w:r>
      <w:r>
        <w:rPr>
          <w:rFonts w:hint="default" w:ascii="Times New Roman" w:hAnsi="Times New Roman" w:cs="Times New Roman"/>
        </w:rPr>
        <w:t>%</w:t>
      </w:r>
      <w:r>
        <w:rPr>
          <w:rFonts w:hint="eastAsia" w:ascii="Times New Roman" w:cs="Times New Roman"/>
          <w:lang w:eastAsia="zh-CN"/>
        </w:rPr>
        <w:t>，</w:t>
      </w:r>
      <w:r>
        <w:rPr>
          <w:rFonts w:hint="eastAsia" w:ascii="Times New Roman" w:cs="Times New Roman"/>
          <w:lang w:val="en-US" w:eastAsia="zh-CN"/>
        </w:rPr>
        <w:t>同时</w:t>
      </w:r>
      <w:r>
        <w:rPr>
          <w:rFonts w:hint="default" w:ascii="Times New Roman" w:hAnsi="Times New Roman" w:cs="Times New Roman"/>
        </w:rPr>
        <w:t>在1. 2U</w:t>
      </w:r>
      <w:r>
        <w:rPr>
          <w:rFonts w:hint="eastAsia" w:ascii="Times New Roman" w:cs="Times New Roman"/>
          <w:vertAlign w:val="subscript"/>
          <w:lang w:val="en-US" w:eastAsia="zh-CN"/>
        </w:rPr>
        <w:t>r</w:t>
      </w:r>
      <w:r>
        <w:rPr>
          <w:rFonts w:hint="default" w:ascii="Times New Roman" w:hAnsi="Times New Roman" w:cs="Times New Roman"/>
        </w:rPr>
        <w:t>/√3电压下，应进行局部放电检测</w:t>
      </w:r>
      <w:r>
        <w:rPr>
          <w:rFonts w:hint="eastAsia" w:ascii="Times New Roman" w:cs="Times New Roman"/>
          <w:color w:val="auto"/>
          <w:spacing w:val="-2"/>
          <w:sz w:val="21"/>
          <w:szCs w:val="21"/>
          <w:highlight w:val="none"/>
          <w:lang w:val="en-US" w:eastAsia="zh-CN"/>
        </w:rPr>
        <w:t>。</w:t>
      </w:r>
    </w:p>
    <w:p>
      <w:pPr>
        <w:pStyle w:val="520"/>
        <w:numPr>
          <w:ilvl w:val="2"/>
          <w:numId w:val="33"/>
        </w:numPr>
        <w:tabs>
          <w:tab w:val="clear" w:pos="0"/>
        </w:tabs>
        <w:spacing w:before="156" w:after="156"/>
        <w:ind w:left="0" w:leftChars="0" w:firstLine="0" w:firstLineChars="0"/>
        <w:rPr>
          <w:rFonts w:hint="eastAsia"/>
        </w:rPr>
      </w:pPr>
      <w:bookmarkStart w:id="70" w:name="_Toc25527"/>
      <w:bookmarkStart w:id="71" w:name="_Toc13770"/>
      <w:r>
        <w:rPr>
          <w:rFonts w:hint="eastAsia"/>
        </w:rPr>
        <w:t>智能监测装置测试</w:t>
      </w:r>
      <w:bookmarkEnd w:id="70"/>
      <w:bookmarkEnd w:id="71"/>
    </w:p>
    <w:p>
      <w:pPr>
        <w:pStyle w:val="258"/>
        <w:tabs>
          <w:tab w:val="center" w:pos="4201"/>
          <w:tab w:val="right" w:leader="dot" w:pos="9298"/>
        </w:tabs>
        <w:ind w:firstLine="420"/>
        <w:rPr>
          <w:rFonts w:hint="default" w:ascii="Times New Roman" w:hAnsi="Times New Roman" w:cs="Times New Roman"/>
        </w:rPr>
      </w:pPr>
      <w:r>
        <w:rPr>
          <w:rFonts w:hint="default" w:ascii="Times New Roman" w:hAnsi="Times New Roman" w:cs="Times New Roman"/>
        </w:rPr>
        <w:t>全冗余智能快速断路器</w:t>
      </w:r>
      <w:r>
        <w:rPr>
          <w:rFonts w:hint="default" w:ascii="Times New Roman" w:hAnsi="Times New Roman" w:cs="Times New Roman"/>
          <w:lang w:val="en-US" w:eastAsia="zh-CN"/>
        </w:rPr>
        <w:t>如</w:t>
      </w:r>
      <w:r>
        <w:rPr>
          <w:rFonts w:hint="default" w:ascii="Times New Roman" w:hAnsi="Times New Roman" w:cs="Times New Roman"/>
        </w:rPr>
        <w:t>配备智能监测装置</w:t>
      </w:r>
      <w:r>
        <w:rPr>
          <w:rFonts w:hint="eastAsia" w:ascii="Times New Roman" w:cs="Times New Roman"/>
          <w:lang w:val="en-US" w:eastAsia="zh-CN"/>
        </w:rPr>
        <w:t>包括</w:t>
      </w:r>
      <w:r>
        <w:rPr>
          <w:rFonts w:hint="default" w:ascii="Times New Roman" w:hAnsi="Times New Roman" w:cs="Times New Roman"/>
          <w:color w:val="auto"/>
        </w:rPr>
        <w:t>SF</w:t>
      </w:r>
      <w:r>
        <w:rPr>
          <w:rFonts w:hint="default" w:ascii="Times New Roman" w:hAnsi="Times New Roman" w:cs="Times New Roman"/>
          <w:color w:val="auto"/>
          <w:vertAlign w:val="subscript"/>
        </w:rPr>
        <w:t>6</w:t>
      </w:r>
      <w:r>
        <w:rPr>
          <w:rFonts w:hint="default" w:ascii="Times New Roman" w:hAnsi="Times New Roman" w:cs="Times New Roman"/>
          <w:color w:val="auto"/>
        </w:rPr>
        <w:t>气体密度监测、局部</w:t>
      </w:r>
      <w:r>
        <w:rPr>
          <w:rFonts w:hint="default" w:ascii="Times New Roman" w:hAnsi="Times New Roman" w:cs="Times New Roman"/>
        </w:rPr>
        <w:t>放电监测、脱扣器线圈电流及电容电压监测、储能电机电流监测、液压机构油压监测、机械特性监测等</w:t>
      </w:r>
      <w:r>
        <w:rPr>
          <w:rFonts w:hint="eastAsia" w:ascii="Times New Roman" w:cs="Times New Roman"/>
          <w:lang w:eastAsia="zh-CN"/>
        </w:rPr>
        <w:t>；</w:t>
      </w:r>
    </w:p>
    <w:p>
      <w:pPr>
        <w:pStyle w:val="258"/>
        <w:tabs>
          <w:tab w:val="center" w:pos="4201"/>
          <w:tab w:val="right" w:leader="dot" w:pos="9298"/>
        </w:tabs>
        <w:ind w:firstLine="420"/>
        <w:rPr>
          <w:rFonts w:hint="default" w:ascii="Times New Roman" w:hAnsi="Times New Roman" w:cs="Times New Roman"/>
        </w:rPr>
      </w:pPr>
      <w:r>
        <w:rPr>
          <w:rFonts w:hint="default" w:ascii="Times New Roman" w:hAnsi="Times New Roman" w:cs="Times New Roman"/>
        </w:rPr>
        <w:t>需单独或结合</w:t>
      </w:r>
      <w:r>
        <w:rPr>
          <w:rFonts w:hint="eastAsia" w:ascii="Times New Roman" w:cs="Times New Roman"/>
          <w:lang w:val="en-US" w:eastAsia="zh-CN"/>
        </w:rPr>
        <w:t>断路器本体</w:t>
      </w:r>
      <w:r>
        <w:rPr>
          <w:rFonts w:hint="default" w:ascii="Times New Roman" w:hAnsi="Times New Roman" w:cs="Times New Roman"/>
        </w:rPr>
        <w:t>对各传感器组件的规定功能、检测精度、动作值等进行测试，满足工程要求。某些测试项目现场不具备条件，经用户同意，可在制造厂出厂前进行。</w:t>
      </w:r>
    </w:p>
    <w:p>
      <w:pPr>
        <w:pStyle w:val="520"/>
        <w:numPr>
          <w:ilvl w:val="2"/>
          <w:numId w:val="33"/>
        </w:numPr>
        <w:tabs>
          <w:tab w:val="clear" w:pos="0"/>
        </w:tabs>
        <w:spacing w:before="156" w:after="156"/>
        <w:ind w:left="0" w:leftChars="0" w:firstLine="0" w:firstLineChars="0"/>
        <w:rPr>
          <w:rFonts w:hint="eastAsia"/>
        </w:rPr>
      </w:pPr>
      <w:bookmarkStart w:id="72" w:name="_Toc20944"/>
      <w:r>
        <w:rPr>
          <w:rFonts w:hint="eastAsia" w:ascii="Times New Roman"/>
          <w:color w:val="auto"/>
          <w:kern w:val="44"/>
          <w:szCs w:val="21"/>
          <w:highlight w:val="none"/>
          <w:lang w:eastAsia="zh-CN"/>
        </w:rPr>
        <w:t>并联电容器电容量</w:t>
      </w:r>
      <w:r>
        <w:rPr>
          <w:rFonts w:hint="eastAsia" w:ascii="Times New Roman"/>
          <w:color w:val="auto"/>
          <w:kern w:val="44"/>
          <w:szCs w:val="21"/>
          <w:highlight w:val="none"/>
        </w:rPr>
        <w:t>测量</w:t>
      </w:r>
      <w:bookmarkEnd w:id="72"/>
    </w:p>
    <w:p>
      <w:pPr>
        <w:pStyle w:val="258"/>
        <w:tabs>
          <w:tab w:val="center" w:pos="4201"/>
          <w:tab w:val="right" w:leader="dot" w:pos="9298"/>
        </w:tabs>
        <w:ind w:firstLine="420"/>
        <w:rPr>
          <w:rFonts w:hint="default" w:ascii="Times New Roman" w:hAnsi="Times New Roman" w:cs="Times New Roman"/>
        </w:rPr>
      </w:pPr>
      <w:r>
        <w:rPr>
          <w:rFonts w:hint="default" w:ascii="Times New Roman" w:hAnsi="Times New Roman" w:cs="Times New Roman"/>
          <w:color w:val="auto"/>
          <w:spacing w:val="-2"/>
          <w:sz w:val="21"/>
          <w:szCs w:val="21"/>
          <w:highlight w:val="none"/>
          <w:lang w:eastAsia="zh-CN"/>
        </w:rPr>
        <w:t>依据</w:t>
      </w:r>
      <w:r>
        <w:rPr>
          <w:rFonts w:hint="default" w:ascii="Times New Roman" w:hAnsi="Times New Roman" w:cs="Times New Roman"/>
          <w:color w:val="auto"/>
          <w:spacing w:val="-2"/>
          <w:sz w:val="21"/>
          <w:szCs w:val="21"/>
          <w:highlight w:val="none"/>
        </w:rPr>
        <w:t>GB 50150</w:t>
      </w:r>
      <w:r>
        <w:rPr>
          <w:rFonts w:hint="default" w:ascii="Times New Roman" w:hAnsi="Times New Roman" w:cs="Times New Roman"/>
          <w:color w:val="auto"/>
          <w:spacing w:val="-2"/>
          <w:sz w:val="21"/>
          <w:szCs w:val="21"/>
          <w:highlight w:val="none"/>
          <w:lang w:eastAsia="zh-CN"/>
        </w:rPr>
        <w:t>《</w:t>
      </w:r>
      <w:r>
        <w:rPr>
          <w:rFonts w:hint="default" w:ascii="Times New Roman" w:hAnsi="Times New Roman" w:cs="Times New Roman"/>
          <w:kern w:val="2"/>
          <w:sz w:val="21"/>
          <w:szCs w:val="21"/>
          <w:lang w:val="en-US" w:eastAsia="zh-CN" w:bidi="ar-SA"/>
        </w:rPr>
        <w:t>电气装置安装工程电气设备交接试验标准</w:t>
      </w:r>
      <w:r>
        <w:rPr>
          <w:rFonts w:hint="default" w:ascii="Times New Roman" w:hAnsi="Times New Roman" w:cs="Times New Roman"/>
          <w:color w:val="auto"/>
          <w:spacing w:val="-2"/>
          <w:sz w:val="21"/>
          <w:szCs w:val="21"/>
          <w:highlight w:val="none"/>
          <w:lang w:eastAsia="zh-CN"/>
        </w:rPr>
        <w:t>》</w:t>
      </w:r>
      <w:r>
        <w:rPr>
          <w:rFonts w:hint="eastAsia" w:ascii="Times New Roman" w:cs="Times New Roman"/>
          <w:color w:val="auto"/>
          <w:spacing w:val="-2"/>
          <w:sz w:val="21"/>
          <w:szCs w:val="21"/>
          <w:highlight w:val="none"/>
          <w:lang w:val="en-US" w:eastAsia="zh-CN"/>
        </w:rPr>
        <w:t>进行并联电容器电容量测量</w:t>
      </w:r>
      <w:r>
        <w:rPr>
          <w:rFonts w:hint="default" w:ascii="Times New Roman" w:hAnsi="Times New Roman" w:cs="Times New Roman"/>
          <w:color w:val="auto"/>
          <w:spacing w:val="-2"/>
          <w:sz w:val="21"/>
          <w:szCs w:val="21"/>
          <w:highlight w:val="none"/>
          <w:lang w:eastAsia="zh-CN"/>
        </w:rPr>
        <w:t>，</w:t>
      </w:r>
      <w:r>
        <w:rPr>
          <w:rFonts w:hint="eastAsia" w:ascii="Times New Roman" w:cs="Times New Roman"/>
          <w:color w:val="auto"/>
          <w:spacing w:val="-2"/>
          <w:sz w:val="21"/>
          <w:szCs w:val="21"/>
          <w:highlight w:val="none"/>
          <w:lang w:val="en-US" w:eastAsia="zh-CN"/>
        </w:rPr>
        <w:t>实测</w:t>
      </w:r>
      <w:r>
        <w:rPr>
          <w:rFonts w:hint="default" w:ascii="Times New Roman" w:hAnsi="Times New Roman" w:cs="Times New Roman"/>
          <w:color w:val="auto"/>
          <w:spacing w:val="-2"/>
          <w:sz w:val="21"/>
          <w:szCs w:val="21"/>
          <w:highlight w:val="none"/>
          <w:lang w:eastAsia="zh-CN"/>
        </w:rPr>
        <w:t>电容值的允许偏差应为额定电容值的</w:t>
      </w:r>
      <w:r>
        <w:rPr>
          <w:rFonts w:hint="default" w:ascii="Times New Roman" w:hAnsi="Times New Roman" w:cs="Times New Roman"/>
          <w:color w:val="auto"/>
          <w:spacing w:val="-2"/>
          <w:sz w:val="21"/>
          <w:szCs w:val="21"/>
          <w:highlight w:val="none"/>
          <w:lang w:val="en-US" w:eastAsia="zh-CN"/>
        </w:rPr>
        <w:t>±5%。</w:t>
      </w:r>
    </w:p>
    <w:p>
      <w:pPr>
        <w:pStyle w:val="520"/>
        <w:numPr>
          <w:ilvl w:val="2"/>
          <w:numId w:val="33"/>
        </w:numPr>
        <w:tabs>
          <w:tab w:val="clear" w:pos="0"/>
        </w:tabs>
        <w:spacing w:before="156" w:after="156"/>
        <w:ind w:left="0" w:leftChars="0" w:firstLine="0" w:firstLineChars="0"/>
        <w:rPr>
          <w:rFonts w:hint="eastAsia"/>
        </w:rPr>
      </w:pPr>
      <w:bookmarkStart w:id="73" w:name="_Toc25373"/>
      <w:r>
        <w:rPr>
          <w:rFonts w:hint="eastAsia" w:ascii="Times New Roman"/>
          <w:color w:val="auto"/>
          <w:kern w:val="44"/>
          <w:szCs w:val="21"/>
          <w:highlight w:val="none"/>
          <w:lang w:eastAsia="zh-CN"/>
        </w:rPr>
        <w:t>电流互感器试验</w:t>
      </w:r>
      <w:bookmarkEnd w:id="73"/>
    </w:p>
    <w:p>
      <w:pPr>
        <w:pStyle w:val="258"/>
        <w:tabs>
          <w:tab w:val="center" w:pos="4201"/>
          <w:tab w:val="right" w:leader="dot" w:pos="9298"/>
        </w:tabs>
        <w:ind w:firstLine="420"/>
        <w:rPr>
          <w:rFonts w:hint="eastAsia"/>
          <w:color w:val="auto"/>
          <w:spacing w:val="-2"/>
          <w:sz w:val="21"/>
          <w:szCs w:val="21"/>
          <w:highlight w:val="none"/>
          <w:lang w:val="en-US" w:eastAsia="zh-CN"/>
        </w:rPr>
      </w:pPr>
      <w:r>
        <w:rPr>
          <w:rFonts w:hint="eastAsia"/>
          <w:lang w:val="en-US" w:eastAsia="zh-CN"/>
        </w:rPr>
        <w:t>断路器电流互感器应做如下试验：</w:t>
      </w:r>
    </w:p>
    <w:p>
      <w:pPr>
        <w:pStyle w:val="258"/>
        <w:numPr>
          <w:ilvl w:val="0"/>
          <w:numId w:val="34"/>
        </w:numPr>
        <w:autoSpaceDE w:val="0"/>
        <w:autoSpaceDN w:val="0"/>
        <w:ind w:firstLineChars="0"/>
        <w:rPr>
          <w:rFonts w:hint="eastAsia" w:ascii="Times New Roman"/>
          <w:lang w:val="en-US" w:eastAsia="zh-CN"/>
        </w:rPr>
      </w:pPr>
      <w:r>
        <w:rPr>
          <w:rFonts w:hint="eastAsia" w:ascii="Times New Roman"/>
          <w:lang w:eastAsia="zh-CN"/>
        </w:rPr>
        <w:t>应测量一次绕组对二次绕组及外壳、各二次绕组间及其对外壳的绝缘电阻，绝缘电阻值不低于</w:t>
      </w:r>
      <w:r>
        <w:rPr>
          <w:rFonts w:hint="eastAsia" w:ascii="Times New Roman"/>
          <w:lang w:val="en-US" w:eastAsia="zh-CN"/>
        </w:rPr>
        <w:t>1000MΩ，测量电压为2500V；</w:t>
      </w:r>
    </w:p>
    <w:p>
      <w:pPr>
        <w:pStyle w:val="258"/>
        <w:numPr>
          <w:ilvl w:val="0"/>
          <w:numId w:val="34"/>
        </w:numPr>
        <w:autoSpaceDE w:val="0"/>
        <w:autoSpaceDN w:val="0"/>
        <w:ind w:firstLineChars="0"/>
        <w:rPr>
          <w:rFonts w:ascii="Times New Roman"/>
        </w:rPr>
      </w:pPr>
      <w:r>
        <w:rPr>
          <w:rFonts w:hint="eastAsia"/>
          <w:color w:val="auto"/>
          <w:spacing w:val="-2"/>
          <w:sz w:val="21"/>
          <w:szCs w:val="21"/>
          <w:highlight w:val="none"/>
          <w:lang w:val="en-US" w:eastAsia="zh-CN"/>
        </w:rPr>
        <w:t>励磁特性曲线测量，与同类型电流互感器特性曲线或制造厂的特性曲线比较，应无明显差别；</w:t>
      </w:r>
    </w:p>
    <w:p>
      <w:pPr>
        <w:pStyle w:val="258"/>
        <w:numPr>
          <w:ilvl w:val="0"/>
          <w:numId w:val="34"/>
        </w:numPr>
        <w:autoSpaceDE w:val="0"/>
        <w:autoSpaceDN w:val="0"/>
        <w:ind w:firstLineChars="0"/>
        <w:rPr>
          <w:rFonts w:ascii="Times New Roman"/>
        </w:rPr>
      </w:pPr>
      <w:r>
        <w:rPr>
          <w:rFonts w:hint="eastAsia"/>
          <w:color w:val="auto"/>
          <w:spacing w:val="-2"/>
          <w:sz w:val="21"/>
          <w:szCs w:val="21"/>
          <w:highlight w:val="none"/>
          <w:lang w:val="en-US" w:eastAsia="zh-CN"/>
        </w:rPr>
        <w:t>误差和变比测量，与铭牌标志相符，比值和相位差与制造厂试验值比较无明显变化，并符合等级规定；</w:t>
      </w:r>
    </w:p>
    <w:p>
      <w:pPr>
        <w:pStyle w:val="258"/>
        <w:numPr>
          <w:ilvl w:val="0"/>
          <w:numId w:val="34"/>
        </w:numPr>
        <w:autoSpaceDE w:val="0"/>
        <w:autoSpaceDN w:val="0"/>
        <w:ind w:firstLineChars="0"/>
        <w:rPr>
          <w:rFonts w:ascii="Times New Roman"/>
        </w:rPr>
      </w:pPr>
      <w:r>
        <w:rPr>
          <w:rFonts w:hint="eastAsia"/>
          <w:color w:val="auto"/>
          <w:spacing w:val="-2"/>
          <w:sz w:val="21"/>
          <w:szCs w:val="21"/>
          <w:highlight w:val="none"/>
          <w:lang w:val="en-US" w:eastAsia="zh-CN"/>
        </w:rPr>
        <w:t>极性测量应与铭牌标志相符；</w:t>
      </w:r>
    </w:p>
    <w:p>
      <w:pPr>
        <w:pStyle w:val="258"/>
        <w:numPr>
          <w:ilvl w:val="0"/>
          <w:numId w:val="34"/>
        </w:numPr>
        <w:autoSpaceDE w:val="0"/>
        <w:autoSpaceDN w:val="0"/>
        <w:ind w:firstLineChars="0"/>
        <w:rPr>
          <w:rFonts w:ascii="Times New Roman" w:cs="Times New Roman"/>
        </w:rPr>
      </w:pPr>
      <w:r>
        <w:rPr>
          <w:rFonts w:hint="default" w:ascii="Times New Roman" w:cs="Times New Roman"/>
          <w:color w:val="auto"/>
          <w:spacing w:val="-2"/>
          <w:sz w:val="21"/>
          <w:szCs w:val="21"/>
          <w:highlight w:val="none"/>
          <w:lang w:val="en-US" w:eastAsia="zh-CN"/>
        </w:rPr>
        <w:t>交流耐压试验试验程序和方法，应按产品技术条件有关规定执行，试验电压值应为出厂试验电压</w:t>
      </w:r>
      <w:r>
        <w:rPr>
          <w:rFonts w:hint="eastAsia" w:ascii="Times New Roman" w:cs="Times New Roman"/>
          <w:color w:val="auto"/>
          <w:spacing w:val="-2"/>
          <w:sz w:val="21"/>
          <w:szCs w:val="21"/>
          <w:highlight w:val="none"/>
          <w:lang w:val="en-US" w:eastAsia="zh-CN"/>
        </w:rPr>
        <w:t>值</w:t>
      </w:r>
      <w:r>
        <w:rPr>
          <w:rFonts w:hint="default" w:ascii="Times New Roman" w:cs="Times New Roman"/>
          <w:color w:val="auto"/>
          <w:spacing w:val="-2"/>
          <w:sz w:val="21"/>
          <w:szCs w:val="21"/>
          <w:highlight w:val="none"/>
          <w:lang w:val="en-US" w:eastAsia="zh-CN"/>
        </w:rPr>
        <w:t>的80%，耐压</w:t>
      </w:r>
      <w:r>
        <w:rPr>
          <w:rFonts w:hint="eastAsia" w:ascii="Times New Roman" w:cs="Times New Roman"/>
          <w:color w:val="auto"/>
          <w:spacing w:val="-2"/>
          <w:sz w:val="21"/>
          <w:szCs w:val="21"/>
          <w:highlight w:val="none"/>
          <w:lang w:val="en-US" w:eastAsia="zh-CN"/>
        </w:rPr>
        <w:t>持续时间</w:t>
      </w:r>
      <w:r>
        <w:rPr>
          <w:rFonts w:hint="default" w:ascii="Times New Roman" w:cs="Times New Roman"/>
          <w:color w:val="auto"/>
          <w:spacing w:val="-2"/>
          <w:sz w:val="21"/>
          <w:szCs w:val="21"/>
          <w:highlight w:val="none"/>
          <w:lang w:val="en-US" w:eastAsia="zh-CN"/>
        </w:rPr>
        <w:t>为60s。</w:t>
      </w:r>
    </w:p>
    <w:p>
      <w:pPr>
        <w:pStyle w:val="521"/>
        <w:keepNext w:val="0"/>
        <w:keepLines w:val="0"/>
        <w:pageBreakBefore w:val="0"/>
        <w:widowControl w:val="0"/>
        <w:numPr>
          <w:ilvl w:val="1"/>
          <w:numId w:val="35"/>
        </w:numPr>
        <w:tabs>
          <w:tab w:val="clear" w:pos="0"/>
          <w:tab w:val="clear" w:pos="567"/>
        </w:tabs>
        <w:kinsoku/>
        <w:wordWrap/>
        <w:overflowPunct/>
        <w:topLinePunct w:val="0"/>
        <w:autoSpaceDE/>
        <w:autoSpaceDN/>
        <w:bidi w:val="0"/>
        <w:adjustRightInd/>
        <w:snapToGrid/>
        <w:spacing w:before="156" w:after="156" w:line="240" w:lineRule="auto"/>
        <w:ind w:left="0" w:leftChars="0" w:firstLine="0" w:firstLineChars="0"/>
        <w:textAlignment w:val="auto"/>
        <w:rPr>
          <w:rFonts w:hint="eastAsia"/>
          <w:lang w:val="en-US" w:eastAsia="zh-CN"/>
        </w:rPr>
      </w:pPr>
      <w:bookmarkStart w:id="74" w:name="_Toc32430"/>
      <w:bookmarkStart w:id="75" w:name="_Toc23818"/>
      <w:r>
        <w:rPr>
          <w:rFonts w:hint="eastAsia"/>
          <w:color w:val="auto"/>
          <w:lang w:val="en-US" w:eastAsia="zh-CN"/>
        </w:rPr>
        <w:t>一、二次联合传动试验</w:t>
      </w:r>
      <w:bookmarkEnd w:id="74"/>
      <w:bookmarkEnd w:id="75"/>
    </w:p>
    <w:p>
      <w:pPr>
        <w:pStyle w:val="521"/>
        <w:keepNext w:val="0"/>
        <w:keepLines w:val="0"/>
        <w:pageBreakBefore w:val="0"/>
        <w:widowControl w:val="0"/>
        <w:numPr>
          <w:ilvl w:val="0"/>
          <w:numId w:val="0"/>
        </w:numPr>
        <w:tabs>
          <w:tab w:val="clear" w:pos="567"/>
        </w:tabs>
        <w:kinsoku/>
        <w:wordWrap/>
        <w:overflowPunct/>
        <w:topLinePunct w:val="0"/>
        <w:autoSpaceDE/>
        <w:autoSpaceDN/>
        <w:bidi w:val="0"/>
        <w:adjustRightInd/>
        <w:snapToGrid/>
        <w:spacing w:before="156" w:after="156" w:line="240" w:lineRule="auto"/>
        <w:ind w:leftChars="0" w:firstLine="412" w:firstLineChars="200"/>
        <w:textAlignment w:val="auto"/>
        <w:outlineLvl w:val="9"/>
        <w:rPr>
          <w:rFonts w:hint="default" w:ascii="Times New Roman" w:hAnsi="Times New Roman" w:eastAsia="宋体" w:cs="Times New Roman"/>
          <w:color w:val="auto"/>
          <w:spacing w:val="-2"/>
          <w:sz w:val="21"/>
          <w:szCs w:val="21"/>
          <w:highlight w:val="none"/>
          <w:lang w:val="en-US" w:eastAsia="zh-CN" w:bidi="ar-SA"/>
        </w:rPr>
      </w:pPr>
      <w:bookmarkStart w:id="76" w:name="_Toc3063"/>
      <w:r>
        <w:rPr>
          <w:rFonts w:hint="eastAsia" w:ascii="Times New Roman" w:hAnsi="Times New Roman" w:eastAsia="宋体" w:cs="Times New Roman"/>
          <w:color w:val="auto"/>
          <w:spacing w:val="-2"/>
          <w:sz w:val="21"/>
          <w:szCs w:val="21"/>
          <w:highlight w:val="none"/>
          <w:lang w:val="en-US" w:eastAsia="zh-CN" w:bidi="ar-SA"/>
        </w:rPr>
        <w:t>快速断路器和快速检测控制装置应进行联调试验，确保短路电流抑制系统高可靠性，应开展如下试验：</w:t>
      </w:r>
      <w:bookmarkEnd w:id="76"/>
    </w:p>
    <w:p>
      <w:pPr>
        <w:pStyle w:val="258"/>
        <w:numPr>
          <w:ilvl w:val="0"/>
          <w:numId w:val="36"/>
        </w:numPr>
        <w:autoSpaceDE w:val="0"/>
        <w:autoSpaceDN w:val="0"/>
        <w:ind w:firstLineChars="0"/>
        <w:rPr>
          <w:rFonts w:ascii="Times New Roman"/>
        </w:rPr>
      </w:pPr>
      <w:r>
        <w:rPr>
          <w:rFonts w:hint="eastAsia" w:ascii="Times New Roman"/>
          <w:lang w:val="en-US" w:eastAsia="zh-CN"/>
        </w:rPr>
        <w:t>检查双套快速检测控制装置开出端口和全冗余智能快速断路器汇控柜二次控制回路接线正确，标识清晰，确认快速控制装置接收显示的分合闸位置信息与快速断路器本体实际分合闸状态保持一致，确保快速控制装置上无异常及故障信息；</w:t>
      </w:r>
    </w:p>
    <w:p>
      <w:pPr>
        <w:pStyle w:val="258"/>
        <w:numPr>
          <w:ilvl w:val="0"/>
          <w:numId w:val="36"/>
        </w:numPr>
        <w:autoSpaceDE w:val="0"/>
        <w:autoSpaceDN w:val="0"/>
        <w:ind w:firstLineChars="0"/>
        <w:rPr>
          <w:rFonts w:ascii="Times New Roman"/>
        </w:rPr>
      </w:pPr>
      <w:r>
        <w:rPr>
          <w:rFonts w:hint="eastAsia" w:ascii="Times New Roman"/>
          <w:lang w:val="en-US" w:eastAsia="zh-CN"/>
        </w:rPr>
        <w:t>操作监控后台经快速检测控制装置远方控制快速断路器进行3次分合闸传动操作，检查监控后台显示分合闸状态与断路器本体分合闸状态一致；</w:t>
      </w:r>
    </w:p>
    <w:p>
      <w:pPr>
        <w:pStyle w:val="258"/>
        <w:numPr>
          <w:ilvl w:val="0"/>
          <w:numId w:val="36"/>
        </w:numPr>
        <w:autoSpaceDE w:val="0"/>
        <w:autoSpaceDN w:val="0"/>
        <w:ind w:firstLineChars="0"/>
        <w:rPr>
          <w:rFonts w:ascii="Times New Roman"/>
        </w:rPr>
      </w:pPr>
      <w:r>
        <w:rPr>
          <w:rFonts w:hint="eastAsia" w:ascii="Times New Roman"/>
          <w:lang w:val="en-US" w:eastAsia="zh-CN"/>
        </w:rPr>
        <w:t>操作快速检测控制装置界面手动远方控制快速断路器进行3次分合闸传动操作，检查装置不同功能信号灯是否正常，断路器状态信息是否正常；</w:t>
      </w:r>
    </w:p>
    <w:p>
      <w:pPr>
        <w:pStyle w:val="258"/>
        <w:numPr>
          <w:ilvl w:val="0"/>
          <w:numId w:val="36"/>
        </w:numPr>
        <w:autoSpaceDE w:val="0"/>
        <w:autoSpaceDN w:val="0"/>
        <w:ind w:firstLineChars="0"/>
        <w:rPr>
          <w:rFonts w:ascii="Times New Roman"/>
          <w:color w:val="000000"/>
        </w:rPr>
      </w:pPr>
      <w:r>
        <w:rPr>
          <w:rFonts w:hint="eastAsia" w:ascii="Times New Roman"/>
          <w:color w:val="000000"/>
        </w:rPr>
        <w:t>采用继保仪状态序列功能模拟故障信号，输入快速检测控制装置，控制快速断路器分合闸传动，检查整个流程是否正确动作；</w:t>
      </w:r>
    </w:p>
    <w:p>
      <w:pPr>
        <w:pStyle w:val="258"/>
        <w:numPr>
          <w:ilvl w:val="0"/>
          <w:numId w:val="36"/>
        </w:numPr>
        <w:autoSpaceDE w:val="0"/>
        <w:autoSpaceDN w:val="0"/>
        <w:ind w:firstLineChars="0"/>
        <w:rPr>
          <w:rFonts w:ascii="Times New Roman"/>
        </w:rPr>
      </w:pPr>
      <w:r>
        <w:rPr>
          <w:rFonts w:hint="eastAsia" w:ascii="Times New Roman"/>
          <w:lang w:val="en-US" w:eastAsia="zh-CN"/>
        </w:rPr>
        <w:t>采用继保仪模拟故障信号，输入快速检测控制装置，同时开出分闸命令，控制快速断路器分闸传动，检查整个流程是否正确动作；</w:t>
      </w:r>
    </w:p>
    <w:p>
      <w:pPr>
        <w:pStyle w:val="258"/>
        <w:numPr>
          <w:ilvl w:val="0"/>
          <w:numId w:val="36"/>
        </w:numPr>
        <w:autoSpaceDE w:val="0"/>
        <w:autoSpaceDN w:val="0"/>
        <w:ind w:firstLineChars="0"/>
        <w:rPr>
          <w:rFonts w:ascii="Times New Roman"/>
        </w:rPr>
      </w:pPr>
      <w:r>
        <w:rPr>
          <w:rFonts w:hint="eastAsia" w:ascii="Times New Roman"/>
          <w:lang w:val="en-US" w:eastAsia="zh-CN"/>
        </w:rPr>
        <w:t>采用一次回路施加电流，模拟故障电流下，</w:t>
      </w:r>
      <w:r>
        <w:rPr>
          <w:rFonts w:hint="eastAsia"/>
        </w:rPr>
        <w:t>短路电流抑制系统</w:t>
      </w:r>
      <w:r>
        <w:rPr>
          <w:rFonts w:hint="eastAsia"/>
          <w:lang w:val="en-US" w:eastAsia="zh-CN"/>
        </w:rPr>
        <w:t>的保护策略、快速检测控制装置</w:t>
      </w:r>
      <w:r>
        <w:rPr>
          <w:rFonts w:hint="eastAsia" w:ascii="Times New Roman"/>
          <w:lang w:val="en-US" w:eastAsia="zh-CN"/>
        </w:rPr>
        <w:t>、全冗余智能断路器、监控后台等是否正确动作。</w:t>
      </w:r>
    </w:p>
    <w:p>
      <w:pPr>
        <w:pStyle w:val="522"/>
        <w:keepNext/>
        <w:keepLines w:val="0"/>
        <w:pageBreakBefore w:val="0"/>
        <w:widowControl w:val="0"/>
        <w:numPr>
          <w:ilvl w:val="0"/>
          <w:numId w:val="37"/>
        </w:numPr>
        <w:kinsoku/>
        <w:wordWrap/>
        <w:overflowPunct/>
        <w:topLinePunct w:val="0"/>
        <w:autoSpaceDE/>
        <w:autoSpaceDN/>
        <w:bidi w:val="0"/>
        <w:adjustRightInd/>
        <w:snapToGrid/>
        <w:spacing w:before="313" w:beforeLines="100" w:after="313" w:afterLines="100"/>
        <w:ind w:left="0" w:leftChars="0" w:firstLine="0" w:firstLineChars="0"/>
        <w:textAlignment w:val="auto"/>
        <w:rPr>
          <w:rFonts w:hint="eastAsia"/>
        </w:rPr>
      </w:pPr>
      <w:bookmarkStart w:id="77" w:name="_Toc26615"/>
      <w:bookmarkStart w:id="78" w:name="_Toc30337"/>
      <w:r>
        <w:t>系统调试</w:t>
      </w:r>
      <w:bookmarkEnd w:id="77"/>
      <w:bookmarkEnd w:id="78"/>
    </w:p>
    <w:p>
      <w:pPr>
        <w:pStyle w:val="521"/>
        <w:numPr>
          <w:ilvl w:val="1"/>
          <w:numId w:val="38"/>
        </w:numPr>
        <w:tabs>
          <w:tab w:val="clear" w:pos="0"/>
          <w:tab w:val="clear" w:pos="567"/>
        </w:tabs>
        <w:spacing w:before="156" w:after="156" w:line="240" w:lineRule="auto"/>
        <w:ind w:left="0" w:leftChars="0" w:firstLine="0" w:firstLineChars="0"/>
      </w:pPr>
      <w:bookmarkStart w:id="79" w:name="_Toc21685866"/>
      <w:bookmarkStart w:id="80" w:name="_Toc10397"/>
      <w:bookmarkStart w:id="81" w:name="_Toc7682"/>
      <w:r>
        <w:rPr>
          <w:rFonts w:hint="eastAsia"/>
        </w:rPr>
        <w:t>试验前应具备的条件</w:t>
      </w:r>
      <w:bookmarkEnd w:id="79"/>
      <w:bookmarkEnd w:id="80"/>
    </w:p>
    <w:p>
      <w:pPr>
        <w:pStyle w:val="258"/>
        <w:numPr>
          <w:ilvl w:val="0"/>
          <w:numId w:val="39"/>
        </w:numPr>
        <w:autoSpaceDE w:val="0"/>
        <w:autoSpaceDN w:val="0"/>
        <w:ind w:firstLineChars="0"/>
        <w:rPr>
          <w:rFonts w:ascii="Times New Roman"/>
        </w:rPr>
      </w:pPr>
      <w:r>
        <w:rPr>
          <w:rFonts w:hint="eastAsia" w:ascii="Times New Roman"/>
        </w:rPr>
        <w:t>短路电流抑制系统用快速检测控制装置、全冗余智能快速断路器已完成现场交接试验和传动试验，通过工程验收，具备带电试验条件</w:t>
      </w:r>
      <w:r>
        <w:rPr>
          <w:rFonts w:hint="eastAsia" w:ascii="Times New Roman"/>
          <w:lang w:eastAsia="zh-CN"/>
        </w:rPr>
        <w:t>；</w:t>
      </w:r>
    </w:p>
    <w:p>
      <w:pPr>
        <w:pStyle w:val="258"/>
        <w:numPr>
          <w:ilvl w:val="0"/>
          <w:numId w:val="39"/>
        </w:numPr>
        <w:autoSpaceDE w:val="0"/>
        <w:autoSpaceDN w:val="0"/>
        <w:ind w:firstLineChars="0"/>
        <w:rPr>
          <w:rFonts w:ascii="Times New Roman"/>
        </w:rPr>
      </w:pPr>
      <w:r>
        <w:rPr>
          <w:rFonts w:hint="eastAsia" w:ascii="Times New Roman"/>
        </w:rPr>
        <w:t>电网运行方式具备开展系统调试试验条件。</w:t>
      </w:r>
    </w:p>
    <w:p>
      <w:pPr>
        <w:pStyle w:val="521"/>
        <w:numPr>
          <w:ilvl w:val="1"/>
          <w:numId w:val="38"/>
        </w:numPr>
        <w:tabs>
          <w:tab w:val="clear" w:pos="0"/>
          <w:tab w:val="clear" w:pos="567"/>
        </w:tabs>
        <w:spacing w:before="156" w:after="156" w:line="240" w:lineRule="auto"/>
        <w:ind w:left="0" w:leftChars="0" w:firstLine="0" w:firstLineChars="0"/>
      </w:pPr>
      <w:bookmarkStart w:id="82" w:name="_Toc30220"/>
      <w:bookmarkStart w:id="83" w:name="_Toc21685867"/>
      <w:r>
        <w:rPr>
          <w:rFonts w:hint="eastAsia"/>
        </w:rPr>
        <w:t>系统调试项目及要求</w:t>
      </w:r>
      <w:bookmarkEnd w:id="82"/>
      <w:bookmarkEnd w:id="83"/>
    </w:p>
    <w:p>
      <w:pPr>
        <w:pStyle w:val="520"/>
        <w:numPr>
          <w:ilvl w:val="2"/>
          <w:numId w:val="40"/>
        </w:numPr>
        <w:tabs>
          <w:tab w:val="clear" w:pos="0"/>
        </w:tabs>
        <w:spacing w:before="156" w:after="156"/>
        <w:ind w:left="0" w:leftChars="0" w:firstLine="0" w:firstLineChars="0"/>
        <w:rPr>
          <w:rFonts w:hint="eastAsia"/>
        </w:rPr>
      </w:pPr>
      <w:bookmarkStart w:id="84" w:name="_Toc19197020"/>
      <w:bookmarkStart w:id="85" w:name="_Toc30628"/>
      <w:bookmarkStart w:id="86" w:name="_Toc21685869"/>
      <w:r>
        <w:rPr>
          <w:rFonts w:hint="eastAsia"/>
        </w:rPr>
        <w:t>断路器带电操作</w:t>
      </w:r>
      <w:r>
        <w:t>试验</w:t>
      </w:r>
      <w:bookmarkEnd w:id="84"/>
      <w:bookmarkEnd w:id="85"/>
      <w:bookmarkEnd w:id="86"/>
    </w:p>
    <w:p>
      <w:pPr>
        <w:pStyle w:val="258"/>
        <w:numPr>
          <w:ilvl w:val="0"/>
          <w:numId w:val="41"/>
        </w:numPr>
        <w:autoSpaceDE w:val="0"/>
        <w:autoSpaceDN w:val="0"/>
        <w:ind w:firstLineChars="0"/>
        <w:rPr>
          <w:rFonts w:ascii="Times New Roman"/>
        </w:rPr>
      </w:pPr>
      <w:r>
        <w:rPr>
          <w:rFonts w:ascii="Times New Roman"/>
        </w:rPr>
        <w:t>对全冗余智能快速断路器进行带电合闸、分闸操作；</w:t>
      </w:r>
    </w:p>
    <w:p>
      <w:pPr>
        <w:pStyle w:val="258"/>
        <w:numPr>
          <w:ilvl w:val="0"/>
          <w:numId w:val="41"/>
        </w:numPr>
        <w:autoSpaceDE w:val="0"/>
        <w:autoSpaceDN w:val="0"/>
        <w:ind w:firstLineChars="0"/>
        <w:rPr>
          <w:rFonts w:hint="eastAsia" w:ascii="Times New Roman"/>
        </w:rPr>
      </w:pPr>
      <w:r>
        <w:rPr>
          <w:rFonts w:ascii="Times New Roman"/>
        </w:rPr>
        <w:t>有多组全冗余智能快速断路器时，应分别进行试验；</w:t>
      </w:r>
    </w:p>
    <w:p>
      <w:pPr>
        <w:pStyle w:val="258"/>
        <w:numPr>
          <w:ilvl w:val="0"/>
          <w:numId w:val="41"/>
        </w:numPr>
        <w:autoSpaceDE w:val="0"/>
        <w:autoSpaceDN w:val="0"/>
        <w:ind w:firstLineChars="0"/>
        <w:rPr>
          <w:rFonts w:hint="eastAsia" w:ascii="Times New Roman"/>
        </w:rPr>
      </w:pPr>
      <w:r>
        <w:rPr>
          <w:rFonts w:hint="eastAsia" w:ascii="Times New Roman"/>
        </w:rPr>
        <w:t>试验方式可根据快速短路安装位置及接线确定，宜分别开展断路器空载合分闸操作、以及合环\解环操作试验</w:t>
      </w:r>
      <w:r>
        <w:rPr>
          <w:rFonts w:hint="eastAsia" w:ascii="Times New Roman"/>
          <w:lang w:eastAsia="zh-CN"/>
        </w:rPr>
        <w:t>；</w:t>
      </w:r>
    </w:p>
    <w:p>
      <w:pPr>
        <w:pStyle w:val="258"/>
        <w:numPr>
          <w:ilvl w:val="0"/>
          <w:numId w:val="41"/>
        </w:numPr>
        <w:autoSpaceDE w:val="0"/>
        <w:autoSpaceDN w:val="0"/>
        <w:ind w:firstLineChars="0"/>
        <w:rPr>
          <w:rFonts w:hint="eastAsia" w:ascii="Times New Roman"/>
        </w:rPr>
      </w:pPr>
      <w:r>
        <w:rPr>
          <w:rFonts w:hint="eastAsia" w:ascii="Times New Roman"/>
        </w:rPr>
        <w:t>试验过程中，快速断路器状态正常，断路器动作符合预期。</w:t>
      </w:r>
    </w:p>
    <w:p>
      <w:pPr>
        <w:pStyle w:val="520"/>
        <w:numPr>
          <w:ilvl w:val="2"/>
          <w:numId w:val="42"/>
        </w:numPr>
        <w:tabs>
          <w:tab w:val="clear" w:pos="0"/>
        </w:tabs>
        <w:spacing w:before="156" w:after="156"/>
        <w:ind w:left="0" w:leftChars="0" w:firstLine="0" w:firstLineChars="0"/>
      </w:pPr>
      <w:bookmarkStart w:id="87" w:name="_Toc13724"/>
      <w:r>
        <w:rPr>
          <w:rFonts w:hint="eastAsia"/>
        </w:rPr>
        <w:t>人工短路接地</w:t>
      </w:r>
      <w:r>
        <w:t>试验</w:t>
      </w:r>
      <w:bookmarkEnd w:id="87"/>
    </w:p>
    <w:p>
      <w:pPr>
        <w:pStyle w:val="258"/>
        <w:numPr>
          <w:ilvl w:val="0"/>
          <w:numId w:val="43"/>
        </w:numPr>
        <w:autoSpaceDE w:val="0"/>
        <w:autoSpaceDN w:val="0"/>
        <w:ind w:firstLineChars="0"/>
        <w:rPr>
          <w:rFonts w:hint="eastAsia" w:ascii="Times New Roman"/>
        </w:rPr>
      </w:pPr>
      <w:r>
        <w:rPr>
          <w:rFonts w:ascii="Times New Roman"/>
        </w:rPr>
        <w:t>电</w:t>
      </w:r>
      <w:r>
        <w:rPr>
          <w:rFonts w:ascii="Times New Roman" w:eastAsia="宋体" w:cs="Times New Roman"/>
        </w:rPr>
        <w:t>网条件允许的情况</w:t>
      </w:r>
      <w:r>
        <w:rPr>
          <w:rFonts w:hint="eastAsia" w:ascii="Times New Roman" w:eastAsia="宋体" w:cs="Times New Roman"/>
        </w:rPr>
        <w:t>下，宜开展人工</w:t>
      </w:r>
      <w:r>
        <w:rPr>
          <w:rFonts w:hint="eastAsia" w:ascii="Times New Roman"/>
        </w:rPr>
        <w:t>短路试验，对短路电流抑制系统的动作性能进行考核</w:t>
      </w:r>
      <w:r>
        <w:rPr>
          <w:rFonts w:hint="eastAsia" w:ascii="Times New Roman"/>
          <w:lang w:eastAsia="zh-CN"/>
        </w:rPr>
        <w:t>；</w:t>
      </w:r>
    </w:p>
    <w:p>
      <w:pPr>
        <w:pStyle w:val="258"/>
        <w:numPr>
          <w:ilvl w:val="0"/>
          <w:numId w:val="43"/>
        </w:numPr>
        <w:autoSpaceDE w:val="0"/>
        <w:autoSpaceDN w:val="0"/>
        <w:ind w:firstLineChars="0"/>
        <w:rPr>
          <w:rFonts w:hint="eastAsia" w:ascii="Times New Roman"/>
        </w:rPr>
      </w:pPr>
      <w:r>
        <w:rPr>
          <w:rFonts w:hint="eastAsia" w:ascii="Times New Roman"/>
        </w:rPr>
        <w:t>人工短路试验地点和试验方式应结合系统分析计算确定；</w:t>
      </w:r>
    </w:p>
    <w:p>
      <w:pPr>
        <w:pStyle w:val="258"/>
        <w:numPr>
          <w:ilvl w:val="0"/>
          <w:numId w:val="43"/>
        </w:numPr>
        <w:autoSpaceDE w:val="0"/>
        <w:autoSpaceDN w:val="0"/>
        <w:ind w:firstLineChars="0"/>
        <w:rPr>
          <w:rFonts w:hint="eastAsia" w:ascii="Times New Roman"/>
        </w:rPr>
      </w:pPr>
      <w:r>
        <w:rPr>
          <w:rFonts w:hint="eastAsia" w:ascii="Times New Roman"/>
        </w:rPr>
        <w:t>人工短路方式宜选择单相接地短路，</w:t>
      </w:r>
      <w:r>
        <w:rPr>
          <w:rFonts w:hint="eastAsia" w:ascii="Times New Roman"/>
          <w:lang w:val="en-US" w:eastAsia="zh-CN"/>
        </w:rPr>
        <w:t>必要时</w:t>
      </w:r>
      <w:r>
        <w:rPr>
          <w:rFonts w:hint="eastAsia" w:ascii="Times New Roman"/>
        </w:rPr>
        <w:t>可进行三相短路试验；</w:t>
      </w:r>
    </w:p>
    <w:p>
      <w:pPr>
        <w:pStyle w:val="258"/>
        <w:numPr>
          <w:ilvl w:val="0"/>
          <w:numId w:val="43"/>
        </w:numPr>
        <w:autoSpaceDE w:val="0"/>
        <w:autoSpaceDN w:val="0"/>
        <w:ind w:firstLineChars="0"/>
        <w:rPr>
          <w:rFonts w:hint="eastAsia" w:ascii="Times New Roman"/>
        </w:rPr>
      </w:pPr>
      <w:r>
        <w:rPr>
          <w:rFonts w:hint="eastAsia" w:ascii="Times New Roman"/>
        </w:rPr>
        <w:t>所选择短路点短路时故障电流不低于短路电流抑制系统动作电流定值</w:t>
      </w:r>
      <w:r>
        <w:rPr>
          <w:rFonts w:hint="eastAsia" w:ascii="Times New Roman"/>
          <w:lang w:eastAsia="zh-CN"/>
        </w:rPr>
        <w:t>；</w:t>
      </w:r>
    </w:p>
    <w:p>
      <w:pPr>
        <w:pStyle w:val="258"/>
        <w:numPr>
          <w:ilvl w:val="0"/>
          <w:numId w:val="43"/>
        </w:numPr>
        <w:autoSpaceDE w:val="0"/>
        <w:autoSpaceDN w:val="0"/>
        <w:ind w:firstLineChars="0"/>
        <w:rPr>
          <w:rFonts w:hint="eastAsia" w:ascii="Times New Roman"/>
        </w:rPr>
      </w:pPr>
      <w:r>
        <w:rPr>
          <w:rFonts w:ascii="Times New Roman"/>
        </w:rPr>
        <w:t>试验过程中，检查快速检测控制装置、快速断路器状态正常；</w:t>
      </w:r>
    </w:p>
    <w:p>
      <w:pPr>
        <w:pStyle w:val="258"/>
        <w:numPr>
          <w:ilvl w:val="0"/>
          <w:numId w:val="43"/>
        </w:numPr>
        <w:autoSpaceDE w:val="0"/>
        <w:autoSpaceDN w:val="0"/>
        <w:ind w:firstLineChars="0"/>
        <w:jc w:val="left"/>
        <w:rPr>
          <w:rFonts w:hint="eastAsia" w:ascii="Times New Roman"/>
          <w:lang w:eastAsia="zh-CN"/>
        </w:rPr>
      </w:pPr>
      <w:r>
        <w:rPr>
          <w:rFonts w:hint="eastAsia" w:ascii="Times New Roman"/>
          <w:lang w:eastAsia="zh-CN"/>
        </w:rPr>
        <w:t>短路电流抑制系统动作行为应符合预期。</w:t>
      </w:r>
    </w:p>
    <w:p>
      <w:pPr>
        <w:pStyle w:val="520"/>
        <w:numPr>
          <w:ilvl w:val="2"/>
          <w:numId w:val="44"/>
        </w:numPr>
        <w:tabs>
          <w:tab w:val="clear" w:pos="0"/>
        </w:tabs>
        <w:spacing w:before="156" w:after="156"/>
        <w:ind w:left="0" w:leftChars="0" w:firstLine="0" w:firstLineChars="0"/>
        <w:rPr>
          <w:rFonts w:hint="eastAsia"/>
        </w:rPr>
      </w:pPr>
      <w:bookmarkStart w:id="88" w:name="_Toc29221"/>
      <w:r>
        <w:rPr>
          <w:rFonts w:hint="eastAsia"/>
        </w:rPr>
        <w:t>无故障下拓扑重构及恢复</w:t>
      </w:r>
      <w:r>
        <w:t>试验</w:t>
      </w:r>
      <w:bookmarkEnd w:id="88"/>
    </w:p>
    <w:p>
      <w:pPr>
        <w:pStyle w:val="258"/>
        <w:numPr>
          <w:ilvl w:val="0"/>
          <w:numId w:val="45"/>
        </w:numPr>
        <w:autoSpaceDE w:val="0"/>
        <w:autoSpaceDN w:val="0"/>
        <w:ind w:firstLineChars="0"/>
        <w:rPr>
          <w:rFonts w:hint="eastAsia" w:ascii="Times New Roman"/>
        </w:rPr>
      </w:pPr>
      <w:r>
        <w:rPr>
          <w:rFonts w:hint="eastAsia" w:ascii="Times New Roman"/>
        </w:rPr>
        <w:t>系统不具备人工短路试验条件时，应开展无</w:t>
      </w:r>
      <w:r>
        <w:rPr>
          <w:rFonts w:hint="eastAsia"/>
        </w:rPr>
        <w:t>故障下拓扑重构及恢复</w:t>
      </w:r>
      <w:r>
        <w:t>试验；</w:t>
      </w:r>
    </w:p>
    <w:p>
      <w:pPr>
        <w:pStyle w:val="258"/>
        <w:numPr>
          <w:ilvl w:val="0"/>
          <w:numId w:val="45"/>
        </w:numPr>
        <w:autoSpaceDE w:val="0"/>
        <w:autoSpaceDN w:val="0"/>
        <w:ind w:firstLineChars="0"/>
        <w:rPr>
          <w:rFonts w:ascii="Times New Roman"/>
        </w:rPr>
      </w:pPr>
      <w:r>
        <w:rPr>
          <w:rFonts w:ascii="Times New Roman"/>
        </w:rPr>
        <w:t>试验前，短路电流抑制系统</w:t>
      </w:r>
      <w:r>
        <w:rPr>
          <w:rFonts w:hint="eastAsia" w:ascii="Times New Roman"/>
        </w:rPr>
        <w:t>正常投入</w:t>
      </w:r>
      <w:r>
        <w:rPr>
          <w:rFonts w:ascii="Times New Roman"/>
        </w:rPr>
        <w:t>，快速断路器合闸状态；电网正常运行方式下，通过模拟短路故障信号等方式，使得短路电流抑制系统动作，实现电网拓扑重构和拓扑恢复；</w:t>
      </w:r>
    </w:p>
    <w:p>
      <w:pPr>
        <w:pStyle w:val="258"/>
        <w:numPr>
          <w:ilvl w:val="0"/>
          <w:numId w:val="45"/>
        </w:numPr>
        <w:autoSpaceDE w:val="0"/>
        <w:autoSpaceDN w:val="0"/>
        <w:ind w:firstLineChars="0"/>
        <w:rPr>
          <w:rFonts w:hint="eastAsia" w:ascii="Times New Roman"/>
        </w:rPr>
      </w:pPr>
      <w:r>
        <w:rPr>
          <w:rFonts w:hint="eastAsia" w:ascii="Times New Roman"/>
        </w:rPr>
        <w:t>试验过程中，检查快速检测控制装置、快速断路器状态正常；</w:t>
      </w:r>
    </w:p>
    <w:p>
      <w:pPr>
        <w:pStyle w:val="258"/>
        <w:numPr>
          <w:ilvl w:val="0"/>
          <w:numId w:val="45"/>
        </w:numPr>
        <w:autoSpaceDE w:val="0"/>
        <w:autoSpaceDN w:val="0"/>
        <w:ind w:firstLineChars="0"/>
        <w:rPr>
          <w:rFonts w:hint="eastAsia" w:ascii="Times New Roman"/>
          <w:lang w:eastAsia="zh-CN"/>
        </w:rPr>
      </w:pPr>
      <w:r>
        <w:rPr>
          <w:rFonts w:hint="eastAsia" w:ascii="Times New Roman"/>
        </w:rPr>
        <w:t>快速检测控制装置、快速断路器动作行为应符合预期。</w:t>
      </w:r>
    </w:p>
    <w:bookmarkEnd w:id="81"/>
    <w:p>
      <w:pPr>
        <w:pStyle w:val="522"/>
        <w:keepNext/>
        <w:keepLines w:val="0"/>
        <w:pageBreakBefore w:val="0"/>
        <w:widowControl w:val="0"/>
        <w:numPr>
          <w:ilvl w:val="0"/>
          <w:numId w:val="38"/>
        </w:numPr>
        <w:kinsoku/>
        <w:wordWrap/>
        <w:overflowPunct/>
        <w:topLinePunct w:val="0"/>
        <w:autoSpaceDE/>
        <w:autoSpaceDN/>
        <w:bidi w:val="0"/>
        <w:adjustRightInd/>
        <w:snapToGrid/>
        <w:spacing w:before="313" w:beforeLines="100" w:after="313" w:afterLines="100"/>
        <w:ind w:left="0" w:leftChars="0" w:firstLine="0" w:firstLineChars="0"/>
        <w:textAlignment w:val="auto"/>
        <w:rPr>
          <w:rFonts w:hint="eastAsia"/>
        </w:rPr>
      </w:pPr>
      <w:bookmarkStart w:id="89" w:name="_Toc23851"/>
      <w:r>
        <w:rPr>
          <w:rFonts w:hint="eastAsia"/>
        </w:rPr>
        <w:t>运</w:t>
      </w:r>
      <w:r>
        <w:rPr>
          <w:rFonts w:hint="eastAsia"/>
          <w:lang w:val="en-US" w:eastAsia="zh-CN"/>
        </w:rPr>
        <w:t>行</w:t>
      </w:r>
      <w:r>
        <w:rPr>
          <w:rFonts w:hint="eastAsia"/>
        </w:rPr>
        <w:t>维</w:t>
      </w:r>
      <w:r>
        <w:rPr>
          <w:rFonts w:hint="eastAsia"/>
          <w:lang w:val="en-US" w:eastAsia="zh-CN"/>
        </w:rPr>
        <w:t>护</w:t>
      </w:r>
      <w:bookmarkEnd w:id="89"/>
    </w:p>
    <w:p>
      <w:pPr>
        <w:pStyle w:val="521"/>
        <w:numPr>
          <w:ilvl w:val="1"/>
          <w:numId w:val="38"/>
        </w:numPr>
        <w:tabs>
          <w:tab w:val="clear" w:pos="0"/>
          <w:tab w:val="clear" w:pos="567"/>
        </w:tabs>
        <w:spacing w:before="156" w:after="156" w:line="240" w:lineRule="auto"/>
        <w:ind w:left="0" w:leftChars="0" w:firstLine="0" w:firstLineChars="0"/>
        <w:rPr>
          <w:rFonts w:cs="黑体"/>
          <w:szCs w:val="21"/>
        </w:rPr>
      </w:pPr>
      <w:bookmarkStart w:id="90" w:name="_Toc22875"/>
      <w:bookmarkStart w:id="91" w:name="_Toc28265"/>
      <w:r>
        <w:rPr>
          <w:rFonts w:hint="eastAsia"/>
          <w:lang w:eastAsia="zh-CN"/>
        </w:rPr>
        <w:t>巡视</w:t>
      </w:r>
      <w:bookmarkEnd w:id="90"/>
      <w:bookmarkEnd w:id="91"/>
    </w:p>
    <w:p>
      <w:pPr>
        <w:pStyle w:val="521"/>
        <w:numPr>
          <w:ilvl w:val="2"/>
          <w:numId w:val="46"/>
        </w:numPr>
        <w:tabs>
          <w:tab w:val="clear" w:pos="0"/>
          <w:tab w:val="clear" w:pos="567"/>
        </w:tabs>
        <w:spacing w:before="156" w:after="156" w:line="240" w:lineRule="auto"/>
        <w:ind w:left="0" w:leftChars="0" w:firstLine="0" w:firstLineChars="0"/>
        <w:outlineLvl w:val="2"/>
        <w:rPr>
          <w:rFonts w:cs="黑体"/>
          <w:szCs w:val="21"/>
        </w:rPr>
      </w:pPr>
      <w:bookmarkStart w:id="92" w:name="_Toc5360"/>
      <w:bookmarkStart w:id="93" w:name="_Toc26410"/>
      <w:r>
        <w:rPr>
          <w:rFonts w:hint="eastAsia"/>
          <w:lang w:eastAsia="zh-CN"/>
        </w:rPr>
        <w:t>快速检测控制装置</w:t>
      </w:r>
      <w:bookmarkEnd w:id="92"/>
      <w:bookmarkEnd w:id="93"/>
    </w:p>
    <w:p>
      <w:pPr>
        <w:pStyle w:val="520"/>
        <w:numPr>
          <w:ilvl w:val="0"/>
          <w:numId w:val="0"/>
        </w:numPr>
        <w:tabs>
          <w:tab w:val="clear" w:pos="5955"/>
        </w:tabs>
        <w:spacing w:beforeLines="0" w:afterLines="0" w:line="240" w:lineRule="auto"/>
        <w:ind w:leftChars="0" w:firstLine="420" w:firstLineChars="200"/>
        <w:outlineLvl w:val="9"/>
        <w:rPr>
          <w:rFonts w:ascii="Times New Roman" w:hAnsi="宋体" w:eastAsia="宋体"/>
        </w:rPr>
      </w:pPr>
      <w:bookmarkStart w:id="94" w:name="_Toc31316"/>
      <w:bookmarkStart w:id="95" w:name="_Toc19754"/>
      <w:r>
        <w:rPr>
          <w:rFonts w:hint="eastAsia" w:ascii="Times New Roman" w:hAnsi="宋体" w:eastAsia="宋体"/>
        </w:rPr>
        <w:t xml:space="preserve">本条款是装置运行维护过程中应遵守的基本原则，其没有涉及的内容按照DL/T </w:t>
      </w:r>
      <w:r>
        <w:rPr>
          <w:rFonts w:ascii="Times New Roman" w:hAnsi="宋体" w:eastAsia="宋体"/>
        </w:rPr>
        <w:t>587</w:t>
      </w:r>
      <w:r>
        <w:rPr>
          <w:rFonts w:hint="eastAsia" w:ascii="Times New Roman" w:hAnsi="宋体" w:eastAsia="宋体"/>
        </w:rPr>
        <w:t>规定进行。</w:t>
      </w:r>
      <w:bookmarkEnd w:id="94"/>
      <w:bookmarkEnd w:id="95"/>
    </w:p>
    <w:p>
      <w:pPr>
        <w:pStyle w:val="518"/>
        <w:numPr>
          <w:ilvl w:val="5"/>
          <w:numId w:val="38"/>
        </w:numPr>
        <w:spacing w:line="240" w:lineRule="auto"/>
        <w:ind w:left="839" w:leftChars="0" w:hanging="419" w:firstLineChars="0"/>
      </w:pPr>
      <w:r>
        <w:rPr>
          <w:rFonts w:hint="eastAsia"/>
        </w:rPr>
        <w:t>运行状态：装置电源开启，检修压板退出，解列功能压板、自动恢复功能压板投入，至少有一个快速断路器出口压板投入；</w:t>
      </w:r>
    </w:p>
    <w:p>
      <w:pPr>
        <w:pStyle w:val="518"/>
        <w:numPr>
          <w:ilvl w:val="5"/>
          <w:numId w:val="38"/>
        </w:numPr>
        <w:spacing w:line="240" w:lineRule="auto"/>
        <w:ind w:left="839" w:leftChars="0" w:hanging="419" w:firstLineChars="0"/>
      </w:pPr>
      <w:r>
        <w:rPr>
          <w:rFonts w:hint="eastAsia"/>
        </w:rPr>
        <w:t>信号状态：装置电源开启，解列功能压板、自动恢复功能压板投入，全部快速断路器出口压板退出；</w:t>
      </w:r>
    </w:p>
    <w:p>
      <w:pPr>
        <w:pStyle w:val="518"/>
        <w:numPr>
          <w:ilvl w:val="5"/>
          <w:numId w:val="38"/>
        </w:numPr>
        <w:spacing w:line="240" w:lineRule="auto"/>
        <w:ind w:left="839" w:leftChars="0" w:hanging="419" w:firstLineChars="0"/>
      </w:pPr>
      <w:r>
        <w:rPr>
          <w:rFonts w:hint="eastAsia"/>
        </w:rPr>
        <w:t>退出状态：装置电源开启，解列功能压板、自动恢复功能压板退出，全部快速断路器出口压板退出</w:t>
      </w:r>
      <w:r>
        <w:rPr>
          <w:rFonts w:hint="eastAsia"/>
          <w:lang w:eastAsia="zh-CN"/>
        </w:rPr>
        <w:t>；</w:t>
      </w:r>
    </w:p>
    <w:p>
      <w:pPr>
        <w:pStyle w:val="520"/>
        <w:keepNext w:val="0"/>
        <w:keepLines w:val="0"/>
        <w:pageBreakBefore w:val="0"/>
        <w:widowControl w:val="0"/>
        <w:numPr>
          <w:ilvl w:val="0"/>
          <w:numId w:val="0"/>
        </w:numPr>
        <w:tabs>
          <w:tab w:val="clear" w:pos="5955"/>
        </w:tabs>
        <w:kinsoku/>
        <w:wordWrap/>
        <w:overflowPunct/>
        <w:topLinePunct w:val="0"/>
        <w:autoSpaceDE/>
        <w:autoSpaceDN/>
        <w:bidi w:val="0"/>
        <w:adjustRightInd/>
        <w:snapToGrid/>
        <w:spacing w:beforeLines="0" w:afterLines="0" w:line="240" w:lineRule="auto"/>
        <w:ind w:leftChars="200"/>
        <w:textAlignment w:val="auto"/>
        <w:outlineLvl w:val="9"/>
        <w:rPr>
          <w:rFonts w:ascii="Times New Roman" w:hAnsi="宋体" w:eastAsia="宋体"/>
        </w:rPr>
      </w:pPr>
      <w:bookmarkStart w:id="96" w:name="_Toc30578"/>
      <w:bookmarkStart w:id="97" w:name="_Toc26960"/>
      <w:r>
        <w:rPr>
          <w:rFonts w:hint="eastAsia" w:ascii="Times New Roman" w:hAnsi="宋体" w:eastAsia="宋体"/>
          <w:lang w:val="en-US" w:eastAsia="zh-CN"/>
        </w:rPr>
        <w:t xml:space="preserve">d） </w:t>
      </w:r>
      <w:r>
        <w:rPr>
          <w:rFonts w:hint="eastAsia" w:ascii="Times New Roman" w:hAnsi="宋体" w:eastAsia="宋体"/>
        </w:rPr>
        <w:t>快速断路器送电前，应检查装置处于正常运行状态，快速断路器状态变更前应按规定变更</w:t>
      </w:r>
      <w:bookmarkEnd w:id="96"/>
      <w:bookmarkEnd w:id="97"/>
      <w:r>
        <w:rPr>
          <w:rFonts w:hint="eastAsia" w:ascii="Times New Roman" w:hAnsi="宋体" w:eastAsia="宋体"/>
          <w:lang w:val="en-US" w:eastAsia="zh-CN"/>
        </w:rPr>
        <w:t xml:space="preserve"> </w:t>
      </w:r>
    </w:p>
    <w:p>
      <w:pPr>
        <w:pStyle w:val="520"/>
        <w:keepNext w:val="0"/>
        <w:keepLines w:val="0"/>
        <w:pageBreakBefore w:val="0"/>
        <w:widowControl w:val="0"/>
        <w:numPr>
          <w:ilvl w:val="0"/>
          <w:numId w:val="0"/>
        </w:numPr>
        <w:tabs>
          <w:tab w:val="clear" w:pos="5955"/>
        </w:tabs>
        <w:kinsoku/>
        <w:wordWrap/>
        <w:overflowPunct/>
        <w:topLinePunct w:val="0"/>
        <w:autoSpaceDE/>
        <w:autoSpaceDN/>
        <w:bidi w:val="0"/>
        <w:adjustRightInd/>
        <w:snapToGrid/>
        <w:spacing w:beforeLines="0" w:afterLines="0" w:line="240" w:lineRule="auto"/>
        <w:ind w:left="0" w:leftChars="0" w:firstLine="840" w:firstLineChars="400"/>
        <w:textAlignment w:val="auto"/>
        <w:outlineLvl w:val="9"/>
        <w:rPr>
          <w:rFonts w:ascii="Times New Roman" w:hAnsi="宋体" w:eastAsia="宋体"/>
        </w:rPr>
      </w:pPr>
      <w:bookmarkStart w:id="98" w:name="_Toc22312"/>
      <w:bookmarkStart w:id="99" w:name="_Toc11673"/>
      <w:r>
        <w:rPr>
          <w:rFonts w:hint="eastAsia" w:ascii="Times New Roman" w:hAnsi="宋体" w:eastAsia="宋体"/>
        </w:rPr>
        <w:t>装置的状态</w:t>
      </w:r>
      <w:r>
        <w:rPr>
          <w:rFonts w:hint="eastAsia" w:ascii="Times New Roman" w:hAnsi="宋体" w:eastAsia="宋体"/>
          <w:lang w:eastAsia="zh-CN"/>
        </w:rPr>
        <w:t>；</w:t>
      </w:r>
      <w:bookmarkEnd w:id="98"/>
      <w:bookmarkEnd w:id="99"/>
    </w:p>
    <w:p>
      <w:pPr>
        <w:pStyle w:val="520"/>
        <w:keepNext w:val="0"/>
        <w:keepLines w:val="0"/>
        <w:pageBreakBefore w:val="0"/>
        <w:widowControl w:val="0"/>
        <w:numPr>
          <w:ilvl w:val="0"/>
          <w:numId w:val="0"/>
        </w:numPr>
        <w:tabs>
          <w:tab w:val="clear" w:pos="5955"/>
        </w:tabs>
        <w:kinsoku/>
        <w:wordWrap/>
        <w:overflowPunct/>
        <w:topLinePunct w:val="0"/>
        <w:autoSpaceDE/>
        <w:autoSpaceDN/>
        <w:bidi w:val="0"/>
        <w:adjustRightInd/>
        <w:snapToGrid/>
        <w:spacing w:beforeLines="0" w:afterLines="0" w:line="240" w:lineRule="auto"/>
        <w:ind w:firstLine="420" w:firstLineChars="200"/>
        <w:textAlignment w:val="auto"/>
        <w:outlineLvl w:val="9"/>
        <w:rPr>
          <w:rFonts w:ascii="Times New Roman" w:hAnsi="宋体" w:eastAsia="宋体"/>
        </w:rPr>
      </w:pPr>
      <w:bookmarkStart w:id="100" w:name="_Toc22023"/>
      <w:bookmarkStart w:id="101" w:name="_Toc19709"/>
      <w:r>
        <w:rPr>
          <w:rFonts w:hint="eastAsia" w:ascii="Times New Roman" w:hAnsi="宋体" w:eastAsia="宋体"/>
          <w:lang w:val="en-US" w:eastAsia="zh-CN"/>
        </w:rPr>
        <w:t xml:space="preserve">e） </w:t>
      </w:r>
      <w:r>
        <w:rPr>
          <w:rFonts w:hint="eastAsia" w:ascii="Times New Roman" w:hAnsi="宋体" w:eastAsia="宋体"/>
        </w:rPr>
        <w:t>某一快速断路器退出运行时，宜退出装置中关于该快速断路器的状态信号和电流采样信号，</w:t>
      </w:r>
      <w:bookmarkEnd w:id="100"/>
      <w:bookmarkEnd w:id="101"/>
    </w:p>
    <w:p>
      <w:pPr>
        <w:pStyle w:val="520"/>
        <w:keepNext w:val="0"/>
        <w:keepLines w:val="0"/>
        <w:pageBreakBefore w:val="0"/>
        <w:widowControl w:val="0"/>
        <w:numPr>
          <w:ilvl w:val="0"/>
          <w:numId w:val="0"/>
        </w:numPr>
        <w:tabs>
          <w:tab w:val="clear" w:pos="5955"/>
        </w:tabs>
        <w:kinsoku/>
        <w:wordWrap/>
        <w:overflowPunct/>
        <w:topLinePunct w:val="0"/>
        <w:autoSpaceDE/>
        <w:autoSpaceDN/>
        <w:bidi w:val="0"/>
        <w:adjustRightInd/>
        <w:snapToGrid/>
        <w:spacing w:beforeLines="0" w:afterLines="0" w:line="240" w:lineRule="auto"/>
        <w:ind w:firstLine="840" w:firstLineChars="400"/>
        <w:textAlignment w:val="auto"/>
        <w:outlineLvl w:val="9"/>
        <w:rPr>
          <w:rFonts w:hint="eastAsia" w:ascii="Times New Roman" w:hAnsi="宋体" w:eastAsia="宋体"/>
        </w:rPr>
      </w:pPr>
      <w:bookmarkStart w:id="102" w:name="_Toc18116"/>
      <w:bookmarkStart w:id="103" w:name="_Toc21969"/>
      <w:r>
        <w:rPr>
          <w:rFonts w:hint="eastAsia" w:ascii="Times New Roman" w:hAnsi="宋体" w:eastAsia="宋体"/>
        </w:rPr>
        <w:t>并退出该快速断路器的出口压板，使装置能够仍然保持在运行状态。该快速断路器重新投入运</w:t>
      </w:r>
      <w:bookmarkEnd w:id="102"/>
      <w:bookmarkEnd w:id="103"/>
    </w:p>
    <w:p>
      <w:pPr>
        <w:pStyle w:val="520"/>
        <w:keepNext w:val="0"/>
        <w:keepLines w:val="0"/>
        <w:pageBreakBefore w:val="0"/>
        <w:widowControl w:val="0"/>
        <w:numPr>
          <w:ilvl w:val="0"/>
          <w:numId w:val="0"/>
        </w:numPr>
        <w:tabs>
          <w:tab w:val="clear" w:pos="5955"/>
        </w:tabs>
        <w:kinsoku/>
        <w:wordWrap/>
        <w:overflowPunct/>
        <w:topLinePunct w:val="0"/>
        <w:autoSpaceDE/>
        <w:autoSpaceDN/>
        <w:bidi w:val="0"/>
        <w:adjustRightInd/>
        <w:snapToGrid/>
        <w:spacing w:beforeLines="0" w:afterLines="0" w:line="240" w:lineRule="auto"/>
        <w:ind w:firstLine="840" w:firstLineChars="400"/>
        <w:textAlignment w:val="auto"/>
        <w:outlineLvl w:val="9"/>
        <w:rPr>
          <w:rFonts w:ascii="Times New Roman" w:hAnsi="宋体" w:eastAsia="宋体"/>
        </w:rPr>
      </w:pPr>
      <w:bookmarkStart w:id="104" w:name="_Toc15241"/>
      <w:bookmarkStart w:id="105" w:name="_Toc7662"/>
      <w:r>
        <w:rPr>
          <w:rFonts w:hint="eastAsia" w:ascii="Times New Roman" w:hAnsi="宋体" w:eastAsia="宋体"/>
        </w:rPr>
        <w:t>行时，恢复装置相关操作</w:t>
      </w:r>
      <w:r>
        <w:rPr>
          <w:rFonts w:hint="eastAsia" w:ascii="Times New Roman" w:hAnsi="宋体" w:eastAsia="宋体"/>
          <w:lang w:eastAsia="zh-CN"/>
        </w:rPr>
        <w:t>；</w:t>
      </w:r>
      <w:bookmarkEnd w:id="104"/>
      <w:bookmarkEnd w:id="105"/>
    </w:p>
    <w:p>
      <w:pPr>
        <w:pStyle w:val="520"/>
        <w:keepNext w:val="0"/>
        <w:keepLines w:val="0"/>
        <w:pageBreakBefore w:val="0"/>
        <w:widowControl w:val="0"/>
        <w:numPr>
          <w:ilvl w:val="0"/>
          <w:numId w:val="0"/>
        </w:numPr>
        <w:tabs>
          <w:tab w:val="clear" w:pos="5955"/>
        </w:tabs>
        <w:kinsoku/>
        <w:wordWrap/>
        <w:overflowPunct/>
        <w:topLinePunct w:val="0"/>
        <w:autoSpaceDE/>
        <w:autoSpaceDN/>
        <w:bidi w:val="0"/>
        <w:adjustRightInd/>
        <w:snapToGrid/>
        <w:spacing w:beforeLines="0" w:afterLines="0" w:line="240" w:lineRule="auto"/>
        <w:ind w:firstLine="420" w:firstLineChars="200"/>
        <w:textAlignment w:val="auto"/>
        <w:outlineLvl w:val="9"/>
        <w:rPr>
          <w:rFonts w:hint="eastAsia" w:ascii="Times New Roman" w:hAnsi="宋体" w:eastAsia="宋体"/>
        </w:rPr>
      </w:pPr>
      <w:bookmarkStart w:id="106" w:name="_Toc14618"/>
      <w:bookmarkStart w:id="107" w:name="_Toc31003"/>
      <w:r>
        <w:rPr>
          <w:rFonts w:hint="eastAsia" w:ascii="Times New Roman" w:hAnsi="宋体" w:eastAsia="宋体"/>
          <w:lang w:val="en-US" w:eastAsia="zh-CN"/>
        </w:rPr>
        <w:t xml:space="preserve">f） </w:t>
      </w:r>
      <w:r>
        <w:rPr>
          <w:rFonts w:hint="eastAsia" w:ascii="Times New Roman" w:hAnsi="宋体" w:eastAsia="宋体"/>
        </w:rPr>
        <w:t>装置电流、电压、开关量输入回路或装置内作业前，应向调度申请将该装置退出，恢复</w:t>
      </w:r>
      <w:bookmarkEnd w:id="106"/>
      <w:bookmarkEnd w:id="107"/>
    </w:p>
    <w:p>
      <w:pPr>
        <w:pStyle w:val="520"/>
        <w:keepNext w:val="0"/>
        <w:keepLines w:val="0"/>
        <w:pageBreakBefore w:val="0"/>
        <w:widowControl w:val="0"/>
        <w:numPr>
          <w:ilvl w:val="0"/>
          <w:numId w:val="0"/>
        </w:numPr>
        <w:tabs>
          <w:tab w:val="clear" w:pos="5955"/>
        </w:tabs>
        <w:kinsoku/>
        <w:wordWrap/>
        <w:overflowPunct/>
        <w:topLinePunct w:val="0"/>
        <w:autoSpaceDE/>
        <w:autoSpaceDN/>
        <w:bidi w:val="0"/>
        <w:adjustRightInd/>
        <w:snapToGrid/>
        <w:spacing w:beforeLines="0" w:afterLines="0" w:line="240" w:lineRule="auto"/>
        <w:ind w:leftChars="200" w:firstLine="420" w:firstLineChars="200"/>
        <w:textAlignment w:val="auto"/>
        <w:outlineLvl w:val="9"/>
        <w:rPr>
          <w:rFonts w:hint="eastAsia" w:ascii="Times New Roman" w:hAnsi="宋体" w:eastAsia="宋体"/>
        </w:rPr>
      </w:pPr>
      <w:bookmarkStart w:id="108" w:name="_Toc28475"/>
      <w:bookmarkStart w:id="109" w:name="_Toc26168"/>
      <w:r>
        <w:rPr>
          <w:rFonts w:hint="eastAsia" w:ascii="Times New Roman" w:hAnsi="宋体" w:eastAsia="宋体"/>
        </w:rPr>
        <w:t>时，运行人员在检查各部分正确无误后，恢复装置状态</w:t>
      </w:r>
      <w:r>
        <w:rPr>
          <w:rFonts w:hint="eastAsia" w:ascii="Times New Roman" w:hAnsi="宋体" w:eastAsia="宋体"/>
          <w:lang w:eastAsia="zh-CN"/>
        </w:rPr>
        <w:t>；</w:t>
      </w:r>
      <w:bookmarkEnd w:id="108"/>
      <w:bookmarkEnd w:id="109"/>
    </w:p>
    <w:p>
      <w:pPr>
        <w:pStyle w:val="520"/>
        <w:keepNext w:val="0"/>
        <w:keepLines w:val="0"/>
        <w:pageBreakBefore w:val="0"/>
        <w:widowControl w:val="0"/>
        <w:numPr>
          <w:ilvl w:val="0"/>
          <w:numId w:val="0"/>
        </w:numPr>
        <w:tabs>
          <w:tab w:val="clear" w:pos="5955"/>
        </w:tabs>
        <w:kinsoku/>
        <w:wordWrap/>
        <w:overflowPunct/>
        <w:topLinePunct w:val="0"/>
        <w:autoSpaceDE/>
        <w:autoSpaceDN/>
        <w:bidi w:val="0"/>
        <w:adjustRightInd/>
        <w:snapToGrid/>
        <w:spacing w:beforeLines="0" w:afterLines="0" w:line="240" w:lineRule="auto"/>
        <w:ind w:leftChars="200"/>
        <w:textAlignment w:val="auto"/>
        <w:outlineLvl w:val="9"/>
        <w:rPr>
          <w:rFonts w:ascii="Times New Roman" w:hAnsi="宋体" w:eastAsia="宋体"/>
        </w:rPr>
      </w:pPr>
      <w:bookmarkStart w:id="110" w:name="_Toc20308"/>
      <w:bookmarkStart w:id="111" w:name="_Toc283"/>
      <w:r>
        <w:rPr>
          <w:rFonts w:hint="eastAsia" w:ascii="Times New Roman" w:hAnsi="宋体" w:eastAsia="宋体"/>
          <w:lang w:val="en-US" w:eastAsia="zh-CN"/>
        </w:rPr>
        <w:t xml:space="preserve">g） </w:t>
      </w:r>
      <w:r>
        <w:rPr>
          <w:rFonts w:hint="eastAsia" w:ascii="Times New Roman" w:hAnsi="宋体" w:eastAsia="宋体"/>
        </w:rPr>
        <w:t>装置动作（解列或自动恢复）后，运行值班人员应按要求做好记录并将动作情况向主管调</w:t>
      </w:r>
      <w:bookmarkEnd w:id="110"/>
      <w:bookmarkEnd w:id="111"/>
    </w:p>
    <w:p>
      <w:pPr>
        <w:pStyle w:val="520"/>
        <w:keepNext w:val="0"/>
        <w:keepLines w:val="0"/>
        <w:pageBreakBefore w:val="0"/>
        <w:widowControl w:val="0"/>
        <w:numPr>
          <w:ilvl w:val="0"/>
          <w:numId w:val="0"/>
        </w:numPr>
        <w:tabs>
          <w:tab w:val="clear" w:pos="5955"/>
        </w:tabs>
        <w:kinsoku/>
        <w:wordWrap/>
        <w:overflowPunct/>
        <w:topLinePunct w:val="0"/>
        <w:autoSpaceDE/>
        <w:autoSpaceDN/>
        <w:bidi w:val="0"/>
        <w:adjustRightInd/>
        <w:snapToGrid/>
        <w:spacing w:beforeLines="0" w:afterLines="0" w:line="240" w:lineRule="auto"/>
        <w:ind w:left="840" w:leftChars="400" w:firstLine="0" w:firstLineChars="0"/>
        <w:textAlignment w:val="auto"/>
        <w:outlineLvl w:val="9"/>
        <w:rPr>
          <w:rFonts w:ascii="Times New Roman" w:hAnsi="宋体" w:eastAsia="宋体"/>
        </w:rPr>
      </w:pPr>
      <w:bookmarkStart w:id="112" w:name="_Toc20142"/>
      <w:bookmarkStart w:id="113" w:name="_Toc6990"/>
      <w:r>
        <w:rPr>
          <w:rFonts w:hint="eastAsia" w:ascii="Times New Roman" w:hAnsi="宋体" w:eastAsia="宋体"/>
        </w:rPr>
        <w:t>度汇报，及时通知继电保护人员，继电保护人员应通过故障录波、动作报文等信息分析限流系统和相关保护的动作逻辑、动作时序是否正确并评估限流效果</w:t>
      </w:r>
      <w:r>
        <w:rPr>
          <w:rFonts w:hint="eastAsia" w:ascii="Times New Roman" w:hAnsi="宋体" w:eastAsia="宋体"/>
          <w:lang w:eastAsia="zh-CN"/>
        </w:rPr>
        <w:t>；</w:t>
      </w:r>
      <w:bookmarkEnd w:id="112"/>
      <w:bookmarkEnd w:id="113"/>
    </w:p>
    <w:p>
      <w:pPr>
        <w:pStyle w:val="520"/>
        <w:keepNext w:val="0"/>
        <w:keepLines w:val="0"/>
        <w:pageBreakBefore w:val="0"/>
        <w:widowControl w:val="0"/>
        <w:numPr>
          <w:ilvl w:val="0"/>
          <w:numId w:val="0"/>
        </w:numPr>
        <w:tabs>
          <w:tab w:val="clear" w:pos="5955"/>
        </w:tabs>
        <w:kinsoku/>
        <w:wordWrap/>
        <w:overflowPunct/>
        <w:topLinePunct w:val="0"/>
        <w:autoSpaceDE/>
        <w:autoSpaceDN/>
        <w:bidi w:val="0"/>
        <w:adjustRightInd/>
        <w:snapToGrid/>
        <w:spacing w:beforeLines="0" w:afterLines="0" w:line="240" w:lineRule="auto"/>
        <w:ind w:leftChars="200"/>
        <w:textAlignment w:val="auto"/>
        <w:outlineLvl w:val="9"/>
        <w:rPr>
          <w:rFonts w:ascii="Times New Roman" w:hAnsi="宋体" w:eastAsia="宋体"/>
        </w:rPr>
      </w:pPr>
      <w:bookmarkStart w:id="114" w:name="_Toc15476"/>
      <w:bookmarkStart w:id="115" w:name="_Toc6019"/>
      <w:r>
        <w:rPr>
          <w:rFonts w:hint="eastAsia" w:ascii="Times New Roman" w:hAnsi="宋体" w:eastAsia="宋体"/>
          <w:lang w:val="en-US" w:eastAsia="zh-CN"/>
        </w:rPr>
        <w:t xml:space="preserve">h） </w:t>
      </w:r>
      <w:r>
        <w:rPr>
          <w:rFonts w:hint="eastAsia" w:ascii="Times New Roman" w:hAnsi="宋体" w:eastAsia="宋体"/>
        </w:rPr>
        <w:t>装置出现异常时，运行值班人员应根据装置的现场运行规程进行处理，并立即向主管调度</w:t>
      </w:r>
      <w:bookmarkEnd w:id="114"/>
      <w:bookmarkEnd w:id="115"/>
    </w:p>
    <w:p>
      <w:pPr>
        <w:pStyle w:val="520"/>
        <w:keepNext w:val="0"/>
        <w:keepLines w:val="0"/>
        <w:pageBreakBefore w:val="0"/>
        <w:widowControl w:val="0"/>
        <w:numPr>
          <w:ilvl w:val="0"/>
          <w:numId w:val="0"/>
        </w:numPr>
        <w:tabs>
          <w:tab w:val="clear" w:pos="5955"/>
        </w:tabs>
        <w:kinsoku/>
        <w:wordWrap/>
        <w:overflowPunct/>
        <w:topLinePunct w:val="0"/>
        <w:autoSpaceDE/>
        <w:autoSpaceDN/>
        <w:bidi w:val="0"/>
        <w:adjustRightInd/>
        <w:snapToGrid/>
        <w:spacing w:beforeLines="0" w:afterLines="0" w:line="240" w:lineRule="auto"/>
        <w:ind w:leftChars="200" w:firstLine="420" w:firstLineChars="200"/>
        <w:textAlignment w:val="auto"/>
        <w:outlineLvl w:val="9"/>
        <w:rPr>
          <w:rFonts w:ascii="Times New Roman" w:hAnsi="宋体" w:eastAsia="宋体"/>
        </w:rPr>
      </w:pPr>
      <w:bookmarkStart w:id="116" w:name="_Toc21419"/>
      <w:bookmarkStart w:id="117" w:name="_Toc7186"/>
      <w:r>
        <w:rPr>
          <w:rFonts w:hint="eastAsia" w:ascii="Times New Roman" w:hAnsi="宋体" w:eastAsia="宋体"/>
        </w:rPr>
        <w:t>汇报，及时通知继电保护人员。异常情况包括但不限于：</w:t>
      </w:r>
      <w:bookmarkEnd w:id="116"/>
      <w:bookmarkEnd w:id="117"/>
    </w:p>
    <w:p>
      <w:pPr>
        <w:pStyle w:val="518"/>
        <w:numPr>
          <w:ilvl w:val="0"/>
          <w:numId w:val="0"/>
        </w:numPr>
        <w:tabs>
          <w:tab w:val="left" w:pos="839"/>
        </w:tabs>
        <w:spacing w:line="240" w:lineRule="auto"/>
        <w:ind w:left="420" w:leftChars="0" w:firstLine="420" w:firstLineChars="200"/>
        <w:rPr>
          <w:rFonts w:hAnsi="宋体"/>
        </w:rPr>
      </w:pPr>
      <w:r>
        <w:rPr>
          <w:rFonts w:hint="eastAsia" w:hAnsi="宋体"/>
        </w:rPr>
        <w:t>闭锁，即装置运行灯熄灭，此时通常是由于软硬件严重错误引起的故障，应停机检修；</w:t>
      </w:r>
    </w:p>
    <w:p>
      <w:pPr>
        <w:pStyle w:val="518"/>
        <w:numPr>
          <w:ilvl w:val="0"/>
          <w:numId w:val="0"/>
        </w:numPr>
        <w:tabs>
          <w:tab w:val="left" w:pos="839"/>
        </w:tabs>
        <w:spacing w:line="240" w:lineRule="auto"/>
        <w:ind w:left="840" w:leftChars="400" w:firstLine="0" w:firstLineChars="0"/>
        <w:rPr>
          <w:rFonts w:hAnsi="宋体"/>
        </w:rPr>
      </w:pPr>
      <w:r>
        <w:rPr>
          <w:rFonts w:hint="eastAsia" w:hAnsi="宋体"/>
        </w:rPr>
        <w:t>告警，即装置告警灯点亮，包括P</w:t>
      </w:r>
      <w:r>
        <w:rPr>
          <w:rFonts w:hAnsi="宋体"/>
        </w:rPr>
        <w:t>T</w:t>
      </w:r>
      <w:r>
        <w:rPr>
          <w:rFonts w:hint="eastAsia" w:hAnsi="宋体"/>
        </w:rPr>
        <w:t>断线、C</w:t>
      </w:r>
      <w:r>
        <w:rPr>
          <w:rFonts w:hAnsi="宋体"/>
        </w:rPr>
        <w:t>T</w:t>
      </w:r>
      <w:r>
        <w:rPr>
          <w:rFonts w:hint="eastAsia" w:hAnsi="宋体"/>
        </w:rPr>
        <w:t>断线、快速断路器本体异常以及装置自身的异常等，此时应根据异常信号定义进行针对性检查</w:t>
      </w:r>
      <w:r>
        <w:rPr>
          <w:rFonts w:hint="eastAsia" w:hAnsi="宋体"/>
          <w:lang w:eastAsia="zh-CN"/>
        </w:rPr>
        <w:t>；</w:t>
      </w:r>
    </w:p>
    <w:p>
      <w:pPr>
        <w:pStyle w:val="521"/>
        <w:keepNext w:val="0"/>
        <w:keepLines w:val="0"/>
        <w:pageBreakBefore w:val="0"/>
        <w:widowControl w:val="0"/>
        <w:numPr>
          <w:ilvl w:val="0"/>
          <w:numId w:val="47"/>
        </w:numPr>
        <w:tabs>
          <w:tab w:val="clear" w:pos="567"/>
        </w:tabs>
        <w:kinsoku/>
        <w:wordWrap/>
        <w:overflowPunct/>
        <w:topLinePunct w:val="0"/>
        <w:autoSpaceDE/>
        <w:autoSpaceDN/>
        <w:bidi w:val="0"/>
        <w:adjustRightInd w:val="0"/>
        <w:snapToGrid w:val="0"/>
        <w:spacing w:beforeLines="0" w:afterLines="0" w:line="240" w:lineRule="auto"/>
        <w:ind w:leftChars="200"/>
        <w:textAlignment w:val="auto"/>
        <w:outlineLvl w:val="9"/>
        <w:rPr>
          <w:rFonts w:hint="eastAsia"/>
        </w:rPr>
      </w:pPr>
      <w:bookmarkStart w:id="118" w:name="_Toc22858"/>
      <w:bookmarkStart w:id="119" w:name="_Toc15643"/>
      <w:r>
        <w:rPr>
          <w:rFonts w:hint="eastAsia" w:ascii="Times New Roman" w:hAnsi="宋体" w:eastAsia="宋体"/>
        </w:rPr>
        <w:t>装置端和快速断路器端均应设置光纤通道监视手段，当上行通道或者下行通道异常告警时，</w:t>
      </w:r>
      <w:bookmarkEnd w:id="118"/>
      <w:bookmarkEnd w:id="119"/>
    </w:p>
    <w:p>
      <w:pPr>
        <w:pStyle w:val="521"/>
        <w:keepNext w:val="0"/>
        <w:keepLines w:val="0"/>
        <w:pageBreakBefore w:val="0"/>
        <w:widowControl w:val="0"/>
        <w:numPr>
          <w:ilvl w:val="0"/>
          <w:numId w:val="0"/>
        </w:numPr>
        <w:tabs>
          <w:tab w:val="clear" w:pos="567"/>
        </w:tabs>
        <w:kinsoku/>
        <w:wordWrap/>
        <w:overflowPunct/>
        <w:topLinePunct w:val="0"/>
        <w:autoSpaceDE/>
        <w:autoSpaceDN/>
        <w:bidi w:val="0"/>
        <w:adjustRightInd/>
        <w:snapToGrid/>
        <w:spacing w:beforeLines="0" w:afterLines="0" w:line="240" w:lineRule="auto"/>
        <w:ind w:firstLine="840" w:firstLineChars="400"/>
        <w:textAlignment w:val="auto"/>
        <w:outlineLvl w:val="9"/>
        <w:rPr>
          <w:rFonts w:hint="eastAsia" w:ascii="Times New Roman" w:hAnsi="宋体" w:eastAsia="宋体"/>
        </w:rPr>
      </w:pPr>
      <w:bookmarkStart w:id="120" w:name="_Toc29912"/>
      <w:bookmarkStart w:id="121" w:name="_Toc10820"/>
      <w:r>
        <w:rPr>
          <w:rFonts w:hint="eastAsia" w:ascii="Times New Roman" w:hAnsi="宋体" w:eastAsia="宋体"/>
        </w:rPr>
        <w:t>继电保护人员和一次设备维护人员应共同查找原因，及时消除缺陷。</w:t>
      </w:r>
      <w:bookmarkEnd w:id="120"/>
      <w:bookmarkEnd w:id="121"/>
    </w:p>
    <w:p>
      <w:pPr>
        <w:pStyle w:val="521"/>
        <w:numPr>
          <w:ilvl w:val="2"/>
          <w:numId w:val="48"/>
        </w:numPr>
        <w:tabs>
          <w:tab w:val="clear" w:pos="0"/>
          <w:tab w:val="clear" w:pos="567"/>
        </w:tabs>
        <w:spacing w:before="156" w:after="156" w:line="240" w:lineRule="auto"/>
        <w:ind w:left="0" w:leftChars="0" w:firstLine="0" w:firstLineChars="0"/>
        <w:outlineLvl w:val="2"/>
        <w:rPr>
          <w:rFonts w:hint="eastAsia"/>
          <w:lang w:eastAsia="zh-CN"/>
        </w:rPr>
      </w:pPr>
      <w:bookmarkStart w:id="122" w:name="_Toc19678"/>
      <w:bookmarkStart w:id="123" w:name="_Toc551"/>
      <w:r>
        <w:rPr>
          <w:rFonts w:hint="eastAsia"/>
          <w:lang w:eastAsia="zh-CN"/>
        </w:rPr>
        <w:t>全冗余智能快速断路器</w:t>
      </w:r>
      <w:bookmarkEnd w:id="122"/>
      <w:bookmarkEnd w:id="123"/>
    </w:p>
    <w:p>
      <w:pPr>
        <w:pStyle w:val="258"/>
        <w:numPr>
          <w:ilvl w:val="0"/>
          <w:numId w:val="49"/>
        </w:numPr>
        <w:autoSpaceDE w:val="0"/>
        <w:autoSpaceDN w:val="0"/>
        <w:ind w:firstLineChars="0"/>
        <w:rPr>
          <w:rFonts w:hint="eastAsia" w:ascii="Times New Roman"/>
        </w:rPr>
      </w:pPr>
      <w:bookmarkStart w:id="124" w:name="_Toc7097"/>
      <w:r>
        <w:rPr>
          <w:rFonts w:hint="eastAsia" w:ascii="Times New Roman"/>
          <w:lang w:val="en-US" w:eastAsia="zh-CN"/>
        </w:rPr>
        <w:t>巡视包括快速断路器外观检查和机构状态检查，巡视基准周期为3个月，其中外观检查要求</w:t>
      </w:r>
      <w:r>
        <w:rPr>
          <w:rFonts w:hint="default"/>
          <w:spacing w:val="-2"/>
          <w:sz w:val="21"/>
          <w:szCs w:val="21"/>
        </w:rPr>
        <w:t>声音无异常</w:t>
      </w:r>
      <w:r>
        <w:rPr>
          <w:rFonts w:hint="eastAsia"/>
          <w:spacing w:val="-2"/>
          <w:sz w:val="21"/>
          <w:szCs w:val="21"/>
          <w:lang w:eastAsia="zh-CN"/>
        </w:rPr>
        <w:t>，</w:t>
      </w:r>
      <w:r>
        <w:rPr>
          <w:rFonts w:hint="default"/>
          <w:spacing w:val="-2"/>
          <w:sz w:val="21"/>
          <w:szCs w:val="21"/>
        </w:rPr>
        <w:t>高压引线、接地线连接正常</w:t>
      </w:r>
      <w:r>
        <w:rPr>
          <w:rFonts w:hint="eastAsia"/>
          <w:spacing w:val="-2"/>
          <w:sz w:val="21"/>
          <w:szCs w:val="21"/>
          <w:lang w:eastAsia="zh-CN"/>
        </w:rPr>
        <w:t>，</w:t>
      </w:r>
      <w:r>
        <w:rPr>
          <w:rFonts w:hint="default"/>
          <w:spacing w:val="-2"/>
          <w:sz w:val="21"/>
          <w:szCs w:val="21"/>
        </w:rPr>
        <w:t>套管外绝缘无破损、无异物附着</w:t>
      </w:r>
      <w:r>
        <w:rPr>
          <w:rFonts w:hint="eastAsia"/>
          <w:spacing w:val="-2"/>
          <w:sz w:val="21"/>
          <w:szCs w:val="21"/>
          <w:lang w:eastAsia="zh-CN"/>
        </w:rPr>
        <w:t>；</w:t>
      </w:r>
      <w:r>
        <w:rPr>
          <w:rFonts w:hint="eastAsia"/>
          <w:spacing w:val="-2"/>
          <w:sz w:val="21"/>
          <w:szCs w:val="21"/>
          <w:lang w:val="en-US" w:eastAsia="zh-CN"/>
        </w:rPr>
        <w:t>机构状态检查要求气压、油压正常，机构分合闸位置显示正确，记录快速断路器分合闸次数；</w:t>
      </w:r>
    </w:p>
    <w:p>
      <w:pPr>
        <w:pStyle w:val="258"/>
        <w:numPr>
          <w:ilvl w:val="0"/>
          <w:numId w:val="49"/>
        </w:numPr>
        <w:autoSpaceDE w:val="0"/>
        <w:autoSpaceDN w:val="0"/>
        <w:ind w:firstLineChars="0"/>
        <w:rPr>
          <w:rFonts w:hint="eastAsia" w:ascii="Times New Roman"/>
        </w:rPr>
      </w:pPr>
      <w:r>
        <w:rPr>
          <w:rFonts w:hint="eastAsia"/>
          <w:lang w:val="en-US" w:eastAsia="zh-CN"/>
        </w:rPr>
        <w:t>重点特巡液压机构及电磁斥力脱扣器，巡视基准周期为</w:t>
      </w:r>
      <w:r>
        <w:rPr>
          <w:rFonts w:hint="default" w:ascii="Times New Roman" w:cs="Times New Roman"/>
          <w:lang w:val="en-US" w:eastAsia="zh-CN"/>
        </w:rPr>
        <w:t>3个</w:t>
      </w:r>
      <w:r>
        <w:rPr>
          <w:rFonts w:hint="eastAsia"/>
          <w:lang w:val="en-US" w:eastAsia="zh-CN"/>
        </w:rPr>
        <w:t>月，其中</w:t>
      </w:r>
      <w:r>
        <w:rPr>
          <w:rFonts w:hint="eastAsia"/>
        </w:rPr>
        <w:t>液压操动机构</w:t>
      </w:r>
      <w:r>
        <w:rPr>
          <w:rFonts w:hint="eastAsia"/>
          <w:lang w:val="en-US" w:eastAsia="zh-CN"/>
        </w:rPr>
        <w:t>应确保</w:t>
      </w:r>
      <w:r>
        <w:rPr>
          <w:rFonts w:hint="eastAsia"/>
        </w:rPr>
        <w:t>油位正常，无渗漏，油泵及各储压元件无锈蚀</w:t>
      </w:r>
      <w:r>
        <w:rPr>
          <w:rFonts w:hint="eastAsia"/>
          <w:lang w:eastAsia="zh-CN"/>
        </w:rPr>
        <w:t>，</w:t>
      </w:r>
      <w:r>
        <w:rPr>
          <w:rFonts w:hint="eastAsia"/>
          <w:lang w:val="en-US" w:eastAsia="zh-CN"/>
        </w:rPr>
        <w:t>电磁斥力脱扣器本体无锈蚀卡滞，储能电容供能正常；</w:t>
      </w:r>
    </w:p>
    <w:p>
      <w:pPr>
        <w:pStyle w:val="258"/>
        <w:numPr>
          <w:ilvl w:val="0"/>
          <w:numId w:val="49"/>
        </w:numPr>
        <w:autoSpaceDE w:val="0"/>
        <w:autoSpaceDN w:val="0"/>
        <w:ind w:firstLineChars="0"/>
        <w:rPr>
          <w:rFonts w:hint="eastAsia" w:ascii="Times New Roman"/>
        </w:rPr>
      </w:pPr>
      <w:r>
        <w:rPr>
          <w:rFonts w:hint="eastAsia" w:ascii="Times New Roman"/>
        </w:rPr>
        <w:t>端子排无锈蚀、裂纹、放电痕迹</w:t>
      </w:r>
      <w:r>
        <w:rPr>
          <w:rFonts w:hint="eastAsia" w:ascii="Times New Roman"/>
          <w:lang w:eastAsia="zh-CN"/>
        </w:rPr>
        <w:t>，</w:t>
      </w:r>
      <w:r>
        <w:rPr>
          <w:rFonts w:hint="eastAsia" w:ascii="Times New Roman"/>
        </w:rPr>
        <w:t>二次接线无松动、脱落，绝缘无破损、老化现象</w:t>
      </w:r>
      <w:r>
        <w:rPr>
          <w:rFonts w:hint="eastAsia" w:ascii="Times New Roman"/>
          <w:lang w:eastAsia="zh-CN"/>
        </w:rPr>
        <w:t>，</w:t>
      </w:r>
      <w:r>
        <w:rPr>
          <w:rFonts w:hint="eastAsia" w:ascii="Times New Roman"/>
        </w:rPr>
        <w:t>备用芯绝缘护套完备</w:t>
      </w:r>
      <w:r>
        <w:rPr>
          <w:rFonts w:hint="eastAsia" w:ascii="Times New Roman"/>
          <w:lang w:eastAsia="zh-CN"/>
        </w:rPr>
        <w:t>，</w:t>
      </w:r>
      <w:r>
        <w:rPr>
          <w:rFonts w:hint="eastAsia" w:ascii="Times New Roman"/>
        </w:rPr>
        <w:t>电缆孔洞封堵完好</w:t>
      </w:r>
      <w:r>
        <w:rPr>
          <w:rFonts w:hint="eastAsia" w:ascii="Times New Roman"/>
          <w:lang w:eastAsia="zh-CN"/>
        </w:rPr>
        <w:t>；</w:t>
      </w:r>
    </w:p>
    <w:p>
      <w:pPr>
        <w:pStyle w:val="258"/>
        <w:numPr>
          <w:ilvl w:val="0"/>
          <w:numId w:val="49"/>
        </w:numPr>
        <w:autoSpaceDE w:val="0"/>
        <w:autoSpaceDN w:val="0"/>
        <w:ind w:firstLineChars="0"/>
        <w:rPr>
          <w:rFonts w:hint="eastAsia" w:ascii="Times New Roman"/>
        </w:rPr>
      </w:pPr>
      <w:r>
        <w:rPr>
          <w:rFonts w:hint="eastAsia"/>
          <w:spacing w:val="-2"/>
          <w:sz w:val="21"/>
          <w:szCs w:val="21"/>
          <w:lang w:val="en-US" w:eastAsia="zh-CN"/>
        </w:rPr>
        <w:t>应加强红外热成像测温，检测周期为半年，</w:t>
      </w:r>
      <w:r>
        <w:rPr>
          <w:rFonts w:hint="default"/>
          <w:spacing w:val="-2"/>
          <w:sz w:val="21"/>
          <w:szCs w:val="21"/>
        </w:rPr>
        <w:t>检测各单元及进、出线电气连接处，红外热像图显示应无异常温升、温差和/或相对温差。分析时，应该考虑测量时及前3小时负荷电流的变化情况</w:t>
      </w:r>
      <w:r>
        <w:rPr>
          <w:rFonts w:hint="eastAsia"/>
          <w:spacing w:val="-2"/>
          <w:sz w:val="21"/>
          <w:szCs w:val="21"/>
          <w:lang w:eastAsia="zh-CN"/>
        </w:rPr>
        <w:t>，</w:t>
      </w:r>
      <w:r>
        <w:rPr>
          <w:rFonts w:hint="default"/>
          <w:spacing w:val="-2"/>
          <w:sz w:val="21"/>
          <w:szCs w:val="21"/>
        </w:rPr>
        <w:t>测量和分析方法参考</w:t>
      </w:r>
      <w:r>
        <w:rPr>
          <w:rFonts w:hint="eastAsia"/>
          <w:spacing w:val="-2"/>
          <w:sz w:val="21"/>
          <w:szCs w:val="21"/>
          <w:lang w:val="en-US" w:eastAsia="zh-CN"/>
        </w:rPr>
        <w:t>行标</w:t>
      </w:r>
      <w:r>
        <w:rPr>
          <w:rFonts w:hint="default"/>
          <w:spacing w:val="-2"/>
          <w:sz w:val="21"/>
          <w:szCs w:val="21"/>
        </w:rPr>
        <w:t>DL/T 664</w:t>
      </w:r>
      <w:r>
        <w:rPr>
          <w:rFonts w:hint="eastAsia"/>
          <w:spacing w:val="-2"/>
          <w:sz w:val="21"/>
          <w:szCs w:val="21"/>
          <w:lang w:eastAsia="zh-CN"/>
        </w:rPr>
        <w:t>；</w:t>
      </w:r>
    </w:p>
    <w:p>
      <w:pPr>
        <w:pStyle w:val="258"/>
        <w:numPr>
          <w:ilvl w:val="0"/>
          <w:numId w:val="49"/>
        </w:numPr>
        <w:autoSpaceDE w:val="0"/>
        <w:autoSpaceDN w:val="0"/>
        <w:ind w:firstLineChars="0"/>
        <w:rPr>
          <w:rFonts w:hint="eastAsia" w:ascii="Times New Roman"/>
          <w:lang w:val="en-US" w:eastAsia="zh-CN"/>
        </w:rPr>
      </w:pPr>
      <w:r>
        <w:rPr>
          <w:rFonts w:hint="eastAsia" w:ascii="Times New Roman"/>
          <w:lang w:val="en-US" w:eastAsia="zh-CN"/>
        </w:rPr>
        <w:t>测量快速断路器主回路电阻，测量周期为3年，与交接试验值差应小于30%，自上次试验之后进行100次以上分、合闸操作，也应进行本项目；</w:t>
      </w:r>
    </w:p>
    <w:p>
      <w:pPr>
        <w:pStyle w:val="258"/>
        <w:numPr>
          <w:ilvl w:val="0"/>
          <w:numId w:val="49"/>
        </w:numPr>
        <w:autoSpaceDE w:val="0"/>
        <w:autoSpaceDN w:val="0"/>
        <w:ind w:firstLineChars="0"/>
        <w:rPr>
          <w:rFonts w:hint="eastAsia" w:ascii="Times New Roman"/>
        </w:rPr>
      </w:pPr>
      <w:r>
        <w:rPr>
          <w:rFonts w:hint="eastAsia" w:ascii="Times New Roman"/>
          <w:lang w:val="en-US" w:eastAsia="zh-CN"/>
        </w:rPr>
        <w:t>如配置了特高频局部放电检测，检测周期为2年，</w:t>
      </w:r>
      <w:r>
        <w:rPr>
          <w:rFonts w:hint="default"/>
          <w:spacing w:val="-2"/>
          <w:sz w:val="21"/>
          <w:szCs w:val="21"/>
        </w:rPr>
        <w:t>检测前应尽量排除环境的干扰信号。检测中对干扰信号的判别可综合利用特高频法典型干扰图谱、频谱仪和高速示波器等仪器和手段进行。进行局部放电定位时，可采用示波器（采样精度至少1GHz以上）等进行精确定位，必要时也可通过改变电气设备一次运行方式进行</w:t>
      </w:r>
      <w:r>
        <w:rPr>
          <w:rFonts w:hint="eastAsia"/>
          <w:spacing w:val="-2"/>
          <w:sz w:val="21"/>
          <w:szCs w:val="21"/>
          <w:lang w:eastAsia="zh-CN"/>
        </w:rPr>
        <w:t>，</w:t>
      </w:r>
      <w:r>
        <w:rPr>
          <w:rFonts w:hint="default"/>
          <w:spacing w:val="-2"/>
          <w:sz w:val="21"/>
          <w:szCs w:val="21"/>
        </w:rPr>
        <w:t>异常情况应缩短检测周期</w:t>
      </w:r>
      <w:r>
        <w:rPr>
          <w:rFonts w:hint="eastAsia"/>
          <w:spacing w:val="-2"/>
          <w:sz w:val="21"/>
          <w:szCs w:val="21"/>
          <w:lang w:eastAsia="zh-CN"/>
        </w:rPr>
        <w:t>。</w:t>
      </w:r>
    </w:p>
    <w:p>
      <w:pPr>
        <w:pStyle w:val="521"/>
        <w:numPr>
          <w:ilvl w:val="1"/>
          <w:numId w:val="50"/>
        </w:numPr>
        <w:tabs>
          <w:tab w:val="clear" w:pos="0"/>
          <w:tab w:val="clear" w:pos="567"/>
        </w:tabs>
        <w:spacing w:before="156" w:after="156" w:line="240" w:lineRule="auto"/>
        <w:ind w:left="0" w:leftChars="0" w:firstLine="0" w:firstLineChars="0"/>
        <w:rPr>
          <w:rFonts w:hint="eastAsia"/>
          <w:lang w:val="en-US" w:eastAsia="zh-CN"/>
        </w:rPr>
      </w:pPr>
      <w:bookmarkStart w:id="125" w:name="_Toc11222"/>
      <w:r>
        <w:rPr>
          <w:rFonts w:hint="eastAsia"/>
        </w:rPr>
        <w:t>传动</w:t>
      </w:r>
      <w:bookmarkEnd w:id="124"/>
      <w:r>
        <w:rPr>
          <w:rFonts w:hint="eastAsia"/>
          <w:lang w:val="en-US" w:eastAsia="zh-CN"/>
        </w:rPr>
        <w:t>操作</w:t>
      </w:r>
      <w:bookmarkEnd w:id="125"/>
    </w:p>
    <w:p>
      <w:pPr>
        <w:pStyle w:val="521"/>
        <w:numPr>
          <w:ilvl w:val="2"/>
          <w:numId w:val="51"/>
        </w:numPr>
        <w:tabs>
          <w:tab w:val="clear" w:pos="0"/>
          <w:tab w:val="clear" w:pos="567"/>
        </w:tabs>
        <w:spacing w:before="156" w:after="156" w:line="240" w:lineRule="auto"/>
        <w:ind w:left="0" w:leftChars="0" w:firstLine="0" w:firstLineChars="0"/>
        <w:outlineLvl w:val="2"/>
        <w:rPr>
          <w:rFonts w:hint="eastAsia" w:eastAsia="黑体" w:cs="黑体"/>
          <w:szCs w:val="21"/>
          <w:lang w:eastAsia="zh-CN"/>
        </w:rPr>
      </w:pPr>
      <w:bookmarkStart w:id="126" w:name="_Toc11376"/>
      <w:r>
        <w:rPr>
          <w:rFonts w:hint="eastAsia"/>
          <w:lang w:val="en-US" w:eastAsia="zh-CN"/>
        </w:rPr>
        <w:t>总原则</w:t>
      </w:r>
      <w:bookmarkEnd w:id="126"/>
    </w:p>
    <w:p>
      <w:pPr>
        <w:pStyle w:val="258"/>
        <w:numPr>
          <w:ilvl w:val="0"/>
          <w:numId w:val="52"/>
        </w:numPr>
        <w:autoSpaceDE w:val="0"/>
        <w:autoSpaceDN w:val="0"/>
        <w:ind w:firstLineChars="0"/>
        <w:rPr>
          <w:rFonts w:hint="eastAsia" w:ascii="Times New Roman"/>
        </w:rPr>
      </w:pPr>
      <w:r>
        <w:rPr>
          <w:rFonts w:hint="eastAsia"/>
          <w:spacing w:val="-2"/>
          <w:sz w:val="21"/>
          <w:szCs w:val="21"/>
          <w:lang w:val="en-US" w:eastAsia="zh-CN"/>
        </w:rPr>
        <w:t>鉴于短路电流抑制系统的重要性，应结合负荷低位运行的春检合理制定停电计划，确保三年基准周期内未检修的快速断路器针对性开展停电带快速检测控制装置进行传动，同时开展本体、操作回路、操动机构、电磁斥力脱扣器检查维护等项目；</w:t>
      </w:r>
    </w:p>
    <w:p>
      <w:pPr>
        <w:pStyle w:val="258"/>
        <w:numPr>
          <w:ilvl w:val="0"/>
          <w:numId w:val="52"/>
        </w:numPr>
        <w:autoSpaceDE w:val="0"/>
        <w:autoSpaceDN w:val="0"/>
        <w:ind w:firstLineChars="0"/>
        <w:rPr>
          <w:rFonts w:hint="eastAsia" w:ascii="Times New Roman"/>
        </w:rPr>
      </w:pPr>
      <w:r>
        <w:rPr>
          <w:rFonts w:hint="eastAsia"/>
          <w:spacing w:val="-2"/>
          <w:sz w:val="21"/>
          <w:szCs w:val="21"/>
          <w:lang w:val="en-US" w:eastAsia="zh-CN"/>
        </w:rPr>
        <w:t>如变电站3年基准周期内，停电安排较困难，应充分评估站内负荷运行水平，可进行带载传动试验，进行电网拓扑瞬态重构，期间重点监测快速检测控制装置和全冗余智能快速断路器分合闸技术参数，观察快速断路器外观及机构是否正常；</w:t>
      </w:r>
    </w:p>
    <w:p>
      <w:pPr>
        <w:pStyle w:val="258"/>
        <w:numPr>
          <w:ilvl w:val="0"/>
          <w:numId w:val="52"/>
        </w:numPr>
        <w:autoSpaceDE w:val="0"/>
        <w:autoSpaceDN w:val="0"/>
        <w:ind w:firstLineChars="0"/>
        <w:rPr>
          <w:rFonts w:hint="eastAsia" w:ascii="Times New Roman"/>
        </w:rPr>
      </w:pPr>
      <w:r>
        <w:rPr>
          <w:rFonts w:hint="eastAsia" w:ascii="Times New Roman"/>
        </w:rPr>
        <w:t>传动</w:t>
      </w:r>
      <w:r>
        <w:rPr>
          <w:rFonts w:hint="eastAsia" w:ascii="Times New Roman"/>
          <w:lang w:val="en-US" w:eastAsia="zh-CN"/>
        </w:rPr>
        <w:t>操作</w:t>
      </w:r>
      <w:r>
        <w:rPr>
          <w:rFonts w:hint="eastAsia" w:ascii="Times New Roman"/>
        </w:rPr>
        <w:t>确认无误后，方可送电操作。</w:t>
      </w:r>
      <w:r>
        <w:rPr>
          <w:rFonts w:hint="eastAsia" w:ascii="Times New Roman"/>
          <w:lang w:val="en-US" w:eastAsia="zh-CN"/>
        </w:rPr>
        <w:t>当</w:t>
      </w:r>
      <w:r>
        <w:rPr>
          <w:rFonts w:hint="eastAsia" w:ascii="Times New Roman"/>
        </w:rPr>
        <w:t>检修涉及继电保护、控制回路等二次回路时，还应由继电保护人员进行传动试验、确认合格后方可送电。</w:t>
      </w:r>
    </w:p>
    <w:p>
      <w:pPr>
        <w:pStyle w:val="260"/>
        <w:widowControl w:val="0"/>
        <w:numPr>
          <w:ilvl w:val="2"/>
          <w:numId w:val="53"/>
        </w:numPr>
        <w:snapToGrid w:val="0"/>
        <w:ind w:left="0" w:leftChars="0" w:firstLine="0" w:firstLineChars="0"/>
        <w:jc w:val="both"/>
        <w:textAlignment w:val="baseline"/>
        <w:outlineLvl w:val="2"/>
        <w:rPr>
          <w:rFonts w:ascii="Times New Roman"/>
          <w:kern w:val="44"/>
          <w:szCs w:val="21"/>
        </w:rPr>
      </w:pPr>
      <w:bookmarkStart w:id="127" w:name="_Toc15521"/>
      <w:r>
        <w:rPr>
          <w:rFonts w:hint="eastAsia" w:ascii="Times New Roman"/>
          <w:spacing w:val="-2"/>
          <w:kern w:val="2"/>
          <w:szCs w:val="21"/>
          <w:lang w:val="en-US" w:eastAsia="zh-CN"/>
        </w:rPr>
        <w:t>传动前状态确认</w:t>
      </w:r>
      <w:bookmarkEnd w:id="127"/>
      <w:r>
        <w:rPr>
          <w:rFonts w:ascii="Times New Roman"/>
          <w:kern w:val="44"/>
          <w:szCs w:val="21"/>
        </w:rPr>
        <w:t xml:space="preserve"> </w:t>
      </w:r>
    </w:p>
    <w:p>
      <w:pPr>
        <w:pStyle w:val="258"/>
        <w:numPr>
          <w:ilvl w:val="0"/>
          <w:numId w:val="54"/>
        </w:numPr>
        <w:autoSpaceDE w:val="0"/>
        <w:autoSpaceDN w:val="0"/>
        <w:ind w:firstLineChars="0"/>
        <w:rPr>
          <w:rFonts w:hint="eastAsia" w:ascii="Times New Roman"/>
          <w:lang w:val="en-US" w:eastAsia="zh-CN"/>
        </w:rPr>
      </w:pPr>
      <w:r>
        <w:rPr>
          <w:rFonts w:hint="eastAsia" w:ascii="Times New Roman"/>
          <w:lang w:val="en-US" w:eastAsia="zh-CN"/>
        </w:rPr>
        <w:t>传动操作前应检查控制回路和辅助回路的电源正常，检查操作机构已储能，检查电磁斥力脱扣器外观无异常、合分位置正确，储能电容电压正常，无欠压告警；SF</w:t>
      </w:r>
      <w:r>
        <w:rPr>
          <w:rFonts w:hint="eastAsia" w:ascii="Times New Roman"/>
          <w:vertAlign w:val="subscript"/>
          <w:lang w:val="en-US" w:eastAsia="zh-CN"/>
        </w:rPr>
        <w:t>6</w:t>
      </w:r>
      <w:r>
        <w:rPr>
          <w:rFonts w:hint="eastAsia" w:ascii="Times New Roman"/>
          <w:lang w:val="en-US" w:eastAsia="zh-CN"/>
        </w:rPr>
        <w:t>气体压力在规定的范围内；各种信号正确、表计指示正常；</w:t>
      </w:r>
    </w:p>
    <w:p>
      <w:pPr>
        <w:pStyle w:val="258"/>
        <w:numPr>
          <w:ilvl w:val="0"/>
          <w:numId w:val="54"/>
        </w:numPr>
        <w:autoSpaceDE w:val="0"/>
        <w:autoSpaceDN w:val="0"/>
        <w:ind w:firstLineChars="0"/>
        <w:rPr>
          <w:rFonts w:hint="eastAsia" w:ascii="Times New Roman"/>
        </w:rPr>
      </w:pPr>
      <w:r>
        <w:rPr>
          <w:rFonts w:hint="eastAsia" w:ascii="Times New Roman"/>
          <w:lang w:val="en-US" w:eastAsia="zh-CN"/>
        </w:rPr>
        <w:t>快速</w:t>
      </w:r>
      <w:r>
        <w:rPr>
          <w:rFonts w:hint="eastAsia" w:ascii="Times New Roman"/>
        </w:rPr>
        <w:t>断路器气体压力、液压（气动）操动机构压力异常导致断路器分、合闸闭锁时，不准擅自解除闭锁，进行操作</w:t>
      </w:r>
      <w:r>
        <w:rPr>
          <w:rFonts w:hint="eastAsia" w:ascii="Times New Roman"/>
          <w:lang w:eastAsia="zh-CN"/>
        </w:rPr>
        <w:t>；</w:t>
      </w:r>
    </w:p>
    <w:p>
      <w:pPr>
        <w:pStyle w:val="258"/>
        <w:numPr>
          <w:ilvl w:val="0"/>
          <w:numId w:val="54"/>
        </w:numPr>
        <w:autoSpaceDE w:val="0"/>
        <w:autoSpaceDN w:val="0"/>
        <w:ind w:firstLineChars="0"/>
        <w:rPr>
          <w:rFonts w:hint="eastAsia" w:ascii="Times New Roman"/>
        </w:rPr>
      </w:pPr>
      <w:r>
        <w:rPr>
          <w:rFonts w:hint="eastAsia"/>
          <w:lang w:val="en-US" w:eastAsia="zh-CN"/>
        </w:rPr>
        <w:t>快速断路器检修传动前，应检查接地线（接地刀闸）是否全部拆除（拉开），防误闭锁装置是否正常。</w:t>
      </w:r>
    </w:p>
    <w:p>
      <w:pPr>
        <w:pStyle w:val="260"/>
        <w:widowControl w:val="0"/>
        <w:numPr>
          <w:ilvl w:val="2"/>
          <w:numId w:val="55"/>
        </w:numPr>
        <w:snapToGrid w:val="0"/>
        <w:ind w:left="0" w:leftChars="0" w:firstLine="0" w:firstLineChars="0"/>
        <w:jc w:val="both"/>
        <w:textAlignment w:val="baseline"/>
        <w:outlineLvl w:val="2"/>
        <w:rPr>
          <w:rFonts w:ascii="Times New Roman"/>
          <w:kern w:val="44"/>
          <w:szCs w:val="21"/>
        </w:rPr>
      </w:pPr>
      <w:bookmarkStart w:id="128" w:name="_Toc30018"/>
      <w:r>
        <w:rPr>
          <w:rFonts w:hint="eastAsia" w:ascii="Times New Roman"/>
          <w:spacing w:val="-2"/>
          <w:kern w:val="2"/>
          <w:szCs w:val="21"/>
          <w:lang w:val="en-US" w:eastAsia="zh-CN"/>
        </w:rPr>
        <w:t>传动后状态检查</w:t>
      </w:r>
      <w:bookmarkEnd w:id="128"/>
      <w:r>
        <w:rPr>
          <w:rFonts w:ascii="Times New Roman"/>
          <w:kern w:val="44"/>
          <w:szCs w:val="21"/>
        </w:rPr>
        <w:t xml:space="preserve"> </w:t>
      </w:r>
    </w:p>
    <w:p>
      <w:pPr>
        <w:pStyle w:val="258"/>
        <w:numPr>
          <w:ilvl w:val="0"/>
          <w:numId w:val="56"/>
        </w:numPr>
        <w:autoSpaceDE w:val="0"/>
        <w:autoSpaceDN w:val="0"/>
        <w:ind w:firstLineChars="0"/>
        <w:rPr>
          <w:rFonts w:hint="eastAsia" w:ascii="Times New Roman"/>
          <w:lang w:val="en-US" w:eastAsia="zh-CN"/>
        </w:rPr>
      </w:pPr>
      <w:r>
        <w:rPr>
          <w:rFonts w:hint="eastAsia" w:ascii="Times New Roman"/>
          <w:lang w:val="en-US" w:eastAsia="zh-CN"/>
        </w:rPr>
        <w:t>传动操作后的位置检查应以机械位置指示、电气指示、仪表及各种遥测、遥信等信号的变化来判断。具备条件时应到现场确认本体和机构（分）合闸指示器以及拐臂、传动杆位置，保证断路器两个独立快速开断单元同时已正确（分）合闸，同时检查断路器本体有无异常；</w:t>
      </w:r>
    </w:p>
    <w:p>
      <w:pPr>
        <w:pStyle w:val="258"/>
        <w:numPr>
          <w:ilvl w:val="0"/>
          <w:numId w:val="56"/>
        </w:numPr>
        <w:autoSpaceDE w:val="0"/>
        <w:autoSpaceDN w:val="0"/>
        <w:ind w:firstLineChars="0"/>
        <w:rPr>
          <w:rFonts w:hint="eastAsia" w:ascii="Times New Roman"/>
          <w:lang w:val="en-US" w:eastAsia="zh-CN"/>
        </w:rPr>
      </w:pPr>
      <w:r>
        <w:rPr>
          <w:rFonts w:hint="eastAsia" w:ascii="Times New Roman"/>
          <w:lang w:val="en-US" w:eastAsia="zh-CN"/>
        </w:rPr>
        <w:t>使用电磁斥力脱扣器间接驱动断路器进行快速分合闸操作时，应注意观察储能电容回路所监测的欠压指示的变化情况，连续操作电磁斥力脱扣器的断路器后，应注意电压变化，发现异常及时进行调整；</w:t>
      </w:r>
    </w:p>
    <w:p>
      <w:pPr>
        <w:pStyle w:val="258"/>
        <w:numPr>
          <w:ilvl w:val="0"/>
          <w:numId w:val="56"/>
        </w:numPr>
        <w:autoSpaceDE w:val="0"/>
        <w:autoSpaceDN w:val="0"/>
        <w:ind w:firstLineChars="0"/>
        <w:rPr>
          <w:rFonts w:hint="eastAsia" w:ascii="Times New Roman"/>
          <w:lang w:val="en-US" w:eastAsia="zh-CN"/>
        </w:rPr>
      </w:pPr>
      <w:r>
        <w:rPr>
          <w:rFonts w:hint="eastAsia" w:ascii="Times New Roman"/>
          <w:lang w:val="en-US" w:eastAsia="zh-CN"/>
        </w:rPr>
        <w:t>传动后，观察快速检测控制装置是否接收到快速断路器的故障告警信号，同时确认接收的快速断路器分合闸位置信息与快速断路器本体实际分合闸状态是否相符；</w:t>
      </w:r>
    </w:p>
    <w:p>
      <w:pPr>
        <w:pStyle w:val="258"/>
        <w:numPr>
          <w:ilvl w:val="0"/>
          <w:numId w:val="56"/>
        </w:numPr>
        <w:autoSpaceDE w:val="0"/>
        <w:autoSpaceDN w:val="0"/>
        <w:ind w:firstLineChars="0"/>
        <w:rPr>
          <w:rFonts w:hint="eastAsia" w:ascii="Times New Roman"/>
        </w:rPr>
      </w:pPr>
      <w:r>
        <w:rPr>
          <w:rFonts w:hint="eastAsia" w:ascii="Times New Roman"/>
          <w:lang w:val="en-US" w:eastAsia="zh-CN"/>
        </w:rPr>
        <w:t>采用液压操动机构的快速断路器，在分闸、合闸就地传动操作时，现场人员应尽量避开高压管道接口。</w:t>
      </w:r>
    </w:p>
    <w:p>
      <w:pPr>
        <w:pStyle w:val="521"/>
        <w:numPr>
          <w:ilvl w:val="1"/>
          <w:numId w:val="57"/>
        </w:numPr>
        <w:tabs>
          <w:tab w:val="clear" w:pos="0"/>
          <w:tab w:val="clear" w:pos="567"/>
        </w:tabs>
        <w:spacing w:before="156" w:after="156" w:line="240" w:lineRule="auto"/>
        <w:ind w:left="0" w:leftChars="0" w:firstLine="0" w:firstLineChars="0"/>
        <w:rPr>
          <w:rFonts w:hint="default"/>
          <w:lang w:val="en-US" w:eastAsia="zh-CN"/>
        </w:rPr>
      </w:pPr>
      <w:bookmarkStart w:id="129" w:name="_Toc29230"/>
      <w:r>
        <w:rPr>
          <w:rFonts w:hint="eastAsia"/>
          <w:lang w:val="en-US" w:eastAsia="zh-CN"/>
        </w:rPr>
        <w:t>维护</w:t>
      </w:r>
      <w:bookmarkEnd w:id="129"/>
    </w:p>
    <w:p>
      <w:pPr>
        <w:pStyle w:val="521"/>
        <w:numPr>
          <w:ilvl w:val="2"/>
          <w:numId w:val="58"/>
        </w:numPr>
        <w:tabs>
          <w:tab w:val="clear" w:pos="0"/>
          <w:tab w:val="clear" w:pos="567"/>
        </w:tabs>
        <w:spacing w:before="156" w:after="156" w:line="240" w:lineRule="auto"/>
        <w:ind w:left="0" w:leftChars="0" w:firstLine="0" w:firstLineChars="0"/>
        <w:outlineLvl w:val="2"/>
        <w:rPr>
          <w:rFonts w:hint="eastAsia"/>
          <w:color w:val="FF0000"/>
          <w:lang w:eastAsia="zh-CN"/>
        </w:rPr>
      </w:pPr>
      <w:bookmarkStart w:id="130" w:name="_Toc8110"/>
      <w:r>
        <w:rPr>
          <w:rFonts w:hint="eastAsia"/>
          <w:lang w:val="en-US" w:eastAsia="zh-CN"/>
        </w:rPr>
        <w:t>汇控柜维护</w:t>
      </w:r>
      <w:bookmarkEnd w:id="130"/>
    </w:p>
    <w:p>
      <w:pPr>
        <w:pStyle w:val="258"/>
        <w:numPr>
          <w:ilvl w:val="0"/>
          <w:numId w:val="59"/>
        </w:numPr>
        <w:autoSpaceDE w:val="0"/>
        <w:autoSpaceDN w:val="0"/>
        <w:ind w:firstLineChars="0"/>
        <w:rPr>
          <w:rFonts w:hint="eastAsia" w:ascii="Times New Roman"/>
          <w:lang w:val="en-US" w:eastAsia="zh-CN"/>
        </w:rPr>
      </w:pPr>
      <w:r>
        <w:rPr>
          <w:rFonts w:hint="eastAsia" w:ascii="Times New Roman"/>
          <w:lang w:val="en-US" w:eastAsia="zh-CN"/>
        </w:rPr>
        <w:t>结合设备停电进行清扫。必要时可增加清扫次数，但必须采用防止设备误动的可靠措施；</w:t>
      </w:r>
    </w:p>
    <w:p>
      <w:pPr>
        <w:pStyle w:val="258"/>
        <w:numPr>
          <w:ilvl w:val="0"/>
          <w:numId w:val="59"/>
        </w:numPr>
        <w:autoSpaceDE w:val="0"/>
        <w:autoSpaceDN w:val="0"/>
        <w:ind w:firstLineChars="0"/>
        <w:rPr>
          <w:rFonts w:hint="eastAsia" w:ascii="Times New Roman"/>
          <w:lang w:val="en-US" w:eastAsia="zh-CN"/>
        </w:rPr>
      </w:pPr>
      <w:r>
        <w:rPr>
          <w:rFonts w:hint="eastAsia" w:ascii="Times New Roman" w:hAnsi="Times New Roman" w:eastAsia="宋体" w:cs="Times New Roman"/>
          <w:lang w:eastAsia="zh-CN"/>
        </w:rPr>
        <w:t>加热装置在入冬前应进行一次全面检查并投入运行</w:t>
      </w:r>
      <w:r>
        <w:rPr>
          <w:rFonts w:hint="eastAsia" w:ascii="Times New Roman" w:eastAsia="宋体" w:cs="Times New Roman"/>
          <w:lang w:eastAsia="zh-CN"/>
        </w:rPr>
        <w:t>，</w:t>
      </w:r>
      <w:r>
        <w:rPr>
          <w:rFonts w:hint="eastAsia" w:ascii="Times New Roman" w:hAnsi="Times New Roman" w:eastAsia="宋体" w:cs="Times New Roman"/>
          <w:lang w:eastAsia="zh-CN"/>
        </w:rPr>
        <w:t>发现缺陷及时处理</w:t>
      </w:r>
      <w:r>
        <w:rPr>
          <w:rFonts w:hint="eastAsia" w:ascii="Times New Roman" w:eastAsia="宋体" w:cs="Times New Roman"/>
          <w:lang w:eastAsia="zh-CN"/>
        </w:rPr>
        <w:t>；</w:t>
      </w:r>
    </w:p>
    <w:p>
      <w:pPr>
        <w:pStyle w:val="258"/>
        <w:numPr>
          <w:ilvl w:val="0"/>
          <w:numId w:val="59"/>
        </w:numPr>
        <w:autoSpaceDE w:val="0"/>
        <w:autoSpaceDN w:val="0"/>
        <w:ind w:firstLineChars="0"/>
        <w:rPr>
          <w:rFonts w:hint="eastAsia" w:ascii="Times New Roman"/>
        </w:rPr>
      </w:pPr>
      <w:r>
        <w:rPr>
          <w:rFonts w:hint="eastAsia" w:ascii="Times New Roman" w:hAnsi="Times New Roman" w:eastAsia="宋体" w:cs="Times New Roman"/>
          <w:lang w:eastAsia="zh-CN"/>
        </w:rPr>
        <w:t>驱潮防潮装置应长期投入，在雨季来临之前进行一次全面检查</w:t>
      </w:r>
      <w:r>
        <w:rPr>
          <w:rFonts w:hint="eastAsia" w:ascii="Times New Roman" w:eastAsia="宋体" w:cs="Times New Roman"/>
          <w:lang w:eastAsia="zh-CN"/>
        </w:rPr>
        <w:t>，</w:t>
      </w:r>
      <w:r>
        <w:rPr>
          <w:rFonts w:hint="eastAsia" w:ascii="Times New Roman" w:hAnsi="Times New Roman" w:eastAsia="宋体" w:cs="Times New Roman"/>
          <w:lang w:eastAsia="zh-CN"/>
        </w:rPr>
        <w:t>发现缺陷及时处理</w:t>
      </w:r>
      <w:r>
        <w:rPr>
          <w:rFonts w:hint="eastAsia" w:ascii="Times New Roman"/>
          <w:lang w:eastAsia="zh-CN"/>
        </w:rPr>
        <w:t>；</w:t>
      </w:r>
    </w:p>
    <w:p>
      <w:pPr>
        <w:pStyle w:val="258"/>
        <w:numPr>
          <w:ilvl w:val="0"/>
          <w:numId w:val="59"/>
        </w:numPr>
        <w:autoSpaceDE w:val="0"/>
        <w:autoSpaceDN w:val="0"/>
        <w:ind w:firstLineChars="0"/>
        <w:rPr>
          <w:rFonts w:hint="eastAsia" w:ascii="Times New Roman"/>
        </w:rPr>
      </w:pPr>
      <w:r>
        <w:rPr>
          <w:rFonts w:hint="eastAsia" w:ascii="Times New Roman"/>
          <w:lang w:eastAsia="zh-CN"/>
        </w:rPr>
        <w:t>汇控柜体消缺及柜内驱潮加热、防潮防凝露模块和回路、照明回路作业消缺。</w:t>
      </w:r>
    </w:p>
    <w:p>
      <w:pPr>
        <w:pStyle w:val="521"/>
        <w:numPr>
          <w:ilvl w:val="2"/>
          <w:numId w:val="60"/>
        </w:numPr>
        <w:tabs>
          <w:tab w:val="clear" w:pos="0"/>
          <w:tab w:val="clear" w:pos="567"/>
        </w:tabs>
        <w:spacing w:before="156" w:after="156" w:line="240" w:lineRule="auto"/>
        <w:ind w:left="0" w:leftChars="0" w:firstLine="0" w:firstLineChars="0"/>
        <w:outlineLvl w:val="2"/>
        <w:rPr>
          <w:rFonts w:hint="eastAsia"/>
          <w:lang w:val="en-US" w:eastAsia="zh-CN"/>
        </w:rPr>
      </w:pPr>
      <w:bookmarkStart w:id="131" w:name="_Toc441348712"/>
      <w:bookmarkStart w:id="132" w:name="_Toc8273"/>
      <w:r>
        <w:rPr>
          <w:rFonts w:hint="eastAsia"/>
          <w:lang w:val="en-US" w:eastAsia="zh-CN"/>
        </w:rPr>
        <w:t>高压带电显示装置维护</w:t>
      </w:r>
      <w:bookmarkEnd w:id="131"/>
      <w:bookmarkEnd w:id="132"/>
    </w:p>
    <w:p>
      <w:pPr>
        <w:pStyle w:val="258"/>
        <w:numPr>
          <w:ilvl w:val="0"/>
          <w:numId w:val="61"/>
        </w:numPr>
        <w:autoSpaceDE w:val="0"/>
        <w:autoSpaceDN w:val="0"/>
        <w:ind w:firstLineChars="0"/>
        <w:rPr>
          <w:rFonts w:hint="eastAsia" w:ascii="Times New Roman"/>
          <w:lang w:val="en-US" w:eastAsia="zh-CN"/>
        </w:rPr>
      </w:pPr>
      <w:bookmarkStart w:id="133" w:name="_Toc441348713"/>
      <w:bookmarkStart w:id="134" w:name="_Toc424162732"/>
      <w:bookmarkStart w:id="135" w:name="_Toc5995"/>
      <w:bookmarkStart w:id="136" w:name="_Toc6135"/>
      <w:bookmarkStart w:id="137" w:name="_Toc441346749"/>
      <w:bookmarkStart w:id="138" w:name="_Toc22731"/>
      <w:bookmarkStart w:id="139" w:name="_Toc2428"/>
      <w:bookmarkStart w:id="140" w:name="_Toc440979380"/>
      <w:r>
        <w:rPr>
          <w:rFonts w:hint="eastAsia" w:ascii="Times New Roman"/>
          <w:lang w:val="en-US" w:eastAsia="zh-CN"/>
        </w:rPr>
        <w:t>高压带电显示装置显示异常，应进行检查维护</w:t>
      </w:r>
      <w:bookmarkEnd w:id="133"/>
      <w:bookmarkEnd w:id="134"/>
      <w:bookmarkEnd w:id="135"/>
      <w:bookmarkEnd w:id="136"/>
      <w:bookmarkEnd w:id="137"/>
      <w:bookmarkEnd w:id="138"/>
      <w:bookmarkEnd w:id="139"/>
      <w:bookmarkEnd w:id="140"/>
      <w:r>
        <w:rPr>
          <w:rFonts w:hint="eastAsia" w:ascii="Times New Roman"/>
          <w:lang w:val="en-US" w:eastAsia="zh-CN"/>
        </w:rPr>
        <w:t>；</w:t>
      </w:r>
    </w:p>
    <w:p>
      <w:pPr>
        <w:pStyle w:val="258"/>
        <w:numPr>
          <w:ilvl w:val="0"/>
          <w:numId w:val="61"/>
        </w:numPr>
        <w:autoSpaceDE w:val="0"/>
        <w:autoSpaceDN w:val="0"/>
        <w:ind w:firstLineChars="0"/>
        <w:rPr>
          <w:rFonts w:hint="eastAsia" w:ascii="Times New Roman"/>
          <w:lang w:val="en-US" w:eastAsia="zh-CN"/>
        </w:rPr>
      </w:pPr>
      <w:r>
        <w:rPr>
          <w:rFonts w:hint="eastAsia" w:ascii="Times New Roman" w:hAnsi="Times New Roman" w:eastAsia="宋体" w:cs="Times New Roman"/>
          <w:lang w:eastAsia="zh-CN"/>
        </w:rPr>
        <w:t>对于具备自检功能的带电显示装置，利用自检按钮确认显示单元是否正常</w:t>
      </w:r>
      <w:r>
        <w:rPr>
          <w:rFonts w:hint="eastAsia" w:ascii="Times New Roman" w:eastAsia="宋体" w:cs="Times New Roman"/>
          <w:lang w:eastAsia="zh-CN"/>
        </w:rPr>
        <w:t>；</w:t>
      </w:r>
      <w:r>
        <w:rPr>
          <w:rFonts w:hint="eastAsia" w:ascii="Times New Roman" w:hAnsi="Times New Roman" w:eastAsia="宋体" w:cs="Times New Roman"/>
          <w:lang w:eastAsia="zh-CN"/>
        </w:rPr>
        <w:t>对于不具备自检功能的带电显示装置，测量显示单元输入端电压：若有电压则判断为显示单元故障，自行更换；若无电压则判断为传感单元故障，联系检修人员处理</w:t>
      </w:r>
      <w:r>
        <w:rPr>
          <w:rFonts w:hint="eastAsia" w:ascii="Times New Roman" w:eastAsia="宋体" w:cs="Times New Roman"/>
          <w:lang w:eastAsia="zh-CN"/>
        </w:rPr>
        <w:t>；</w:t>
      </w:r>
    </w:p>
    <w:p>
      <w:pPr>
        <w:pStyle w:val="258"/>
        <w:numPr>
          <w:ilvl w:val="0"/>
          <w:numId w:val="61"/>
        </w:numPr>
        <w:autoSpaceDE w:val="0"/>
        <w:autoSpaceDN w:val="0"/>
        <w:ind w:firstLineChars="0"/>
        <w:rPr>
          <w:rFonts w:hint="eastAsia" w:ascii="Times New Roman" w:eastAsia="宋体" w:cs="Times New Roman"/>
          <w:lang w:eastAsia="zh-CN"/>
        </w:rPr>
      </w:pPr>
      <w:r>
        <w:rPr>
          <w:rFonts w:hint="eastAsia" w:ascii="Times New Roman" w:hAnsi="Times New Roman" w:eastAsia="宋体" w:cs="Times New Roman"/>
          <w:lang w:eastAsia="zh-CN"/>
        </w:rPr>
        <w:t>更换显示单元前，应断开装置电源，拆解二次线时应做绝缘包扎处理</w:t>
      </w:r>
      <w:r>
        <w:rPr>
          <w:rFonts w:hint="eastAsia" w:ascii="Times New Roman" w:eastAsia="宋体" w:cs="Times New Roman"/>
          <w:lang w:eastAsia="zh-CN"/>
        </w:rPr>
        <w:t>，维护后，应检查装置运行正常，显示正确。</w:t>
      </w:r>
    </w:p>
    <w:p>
      <w:pPr>
        <w:pStyle w:val="521"/>
        <w:numPr>
          <w:ilvl w:val="2"/>
          <w:numId w:val="62"/>
        </w:numPr>
        <w:tabs>
          <w:tab w:val="clear" w:pos="0"/>
          <w:tab w:val="clear" w:pos="567"/>
        </w:tabs>
        <w:spacing w:before="156" w:after="156" w:line="240" w:lineRule="auto"/>
        <w:ind w:left="0" w:leftChars="0" w:firstLine="0" w:firstLineChars="0"/>
        <w:outlineLvl w:val="2"/>
        <w:rPr>
          <w:rFonts w:hint="eastAsia"/>
          <w:color w:val="FF0000"/>
          <w:lang w:eastAsia="zh-CN"/>
        </w:rPr>
      </w:pPr>
      <w:bookmarkStart w:id="141" w:name="_Toc24881"/>
      <w:r>
        <w:rPr>
          <w:rFonts w:hint="eastAsia"/>
          <w:lang w:val="en-US" w:eastAsia="zh-CN"/>
        </w:rPr>
        <w:t>指示灯更换</w:t>
      </w:r>
      <w:bookmarkEnd w:id="141"/>
    </w:p>
    <w:p>
      <w:pPr>
        <w:pStyle w:val="258"/>
        <w:numPr>
          <w:ilvl w:val="0"/>
          <w:numId w:val="63"/>
        </w:numPr>
        <w:autoSpaceDE w:val="0"/>
        <w:autoSpaceDN w:val="0"/>
        <w:ind w:firstLineChars="0"/>
        <w:rPr>
          <w:rFonts w:hint="eastAsia" w:ascii="Times New Roman"/>
          <w:lang w:val="en-US" w:eastAsia="zh-CN"/>
        </w:rPr>
      </w:pPr>
      <w:r>
        <w:rPr>
          <w:rFonts w:hint="eastAsia" w:ascii="Times New Roman" w:hAnsi="Times New Roman" w:eastAsia="宋体" w:cs="Times New Roman"/>
          <w:lang w:eastAsia="zh-CN"/>
        </w:rPr>
        <w:t>指示灯指示异常，应进行检查</w:t>
      </w:r>
      <w:r>
        <w:rPr>
          <w:rFonts w:hint="eastAsia" w:ascii="Times New Roman"/>
          <w:lang w:val="en-US" w:eastAsia="zh-CN"/>
        </w:rPr>
        <w:t>；</w:t>
      </w:r>
    </w:p>
    <w:p>
      <w:pPr>
        <w:pStyle w:val="258"/>
        <w:numPr>
          <w:ilvl w:val="0"/>
          <w:numId w:val="63"/>
        </w:numPr>
        <w:autoSpaceDE w:val="0"/>
        <w:autoSpaceDN w:val="0"/>
        <w:ind w:firstLineChars="0"/>
        <w:rPr>
          <w:rFonts w:hint="eastAsia" w:ascii="Times New Roman"/>
          <w:lang w:val="en-US" w:eastAsia="zh-CN"/>
        </w:rPr>
      </w:pPr>
      <w:r>
        <w:rPr>
          <w:rFonts w:hint="eastAsia" w:ascii="Times New Roman" w:hAnsi="Times New Roman" w:eastAsia="宋体" w:cs="Times New Roman"/>
          <w:lang w:eastAsia="zh-CN"/>
        </w:rPr>
        <w:t>测量指示灯两端对地电压：若电压正常则判断为指示灯故障，自行更换；若电压异常则判断为回路其他单元故障，联系检修人员处理</w:t>
      </w:r>
      <w:r>
        <w:rPr>
          <w:rFonts w:hint="eastAsia" w:ascii="Times New Roman" w:eastAsia="宋体" w:cs="Times New Roman"/>
          <w:lang w:eastAsia="zh-CN"/>
        </w:rPr>
        <w:t>；</w:t>
      </w:r>
    </w:p>
    <w:p>
      <w:pPr>
        <w:pStyle w:val="258"/>
        <w:numPr>
          <w:ilvl w:val="0"/>
          <w:numId w:val="63"/>
        </w:numPr>
        <w:autoSpaceDE w:val="0"/>
        <w:autoSpaceDN w:val="0"/>
        <w:ind w:firstLineChars="0"/>
        <w:rPr>
          <w:rFonts w:hint="eastAsia" w:ascii="Times New Roman"/>
          <w:lang w:val="en-US" w:eastAsia="zh-CN"/>
        </w:rPr>
      </w:pPr>
      <w:r>
        <w:rPr>
          <w:rFonts w:hint="eastAsia" w:ascii="Times New Roman" w:hAnsi="Times New Roman" w:eastAsia="宋体" w:cs="Times New Roman"/>
          <w:lang w:eastAsia="zh-CN"/>
        </w:rPr>
        <w:t>更换指示灯前，应断开相关电源，并用万用表测量电源侧确无电压</w:t>
      </w:r>
      <w:r>
        <w:rPr>
          <w:rFonts w:hint="eastAsia" w:ascii="Times New Roman" w:eastAsia="宋体" w:cs="Times New Roman"/>
          <w:lang w:eastAsia="zh-CN"/>
        </w:rPr>
        <w:t>；</w:t>
      </w:r>
    </w:p>
    <w:p>
      <w:pPr>
        <w:pStyle w:val="258"/>
        <w:numPr>
          <w:ilvl w:val="0"/>
          <w:numId w:val="63"/>
        </w:numPr>
        <w:autoSpaceDE w:val="0"/>
        <w:autoSpaceDN w:val="0"/>
        <w:ind w:firstLineChars="0"/>
        <w:rPr>
          <w:rFonts w:hint="eastAsia" w:hAnsi="宋体"/>
          <w:szCs w:val="21"/>
        </w:rPr>
      </w:pPr>
      <w:r>
        <w:rPr>
          <w:rFonts w:hint="eastAsia" w:ascii="Times New Roman" w:hAnsi="Times New Roman" w:eastAsia="宋体" w:cs="Times New Roman"/>
          <w:lang w:eastAsia="zh-CN"/>
        </w:rPr>
        <w:t>更换时，运维人员应戴手套，拆解二次线时应做绝缘包扎处理</w:t>
      </w:r>
      <w:r>
        <w:rPr>
          <w:rFonts w:hint="eastAsia" w:ascii="Times New Roman" w:eastAsia="宋体" w:cs="Times New Roman"/>
          <w:lang w:eastAsia="zh-CN"/>
        </w:rPr>
        <w:t>；</w:t>
      </w:r>
      <w:bookmarkStart w:id="143" w:name="_GoBack"/>
      <w:bookmarkEnd w:id="143"/>
      <w:r>
        <w:rPr>
          <w:rFonts w:hint="eastAsia" w:ascii="Times New Roman" w:hAnsi="Times New Roman" w:eastAsia="宋体" w:cs="Times New Roman"/>
          <w:lang w:eastAsia="zh-CN"/>
        </w:rPr>
        <w:t>维护后，应检查指示灯运行正常，显示正确</w:t>
      </w:r>
      <w:r>
        <w:rPr>
          <w:rFonts w:hint="eastAsia" w:ascii="Times New Roman" w:eastAsia="宋体" w:cs="Times New Roman"/>
          <w:lang w:eastAsia="zh-CN"/>
        </w:rPr>
        <w:t>。</w:t>
      </w:r>
    </w:p>
    <w:p>
      <w:pPr>
        <w:pStyle w:val="258"/>
        <w:tabs>
          <w:tab w:val="center" w:pos="4201"/>
          <w:tab w:val="right" w:leader="dot" w:pos="9298"/>
        </w:tabs>
        <w:ind w:left="0" w:leftChars="0" w:firstLine="0" w:firstLineChars="0"/>
        <w:rPr>
          <w:rFonts w:hint="eastAsia" w:hAnsi="宋体"/>
          <w:szCs w:val="21"/>
        </w:rPr>
      </w:pPr>
    </w:p>
    <w:p>
      <w:pPr>
        <w:pStyle w:val="258"/>
        <w:tabs>
          <w:tab w:val="center" w:pos="4201"/>
          <w:tab w:val="right" w:leader="dot" w:pos="9298"/>
        </w:tabs>
        <w:ind w:left="0" w:leftChars="0" w:firstLine="0" w:firstLineChars="0"/>
        <w:rPr>
          <w:rFonts w:hint="eastAsia" w:hAnsi="宋体"/>
          <w:szCs w:val="21"/>
        </w:rPr>
      </w:pPr>
    </w:p>
    <w:p>
      <w:pPr>
        <w:pStyle w:val="349"/>
        <w:numPr>
          <w:ilvl w:val="0"/>
          <w:numId w:val="13"/>
        </w:numPr>
        <w:rPr>
          <w:szCs w:val="21"/>
        </w:rPr>
      </w:pPr>
      <w:bookmarkStart w:id="142" w:name="标准附录"/>
      <w:bookmarkEnd w:id="142"/>
    </w:p>
    <w:p>
      <w:pPr>
        <w:pStyle w:val="350"/>
        <w:numPr>
          <w:ilvl w:val="0"/>
          <w:numId w:val="14"/>
        </w:numPr>
        <w:rPr>
          <w:szCs w:val="21"/>
        </w:rPr>
      </w:pPr>
    </w:p>
    <w:p>
      <w:pPr>
        <w:pStyle w:val="258"/>
        <w:ind w:left="0" w:leftChars="0" w:firstLine="0" w:firstLineChars="0"/>
        <w:rPr>
          <w:rFonts w:ascii="Times New Roman" w:eastAsiaTheme="minorEastAsia"/>
          <w:szCs w:val="21"/>
        </w:rPr>
      </w:pPr>
    </w:p>
    <w:p>
      <w:pPr>
        <w:widowControl/>
        <w:rPr>
          <w:color w:val="000000" w:themeColor="text1"/>
          <w14:textFill>
            <w14:solidFill>
              <w14:schemeClr w14:val="tx1"/>
            </w14:solidFill>
          </w14:textFill>
        </w:rPr>
      </w:pPr>
    </w:p>
    <w:p>
      <w:pPr>
        <w:pStyle w:val="258"/>
        <w:ind w:firstLine="422"/>
        <w:jc w:val="center"/>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w:t>
      </w:r>
    </w:p>
    <w:p>
      <w:pPr>
        <w:widowControl/>
        <w:rPr>
          <w:color w:val="5B9BD5" w:themeColor="accent1"/>
          <w14:textFill>
            <w14:solidFill>
              <w14:schemeClr w14:val="accent1"/>
            </w14:solidFill>
          </w14:textFill>
        </w:rPr>
      </w:pPr>
    </w:p>
    <w:p>
      <w:pPr>
        <w:widowControl/>
        <w:rPr>
          <w:color w:val="5B9BD5" w:themeColor="accent1"/>
          <w14:textFill>
            <w14:solidFill>
              <w14:schemeClr w14:val="accent1"/>
            </w14:solidFill>
          </w14:textFill>
        </w:rPr>
      </w:pPr>
    </w:p>
    <w:p>
      <w:pPr>
        <w:pStyle w:val="258"/>
        <w:ind w:firstLine="420"/>
        <w:jc w:val="left"/>
        <w:rPr>
          <w:rFonts w:hAnsi="宋体"/>
          <w:color w:val="5B9BD5" w:themeColor="accent1"/>
          <w14:textFill>
            <w14:solidFill>
              <w14:schemeClr w14:val="accent1"/>
            </w14:solidFill>
          </w14:textFill>
        </w:rPr>
      </w:pPr>
    </w:p>
    <w:p>
      <w:pPr>
        <w:widowControl/>
        <w:rPr>
          <w:rFonts w:hAnsi="宋体"/>
          <w:color w:val="5B9BD5" w:themeColor="accent1"/>
          <w14:textFill>
            <w14:solidFill>
              <w14:schemeClr w14:val="accent1"/>
            </w14:solidFill>
          </w14:textFill>
        </w:rPr>
      </w:pPr>
    </w:p>
    <w:sectPr>
      <w:headerReference r:id="rId9" w:type="default"/>
      <w:footerReference r:id="rId10" w:type="default"/>
      <w:pgSz w:w="11907" w:h="16839"/>
      <w:pgMar w:top="1417" w:right="1134" w:bottom="1134" w:left="1417"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p>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p>
    <w:pPr>
      <w:pStyle w:val="252"/>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r>
      <w:t>T/</w:t>
    </w:r>
    <w:r>
      <w:rPr>
        <w:rFonts w:hint="eastAsia"/>
      </w:rPr>
      <w:t>CSEE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F00CC"/>
    <w:multiLevelType w:val="singleLevel"/>
    <w:tmpl w:val="87CF00CC"/>
    <w:lvl w:ilvl="0" w:tentative="0">
      <w:start w:val="1"/>
      <w:numFmt w:val="lowerRoman"/>
      <w:suff w:val="space"/>
      <w:lvlText w:val="%1）"/>
      <w:lvlJc w:val="left"/>
    </w:lvl>
  </w:abstractNum>
  <w:abstractNum w:abstractNumId="1">
    <w:nsid w:val="89BA578B"/>
    <w:multiLevelType w:val="multilevel"/>
    <w:tmpl w:val="89BA578B"/>
    <w:lvl w:ilvl="0" w:tentative="0">
      <w:start w:val="1"/>
      <w:numFmt w:val="lowerLetter"/>
      <w:lvlText w:val="%1)"/>
      <w:lvlJc w:val="left"/>
      <w:pPr>
        <w:ind w:left="840" w:hanging="42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909CB3CE"/>
    <w:multiLevelType w:val="multilevel"/>
    <w:tmpl w:val="909CB3C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92A72F89"/>
    <w:multiLevelType w:val="multilevel"/>
    <w:tmpl w:val="92A72F89"/>
    <w:lvl w:ilvl="0" w:tentative="0">
      <w:start w:val="6"/>
      <w:numFmt w:val="decimal"/>
      <w:isLgl/>
      <w:suff w:val="nothing"/>
      <w:lvlText w:val="%1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1" w:tentative="0">
      <w:start w:val="2"/>
      <w:numFmt w:val="decimal"/>
      <w:isLgl/>
      <w:suff w:val="nothing"/>
      <w:lvlText w:val="%1.%2　"/>
      <w:lvlJc w:val="left"/>
      <w:pPr>
        <w:tabs>
          <w:tab w:val="left" w:pos="0"/>
        </w:tabs>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2" w:tentative="0">
      <w:start w:val="1"/>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4">
    <w:nsid w:val="A8381433"/>
    <w:multiLevelType w:val="multilevel"/>
    <w:tmpl w:val="A8381433"/>
    <w:lvl w:ilvl="0" w:tentative="0">
      <w:start w:val="6"/>
      <w:numFmt w:val="decimal"/>
      <w:isLgl/>
      <w:suff w:val="nothing"/>
      <w:lvlText w:val="%1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1" w:tentative="0">
      <w:start w:val="3"/>
      <w:numFmt w:val="decimal"/>
      <w:isLgl/>
      <w:suff w:val="nothing"/>
      <w:lvlText w:val="%1.%2　"/>
      <w:lvlJc w:val="left"/>
      <w:pPr>
        <w:tabs>
          <w:tab w:val="left" w:pos="0"/>
        </w:tabs>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2" w:tentative="0">
      <w:start w:val="2"/>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5">
    <w:nsid w:val="C0952453"/>
    <w:multiLevelType w:val="multilevel"/>
    <w:tmpl w:val="C0952453"/>
    <w:lvl w:ilvl="0" w:tentative="0">
      <w:start w:val="1"/>
      <w:numFmt w:val="lowerLetter"/>
      <w:lvlText w:val="%1)"/>
      <w:lvlJc w:val="left"/>
      <w:pPr>
        <w:ind w:left="840" w:hanging="42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C1A61C92"/>
    <w:multiLevelType w:val="multilevel"/>
    <w:tmpl w:val="C1A61C92"/>
    <w:lvl w:ilvl="0" w:tentative="0">
      <w:start w:val="6"/>
      <w:numFmt w:val="decimal"/>
      <w:isLgl/>
      <w:suff w:val="nothing"/>
      <w:lvlText w:val="%1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1" w:tentative="0">
      <w:start w:val="2"/>
      <w:numFmt w:val="decimal"/>
      <w:isLgl/>
      <w:suff w:val="nothing"/>
      <w:lvlText w:val="%1.%2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2" w:tentative="0">
      <w:start w:val="2"/>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7">
    <w:nsid w:val="C6387C6C"/>
    <w:multiLevelType w:val="multilevel"/>
    <w:tmpl w:val="C6387C6C"/>
    <w:lvl w:ilvl="0" w:tentative="0">
      <w:start w:val="6"/>
      <w:numFmt w:val="decimal"/>
      <w:isLgl/>
      <w:suff w:val="nothing"/>
      <w:lvlText w:val="%1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1" w:tentative="0">
      <w:start w:val="1"/>
      <w:numFmt w:val="decimal"/>
      <w:isLgl/>
      <w:suff w:val="nothing"/>
      <w:lvlText w:val="%1.%2　"/>
      <w:lvlJc w:val="left"/>
      <w:pPr>
        <w:tabs>
          <w:tab w:val="left" w:pos="0"/>
        </w:tabs>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2" w:tentative="0">
      <w:start w:val="2"/>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8">
    <w:nsid w:val="CC634F3C"/>
    <w:multiLevelType w:val="multilevel"/>
    <w:tmpl w:val="CC634F3C"/>
    <w:lvl w:ilvl="0" w:tentative="0">
      <w:start w:val="5"/>
      <w:numFmt w:val="decimal"/>
      <w:isLgl/>
      <w:suff w:val="nothing"/>
      <w:lvlText w:val="%1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1" w:tentative="0">
      <w:start w:val="2"/>
      <w:numFmt w:val="decimal"/>
      <w:isLgl/>
      <w:suff w:val="nothing"/>
      <w:lvlText w:val="%1.%2　"/>
      <w:lvlJc w:val="left"/>
      <w:pPr>
        <w:tabs>
          <w:tab w:val="left" w:pos="0"/>
        </w:tabs>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2" w:tentative="0">
      <w:start w:val="1"/>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9">
    <w:nsid w:val="D04A8F4C"/>
    <w:multiLevelType w:val="multilevel"/>
    <w:tmpl w:val="D04A8F4C"/>
    <w:lvl w:ilvl="0" w:tentative="0">
      <w:start w:val="6"/>
      <w:numFmt w:val="decimal"/>
      <w:isLgl/>
      <w:suff w:val="nothing"/>
      <w:lvlText w:val="%1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1" w:tentative="0">
      <w:start w:val="3"/>
      <w:numFmt w:val="decimal"/>
      <w:isLgl/>
      <w:suff w:val="nothing"/>
      <w:lvlText w:val="%1.%2　"/>
      <w:lvlJc w:val="left"/>
      <w:pPr>
        <w:tabs>
          <w:tab w:val="left" w:pos="0"/>
        </w:tabs>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2" w:tentative="0">
      <w:start w:val="3"/>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10">
    <w:nsid w:val="D2ACC554"/>
    <w:multiLevelType w:val="multilevel"/>
    <w:tmpl w:val="D2ACC554"/>
    <w:lvl w:ilvl="0" w:tentative="0">
      <w:start w:val="1"/>
      <w:numFmt w:val="lowerLetter"/>
      <w:lvlText w:val="%1)"/>
      <w:lvlJc w:val="left"/>
      <w:pPr>
        <w:ind w:left="840" w:hanging="42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DEFB5AEB"/>
    <w:multiLevelType w:val="multilevel"/>
    <w:tmpl w:val="DEFB5AEB"/>
    <w:lvl w:ilvl="0" w:tentative="0">
      <w:start w:val="5"/>
      <w:numFmt w:val="decimal"/>
      <w:isLgl/>
      <w:suff w:val="nothing"/>
      <w:lvlText w:val="%1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1" w:tentative="0">
      <w:start w:val="2"/>
      <w:numFmt w:val="decimal"/>
      <w:isLgl/>
      <w:suff w:val="nothing"/>
      <w:lvlText w:val="%1.%2　"/>
      <w:lvlJc w:val="left"/>
      <w:pPr>
        <w:tabs>
          <w:tab w:val="left" w:pos="0"/>
        </w:tabs>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2" w:tentative="0">
      <w:start w:val="2"/>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12">
    <w:nsid w:val="E7211CA5"/>
    <w:multiLevelType w:val="multilevel"/>
    <w:tmpl w:val="E7211CA5"/>
    <w:lvl w:ilvl="0" w:tentative="0">
      <w:start w:val="6"/>
      <w:numFmt w:val="decimal"/>
      <w:isLgl/>
      <w:suff w:val="nothing"/>
      <w:lvlText w:val="%1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1" w:tentative="0">
      <w:start w:val="2"/>
      <w:numFmt w:val="decimal"/>
      <w:isLgl/>
      <w:suff w:val="nothing"/>
      <w:lvlText w:val="%1.%2　"/>
      <w:lvlJc w:val="left"/>
      <w:pPr>
        <w:tabs>
          <w:tab w:val="left" w:pos="0"/>
        </w:tabs>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2" w:tentative="0">
      <w:start w:val="2"/>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13">
    <w:nsid w:val="EBB4C4B6"/>
    <w:multiLevelType w:val="singleLevel"/>
    <w:tmpl w:val="EBB4C4B6"/>
    <w:lvl w:ilvl="0" w:tentative="0">
      <w:start w:val="1"/>
      <w:numFmt w:val="lowerLetter"/>
      <w:suff w:val="space"/>
      <w:lvlText w:val="%1）"/>
      <w:lvlJc w:val="left"/>
      <w:rPr>
        <w:rFonts w:hint="default" w:ascii="Times New Roman" w:hAnsi="Times New Roman" w:cs="Times New Roman"/>
        <w:sz w:val="21"/>
        <w:szCs w:val="21"/>
      </w:rPr>
    </w:lvl>
  </w:abstractNum>
  <w:abstractNum w:abstractNumId="14">
    <w:nsid w:val="ED5E77DD"/>
    <w:multiLevelType w:val="multilevel"/>
    <w:tmpl w:val="ED5E77DD"/>
    <w:lvl w:ilvl="0" w:tentative="0">
      <w:start w:val="5"/>
      <w:numFmt w:val="decimal"/>
      <w:isLgl/>
      <w:suff w:val="nothing"/>
      <w:lvlText w:val="%1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1" w:tentative="0">
      <w:start w:val="3"/>
      <w:numFmt w:val="decimal"/>
      <w:isLgl/>
      <w:suff w:val="nothing"/>
      <w:lvlText w:val="%1.%2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2" w:tentative="0">
      <w:start w:val="2"/>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15">
    <w:nsid w:val="F0521472"/>
    <w:multiLevelType w:val="multilevel"/>
    <w:tmpl w:val="F0521472"/>
    <w:lvl w:ilvl="0" w:tentative="0">
      <w:start w:val="6"/>
      <w:numFmt w:val="decimal"/>
      <w:isLgl/>
      <w:suff w:val="nothing"/>
      <w:lvlText w:val="%1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1" w:tentative="0">
      <w:start w:val="1"/>
      <w:numFmt w:val="decimal"/>
      <w:isLgl/>
      <w:suff w:val="nothing"/>
      <w:lvlText w:val="%1.%2　"/>
      <w:lvlJc w:val="left"/>
      <w:pPr>
        <w:tabs>
          <w:tab w:val="left" w:pos="0"/>
        </w:tabs>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2" w:tentative="0">
      <w:start w:val="1"/>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16">
    <w:nsid w:val="FF1E3AB4"/>
    <w:multiLevelType w:val="multilevel"/>
    <w:tmpl w:val="FF1E3AB4"/>
    <w:lvl w:ilvl="0" w:tentative="0">
      <w:start w:val="4"/>
      <w:numFmt w:val="decimal"/>
      <w:isLgl/>
      <w:suff w:val="nothing"/>
      <w:lvlText w:val="%1　"/>
      <w:lvlJc w:val="left"/>
      <w:pPr>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1" w:tentative="0">
      <w:start w:val="2"/>
      <w:numFmt w:val="decimal"/>
      <w:isLgl/>
      <w:suff w:val="nothing"/>
      <w:lvlText w:val="%1.%2　"/>
      <w:lvlJc w:val="left"/>
      <w:pPr>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2" w:tentative="0">
      <w:start w:val="1"/>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17">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18">
    <w:nsid w:val="FFFFFF7D"/>
    <w:multiLevelType w:val="singleLevel"/>
    <w:tmpl w:val="FFFFFF7D"/>
    <w:lvl w:ilvl="0" w:tentative="0">
      <w:start w:val="1"/>
      <w:numFmt w:val="decimal"/>
      <w:pStyle w:val="52"/>
      <w:lvlText w:val="%1."/>
      <w:lvlJc w:val="left"/>
      <w:pPr>
        <w:tabs>
          <w:tab w:val="left" w:pos="1620"/>
        </w:tabs>
        <w:ind w:left="1620" w:leftChars="600" w:hanging="360" w:hangingChars="200"/>
      </w:pPr>
    </w:lvl>
  </w:abstractNum>
  <w:abstractNum w:abstractNumId="19">
    <w:nsid w:val="FFFFFF7E"/>
    <w:multiLevelType w:val="singleLevel"/>
    <w:tmpl w:val="FFFFFF7E"/>
    <w:lvl w:ilvl="0" w:tentative="0">
      <w:start w:val="1"/>
      <w:numFmt w:val="decimal"/>
      <w:pStyle w:val="43"/>
      <w:lvlText w:val="%1."/>
      <w:lvlJc w:val="left"/>
      <w:pPr>
        <w:tabs>
          <w:tab w:val="left" w:pos="1200"/>
        </w:tabs>
        <w:ind w:left="1200" w:leftChars="400" w:hanging="360" w:hangingChars="200"/>
      </w:pPr>
    </w:lvl>
  </w:abstractNum>
  <w:abstractNum w:abstractNumId="20">
    <w:nsid w:val="FFFFFF7F"/>
    <w:multiLevelType w:val="singleLevel"/>
    <w:tmpl w:val="FFFFFF7F"/>
    <w:lvl w:ilvl="0" w:tentative="0">
      <w:start w:val="1"/>
      <w:numFmt w:val="decimal"/>
      <w:pStyle w:val="22"/>
      <w:lvlText w:val="%1."/>
      <w:lvlJc w:val="left"/>
      <w:pPr>
        <w:tabs>
          <w:tab w:val="left" w:pos="780"/>
        </w:tabs>
        <w:ind w:left="780" w:leftChars="200" w:hanging="360" w:hangingChars="200"/>
      </w:pPr>
    </w:lvl>
  </w:abstractNum>
  <w:abstractNum w:abstractNumId="21">
    <w:nsid w:val="FFFFFF80"/>
    <w:multiLevelType w:val="singleLevel"/>
    <w:tmpl w:val="FFFFFF80"/>
    <w:lvl w:ilvl="0" w:tentative="0">
      <w:start w:val="1"/>
      <w:numFmt w:val="bullet"/>
      <w:pStyle w:val="51"/>
      <w:lvlText w:val=""/>
      <w:lvlJc w:val="left"/>
      <w:pPr>
        <w:tabs>
          <w:tab w:val="left" w:pos="2040"/>
        </w:tabs>
        <w:ind w:left="2040" w:leftChars="800" w:hanging="360" w:hangingChars="200"/>
      </w:pPr>
      <w:rPr>
        <w:rFonts w:hint="default" w:ascii="Wingdings" w:hAnsi="Wingdings"/>
      </w:rPr>
    </w:lvl>
  </w:abstractNum>
  <w:abstractNum w:abstractNumId="22">
    <w:nsid w:val="FFFFFF81"/>
    <w:multiLevelType w:val="singleLevel"/>
    <w:tmpl w:val="FFFFFF81"/>
    <w:lvl w:ilvl="0" w:tentative="0">
      <w:start w:val="1"/>
      <w:numFmt w:val="bullet"/>
      <w:pStyle w:val="25"/>
      <w:lvlText w:val=""/>
      <w:lvlJc w:val="left"/>
      <w:pPr>
        <w:tabs>
          <w:tab w:val="left" w:pos="1620"/>
        </w:tabs>
        <w:ind w:left="1620" w:leftChars="600" w:hanging="360" w:hangingChars="200"/>
      </w:pPr>
      <w:rPr>
        <w:rFonts w:hint="default" w:ascii="Wingdings" w:hAnsi="Wingdings"/>
      </w:rPr>
    </w:lvl>
  </w:abstractNum>
  <w:abstractNum w:abstractNumId="23">
    <w:nsid w:val="FFFFFF82"/>
    <w:multiLevelType w:val="singleLevel"/>
    <w:tmpl w:val="FFFFFF82"/>
    <w:lvl w:ilvl="0" w:tentative="0">
      <w:start w:val="1"/>
      <w:numFmt w:val="bullet"/>
      <w:pStyle w:val="41"/>
      <w:lvlText w:val=""/>
      <w:lvlJc w:val="left"/>
      <w:pPr>
        <w:tabs>
          <w:tab w:val="left" w:pos="1200"/>
        </w:tabs>
        <w:ind w:left="1200" w:leftChars="400" w:hanging="360" w:hangingChars="200"/>
      </w:pPr>
      <w:rPr>
        <w:rFonts w:hint="default" w:ascii="Wingdings" w:hAnsi="Wingdings"/>
      </w:rPr>
    </w:lvl>
  </w:abstractNum>
  <w:abstractNum w:abstractNumId="24">
    <w:nsid w:val="FFFFFF83"/>
    <w:multiLevelType w:val="singleLevel"/>
    <w:tmpl w:val="FFFFFF83"/>
    <w:lvl w:ilvl="0" w:tentative="0">
      <w:start w:val="1"/>
      <w:numFmt w:val="bullet"/>
      <w:pStyle w:val="47"/>
      <w:lvlText w:val=""/>
      <w:lvlJc w:val="left"/>
      <w:pPr>
        <w:tabs>
          <w:tab w:val="left" w:pos="780"/>
        </w:tabs>
        <w:ind w:left="780" w:leftChars="200" w:hanging="360" w:hangingChars="200"/>
      </w:pPr>
      <w:rPr>
        <w:rFonts w:hint="default" w:ascii="Wingdings" w:hAnsi="Wingdings"/>
      </w:rPr>
    </w:lvl>
  </w:abstractNum>
  <w:abstractNum w:abstractNumId="25">
    <w:nsid w:val="FFFFFF88"/>
    <w:multiLevelType w:val="singleLevel"/>
    <w:tmpl w:val="FFFFFF88"/>
    <w:lvl w:ilvl="0" w:tentative="0">
      <w:start w:val="1"/>
      <w:numFmt w:val="decimal"/>
      <w:pStyle w:val="28"/>
      <w:lvlText w:val="%1."/>
      <w:lvlJc w:val="left"/>
      <w:pPr>
        <w:tabs>
          <w:tab w:val="left" w:pos="360"/>
        </w:tabs>
        <w:ind w:left="360" w:hanging="360" w:hangingChars="200"/>
      </w:pPr>
    </w:lvl>
  </w:abstractNum>
  <w:abstractNum w:abstractNumId="26">
    <w:nsid w:val="FFFFFF89"/>
    <w:multiLevelType w:val="singleLevel"/>
    <w:tmpl w:val="FFFFFF89"/>
    <w:lvl w:ilvl="0" w:tentative="0">
      <w:start w:val="1"/>
      <w:numFmt w:val="bullet"/>
      <w:pStyle w:val="32"/>
      <w:lvlText w:val=""/>
      <w:lvlJc w:val="left"/>
      <w:pPr>
        <w:tabs>
          <w:tab w:val="left" w:pos="360"/>
        </w:tabs>
        <w:ind w:left="360" w:hanging="360" w:hangingChars="200"/>
      </w:pPr>
      <w:rPr>
        <w:rFonts w:hint="default" w:ascii="Wingdings" w:hAnsi="Wingdings"/>
      </w:rPr>
    </w:lvl>
  </w:abstractNum>
  <w:abstractNum w:abstractNumId="27">
    <w:nsid w:val="00231C3D"/>
    <w:multiLevelType w:val="multilevel"/>
    <w:tmpl w:val="00231C3D"/>
    <w:lvl w:ilvl="0" w:tentative="0">
      <w:start w:val="1"/>
      <w:numFmt w:val="lowerLetter"/>
      <w:lvlText w:val="%1)"/>
      <w:lvlJc w:val="left"/>
      <w:pPr>
        <w:ind w:left="840" w:hanging="42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9">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30">
    <w:nsid w:val="09BB8CB3"/>
    <w:multiLevelType w:val="multilevel"/>
    <w:tmpl w:val="09BB8CB3"/>
    <w:lvl w:ilvl="0" w:tentative="0">
      <w:start w:val="5"/>
      <w:numFmt w:val="decimal"/>
      <w:isLgl/>
      <w:suff w:val="nothing"/>
      <w:lvlText w:val="%1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1" w:tentative="0">
      <w:start w:val="2"/>
      <w:numFmt w:val="decimal"/>
      <w:isLgl/>
      <w:suff w:val="nothing"/>
      <w:lvlText w:val="%1.%2　"/>
      <w:lvlJc w:val="left"/>
      <w:pPr>
        <w:tabs>
          <w:tab w:val="left" w:pos="0"/>
        </w:tabs>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2" w:tentative="0">
      <w:start w:val="3"/>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31">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2">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33">
    <w:nsid w:val="16D6B51A"/>
    <w:multiLevelType w:val="multilevel"/>
    <w:tmpl w:val="16D6B51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1CCA091D"/>
    <w:multiLevelType w:val="multilevel"/>
    <w:tmpl w:val="1CCA091D"/>
    <w:lvl w:ilvl="0" w:tentative="0">
      <w:start w:val="1"/>
      <w:numFmt w:val="lowerLetter"/>
      <w:lvlText w:val="%1)"/>
      <w:lvlJc w:val="left"/>
      <w:pPr>
        <w:ind w:left="840" w:hanging="42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29915581"/>
    <w:multiLevelType w:val="multilevel"/>
    <w:tmpl w:val="29915581"/>
    <w:lvl w:ilvl="0" w:tentative="0">
      <w:start w:val="1"/>
      <w:numFmt w:val="lowerLetter"/>
      <w:lvlText w:val="%1)"/>
      <w:lvlJc w:val="left"/>
      <w:pPr>
        <w:ind w:left="840" w:hanging="42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2A46BDD0"/>
    <w:multiLevelType w:val="multilevel"/>
    <w:tmpl w:val="2A46BDD0"/>
    <w:lvl w:ilvl="0" w:tentative="0">
      <w:start w:val="1"/>
      <w:numFmt w:val="lowerLetter"/>
      <w:lvlText w:val="%1)"/>
      <w:lvlJc w:val="left"/>
      <w:pPr>
        <w:ind w:left="840" w:hanging="42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8">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9">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0">
    <w:nsid w:val="39D75A2F"/>
    <w:multiLevelType w:val="multilevel"/>
    <w:tmpl w:val="39D75A2F"/>
    <w:lvl w:ilvl="0" w:tentative="0">
      <w:start w:val="6"/>
      <w:numFmt w:val="decimal"/>
      <w:isLgl/>
      <w:suff w:val="nothing"/>
      <w:lvlText w:val="%1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1" w:tentative="0">
      <w:start w:val="2"/>
      <w:numFmt w:val="decimal"/>
      <w:isLgl/>
      <w:suff w:val="nothing"/>
      <w:lvlText w:val="%1.%2　"/>
      <w:lvlJc w:val="left"/>
      <w:pPr>
        <w:tabs>
          <w:tab w:val="left" w:pos="0"/>
        </w:tabs>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2" w:tentative="0">
      <w:start w:val="3"/>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41">
    <w:nsid w:val="3C2B84D8"/>
    <w:multiLevelType w:val="multilevel"/>
    <w:tmpl w:val="3C2B84D8"/>
    <w:lvl w:ilvl="0" w:tentative="0">
      <w:start w:val="4"/>
      <w:numFmt w:val="decimal"/>
      <w:isLgl/>
      <w:suff w:val="nothing"/>
      <w:lvlText w:val="%1　"/>
      <w:lvlJc w:val="left"/>
      <w:pPr>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1" w:tentative="0">
      <w:start w:val="3"/>
      <w:numFmt w:val="decimal"/>
      <w:isLgl/>
      <w:suff w:val="nothing"/>
      <w:lvlText w:val="%1.%2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2" w:tentative="0">
      <w:start w:val="2"/>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42">
    <w:nsid w:val="3CB21670"/>
    <w:multiLevelType w:val="multilevel"/>
    <w:tmpl w:val="3CB21670"/>
    <w:lvl w:ilvl="0" w:tentative="0">
      <w:start w:val="4"/>
      <w:numFmt w:val="decimal"/>
      <w:isLgl/>
      <w:suff w:val="nothing"/>
      <w:lvlText w:val="%1　"/>
      <w:lvlJc w:val="left"/>
      <w:pPr>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1" w:tentative="0">
      <w:start w:val="2"/>
      <w:numFmt w:val="decimal"/>
      <w:isLgl/>
      <w:suff w:val="nothing"/>
      <w:lvlText w:val="%1.%2　"/>
      <w:lvlJc w:val="left"/>
      <w:pPr>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2" w:tentative="0">
      <w:start w:val="2"/>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43">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4">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5">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46">
    <w:nsid w:val="4CB0456F"/>
    <w:multiLevelType w:val="multilevel"/>
    <w:tmpl w:val="4CB0456F"/>
    <w:lvl w:ilvl="0" w:tentative="0">
      <w:start w:val="1"/>
      <w:numFmt w:val="lowerLetter"/>
      <w:lvlText w:val="%1)"/>
      <w:lvlJc w:val="left"/>
      <w:pPr>
        <w:ind w:left="840" w:hanging="42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52C6DC7D"/>
    <w:multiLevelType w:val="multilevel"/>
    <w:tmpl w:val="52C6DC7D"/>
    <w:lvl w:ilvl="0" w:tentative="0">
      <w:start w:val="6"/>
      <w:numFmt w:val="decimal"/>
      <w:isLgl/>
      <w:suff w:val="nothing"/>
      <w:lvlText w:val="%1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1" w:tentative="0">
      <w:start w:val="3"/>
      <w:numFmt w:val="decimal"/>
      <w:isLgl/>
      <w:suff w:val="nothing"/>
      <w:lvlText w:val="%1.%2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2" w:tentative="0">
      <w:start w:val="3"/>
      <w:numFmt w:val="decimal"/>
      <w:lvlRestart w:val="0"/>
      <w:isLgl/>
      <w:suff w:val="nothing"/>
      <w:lvlText w:val="%1.%2.%3　"/>
      <w:lvlJc w:val="left"/>
      <w:pPr>
        <w:tabs>
          <w:tab w:val="left" w:pos="0"/>
        </w:tabs>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48">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57AA6CD6"/>
    <w:multiLevelType w:val="multilevel"/>
    <w:tmpl w:val="57AA6CD6"/>
    <w:lvl w:ilvl="0" w:tentative="0">
      <w:start w:val="1"/>
      <w:numFmt w:val="lowerLetter"/>
      <w:lvlText w:val="%1)"/>
      <w:lvlJc w:val="left"/>
      <w:pPr>
        <w:ind w:left="840" w:hanging="42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1">
    <w:nsid w:val="5F3F3008"/>
    <w:multiLevelType w:val="multilevel"/>
    <w:tmpl w:val="5F3F3008"/>
    <w:lvl w:ilvl="0" w:tentative="0">
      <w:start w:val="5"/>
      <w:numFmt w:val="decimal"/>
      <w:isLgl/>
      <w:suff w:val="nothing"/>
      <w:lvlText w:val="%1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1" w:tentative="0">
      <w:start w:val="1"/>
      <w:numFmt w:val="decimal"/>
      <w:isLgl/>
      <w:suff w:val="nothing"/>
      <w:lvlText w:val="%1.%2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2" w:tentative="0">
      <w:start w:val="2"/>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52">
    <w:nsid w:val="60A66365"/>
    <w:multiLevelType w:val="multilevel"/>
    <w:tmpl w:val="60A66365"/>
    <w:lvl w:ilvl="0" w:tentative="0">
      <w:start w:val="6"/>
      <w:numFmt w:val="decimal"/>
      <w:isLgl/>
      <w:suff w:val="nothing"/>
      <w:lvlText w:val="%1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1" w:tentative="0">
      <w:start w:val="3"/>
      <w:numFmt w:val="decimal"/>
      <w:isLgl/>
      <w:suff w:val="nothing"/>
      <w:lvlText w:val="%1.%2　"/>
      <w:lvlJc w:val="left"/>
      <w:pPr>
        <w:tabs>
          <w:tab w:val="left" w:pos="0"/>
        </w:tabs>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2" w:tentative="0">
      <w:start w:val="1"/>
      <w:numFmt w:val="decimal"/>
      <w:lvlRestart w:val="0"/>
      <w:isLgl/>
      <w:suff w:val="nothing"/>
      <w:lvlText w:val="%1.%2.%3　"/>
      <w:lvlJc w:val="left"/>
      <w:pPr>
        <w:tabs>
          <w:tab w:val="left" w:pos="0"/>
        </w:tabs>
        <w:ind w:left="0" w:firstLine="0"/>
      </w:pPr>
      <w:rPr>
        <w:rFonts w:hint="default" w:ascii="黑体" w:hAnsi="黑体" w:eastAsia="黑体" w:cs="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53">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4">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5">
    <w:nsid w:val="6CFC3F87"/>
    <w:multiLevelType w:val="multilevel"/>
    <w:tmpl w:val="6CFC3F8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6D4E27D0"/>
    <w:multiLevelType w:val="multilevel"/>
    <w:tmpl w:val="6D4E27D0"/>
    <w:lvl w:ilvl="0" w:tentative="0">
      <w:start w:val="1"/>
      <w:numFmt w:val="lowerLetter"/>
      <w:lvlText w:val="%1)"/>
      <w:lvlJc w:val="left"/>
      <w:pPr>
        <w:ind w:left="840" w:hanging="42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8">
    <w:nsid w:val="755B4136"/>
    <w:multiLevelType w:val="multilevel"/>
    <w:tmpl w:val="755B4136"/>
    <w:lvl w:ilvl="0" w:tentative="0">
      <w:start w:val="4"/>
      <w:numFmt w:val="decimal"/>
      <w:isLgl/>
      <w:suff w:val="nothing"/>
      <w:lvlText w:val="%1　"/>
      <w:lvlJc w:val="left"/>
      <w:pPr>
        <w:ind w:left="0" w:firstLine="0"/>
      </w:pPr>
      <w:rPr>
        <w:rFonts w:hint="default" w:ascii="宋体" w:hAnsi="宋体" w:eastAsia="宋体" w:cs="宋体"/>
        <w:b w:val="0"/>
        <w:i w:val="0"/>
        <w:caps w:val="0"/>
        <w:strike w:val="0"/>
        <w:dstrike w:val="0"/>
        <w:vanish w:val="0"/>
        <w:color w:val="auto"/>
        <w:spacing w:val="0"/>
        <w:w w:val="100"/>
        <w:position w:val="0"/>
        <w:sz w:val="21"/>
        <w:u w:val="none"/>
        <w:vertAlign w:val="baseline"/>
      </w:rPr>
    </w:lvl>
    <w:lvl w:ilvl="1" w:tentative="0">
      <w:start w:val="1"/>
      <w:numFmt w:val="decimal"/>
      <w:isLgl/>
      <w:suff w:val="nothing"/>
      <w:lvlText w:val="%1.%2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2" w:tentative="0">
      <w:start w:val="1"/>
      <w:numFmt w:val="decimal"/>
      <w:lvlRestart w:val="0"/>
      <w:isLgl/>
      <w:suff w:val="nothing"/>
      <w:lvlText w:val="%1.%2.%3　"/>
      <w:lvlJc w:val="left"/>
      <w:pPr>
        <w:tabs>
          <w:tab w:val="left" w:pos="0"/>
        </w:tabs>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59">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60">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7B735AA2"/>
    <w:multiLevelType w:val="multilevel"/>
    <w:tmpl w:val="7B735AA2"/>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710" w:firstLine="0"/>
      </w:pPr>
      <w:rPr>
        <w:rFonts w:hint="default"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u w:val="none"/>
        <w:vertAlign w:val="baseline"/>
        <w14:textFill>
          <w14:solidFill>
            <w14:schemeClr w14:val="tx1"/>
          </w14:solidFill>
        </w14:textFill>
      </w:rPr>
    </w:lvl>
    <w:lvl w:ilvl="2" w:tentative="0">
      <w:start w:val="1"/>
      <w:numFmt w:val="decimal"/>
      <w:lvlRestart w:val="0"/>
      <w:pStyle w:val="261"/>
      <w:suff w:val="nothing"/>
      <w:lvlText w:val="%1.%2.%3　"/>
      <w:lvlJc w:val="left"/>
      <w:pPr>
        <w:tabs>
          <w:tab w:val="left" w:pos="0"/>
        </w:tabs>
        <w:ind w:left="142" w:firstLine="0"/>
      </w:pPr>
      <w:rPr>
        <w:rFonts w:hint="default"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0"/>
  </w:num>
  <w:num w:numId="2">
    <w:abstractNumId w:val="22"/>
  </w:num>
  <w:num w:numId="3">
    <w:abstractNumId w:val="25"/>
  </w:num>
  <w:num w:numId="4">
    <w:abstractNumId w:val="26"/>
  </w:num>
  <w:num w:numId="5">
    <w:abstractNumId w:val="23"/>
  </w:num>
  <w:num w:numId="6">
    <w:abstractNumId w:val="19"/>
  </w:num>
  <w:num w:numId="7">
    <w:abstractNumId w:val="24"/>
  </w:num>
  <w:num w:numId="8">
    <w:abstractNumId w:val="21"/>
  </w:num>
  <w:num w:numId="9">
    <w:abstractNumId w:val="18"/>
  </w:num>
  <w:num w:numId="10">
    <w:abstractNumId w:val="17"/>
  </w:num>
  <w:num w:numId="11">
    <w:abstractNumId w:val="61"/>
  </w:num>
  <w:num w:numId="12">
    <w:abstractNumId w:val="54"/>
  </w:num>
  <w:num w:numId="13">
    <w:abstractNumId w:val="53"/>
  </w:num>
  <w:num w:numId="14">
    <w:abstractNumId w:val="37"/>
  </w:num>
  <w:num w:numId="15">
    <w:abstractNumId w:val="60"/>
  </w:num>
  <w:num w:numId="16">
    <w:abstractNumId w:val="31"/>
  </w:num>
  <w:num w:numId="17">
    <w:abstractNumId w:val="44"/>
  </w:num>
  <w:num w:numId="18">
    <w:abstractNumId w:val="50"/>
  </w:num>
  <w:num w:numId="19">
    <w:abstractNumId w:val="29"/>
  </w:num>
  <w:num w:numId="20">
    <w:abstractNumId w:val="48"/>
  </w:num>
  <w:num w:numId="21">
    <w:abstractNumId w:val="57"/>
  </w:num>
  <w:num w:numId="22">
    <w:abstractNumId w:val="28"/>
  </w:num>
  <w:num w:numId="23">
    <w:abstractNumId w:val="43"/>
  </w:num>
  <w:num w:numId="24">
    <w:abstractNumId w:val="45"/>
  </w:num>
  <w:num w:numId="25">
    <w:abstractNumId w:val="59"/>
  </w:num>
  <w:num w:numId="26">
    <w:abstractNumId w:val="32"/>
  </w:num>
  <w:num w:numId="27">
    <w:abstractNumId w:val="39"/>
  </w:num>
  <w:num w:numId="28">
    <w:abstractNumId w:val="38"/>
  </w:num>
  <w:num w:numId="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num>
  <w:num w:numId="31">
    <w:abstractNumId w:val="16"/>
  </w:num>
  <w:num w:numId="32">
    <w:abstractNumId w:val="13"/>
  </w:num>
  <w:num w:numId="33">
    <w:abstractNumId w:val="42"/>
  </w:num>
  <w:num w:numId="34">
    <w:abstractNumId w:val="55"/>
  </w:num>
  <w:num w:numId="35">
    <w:abstractNumId w:val="41"/>
  </w:num>
  <w:num w:numId="36">
    <w:abstractNumId w:val="33"/>
  </w:num>
  <w:num w:numId="37">
    <w:abstractNumId w:val="14"/>
  </w:num>
  <w:num w:numId="38">
    <w:abstractNumId w:val="51"/>
  </w:num>
  <w:num w:numId="39">
    <w:abstractNumId w:val="2"/>
  </w:num>
  <w:num w:numId="40">
    <w:abstractNumId w:val="8"/>
  </w:num>
  <w:num w:numId="41">
    <w:abstractNumId w:val="49"/>
  </w:num>
  <w:num w:numId="42">
    <w:abstractNumId w:val="11"/>
  </w:num>
  <w:num w:numId="43">
    <w:abstractNumId w:val="35"/>
  </w:num>
  <w:num w:numId="44">
    <w:abstractNumId w:val="30"/>
  </w:num>
  <w:num w:numId="45">
    <w:abstractNumId w:val="56"/>
  </w:num>
  <w:num w:numId="46">
    <w:abstractNumId w:val="15"/>
  </w:num>
  <w:num w:numId="47">
    <w:abstractNumId w:val="0"/>
  </w:num>
  <w:num w:numId="48">
    <w:abstractNumId w:val="7"/>
  </w:num>
  <w:num w:numId="49">
    <w:abstractNumId w:val="27"/>
  </w:num>
  <w:num w:numId="50">
    <w:abstractNumId w:val="6"/>
  </w:num>
  <w:num w:numId="51">
    <w:abstractNumId w:val="3"/>
  </w:num>
  <w:num w:numId="52">
    <w:abstractNumId w:val="46"/>
  </w:num>
  <w:num w:numId="53">
    <w:abstractNumId w:val="12"/>
  </w:num>
  <w:num w:numId="54">
    <w:abstractNumId w:val="10"/>
  </w:num>
  <w:num w:numId="55">
    <w:abstractNumId w:val="40"/>
  </w:num>
  <w:num w:numId="56">
    <w:abstractNumId w:val="34"/>
  </w:num>
  <w:num w:numId="57">
    <w:abstractNumId w:val="47"/>
  </w:num>
  <w:num w:numId="58">
    <w:abstractNumId w:val="52"/>
  </w:num>
  <w:num w:numId="59">
    <w:abstractNumId w:val="36"/>
  </w:num>
  <w:num w:numId="60">
    <w:abstractNumId w:val="4"/>
  </w:num>
  <w:num w:numId="61">
    <w:abstractNumId w:val="5"/>
  </w:num>
  <w:num w:numId="62">
    <w:abstractNumId w:val="9"/>
  </w:num>
  <w:num w:numId="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1"/>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NGRlYWY4OGJhNGZlMmRjNzIxMGM4NWRkNzI3OTIifQ=="/>
  </w:docVars>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56FB"/>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1E35"/>
    <w:rsid w:val="00405B77"/>
    <w:rsid w:val="00406CC1"/>
    <w:rsid w:val="0041207A"/>
    <w:rsid w:val="004149CE"/>
    <w:rsid w:val="00431DEE"/>
    <w:rsid w:val="00435991"/>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86537"/>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6F39EF"/>
    <w:rsid w:val="007064A5"/>
    <w:rsid w:val="007141B1"/>
    <w:rsid w:val="00715BD0"/>
    <w:rsid w:val="00727842"/>
    <w:rsid w:val="00743CC7"/>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32699"/>
    <w:rsid w:val="008345DD"/>
    <w:rsid w:val="00846D16"/>
    <w:rsid w:val="00852FD6"/>
    <w:rsid w:val="00854E15"/>
    <w:rsid w:val="00862997"/>
    <w:rsid w:val="0086798F"/>
    <w:rsid w:val="008708FD"/>
    <w:rsid w:val="00876547"/>
    <w:rsid w:val="0089112B"/>
    <w:rsid w:val="008950F1"/>
    <w:rsid w:val="008C0296"/>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95610"/>
    <w:rsid w:val="009A2C2B"/>
    <w:rsid w:val="009C0704"/>
    <w:rsid w:val="009C337D"/>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C6C4C"/>
    <w:rsid w:val="00BE027D"/>
    <w:rsid w:val="00BF3DB8"/>
    <w:rsid w:val="00BF533F"/>
    <w:rsid w:val="00C048E2"/>
    <w:rsid w:val="00C12F1C"/>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D0CF3"/>
    <w:rsid w:val="00ED1474"/>
    <w:rsid w:val="00ED7098"/>
    <w:rsid w:val="00EE4858"/>
    <w:rsid w:val="00EE4A1A"/>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 w:val="014063FE"/>
    <w:rsid w:val="020D471A"/>
    <w:rsid w:val="05193DFF"/>
    <w:rsid w:val="05A21435"/>
    <w:rsid w:val="09532A47"/>
    <w:rsid w:val="09EC7123"/>
    <w:rsid w:val="0A801619"/>
    <w:rsid w:val="0CB657C6"/>
    <w:rsid w:val="0CB952B6"/>
    <w:rsid w:val="0D097FEC"/>
    <w:rsid w:val="0DB066B9"/>
    <w:rsid w:val="0F091BA4"/>
    <w:rsid w:val="0F317386"/>
    <w:rsid w:val="10507CE0"/>
    <w:rsid w:val="107C2883"/>
    <w:rsid w:val="10BD35C7"/>
    <w:rsid w:val="116A1D7B"/>
    <w:rsid w:val="11FF551A"/>
    <w:rsid w:val="178F320C"/>
    <w:rsid w:val="185C42C4"/>
    <w:rsid w:val="18EB67F8"/>
    <w:rsid w:val="19EF2318"/>
    <w:rsid w:val="1A044015"/>
    <w:rsid w:val="1A98475D"/>
    <w:rsid w:val="1B99253B"/>
    <w:rsid w:val="1C5A1D65"/>
    <w:rsid w:val="1E5E7A6C"/>
    <w:rsid w:val="1FDD17D7"/>
    <w:rsid w:val="209B4FA7"/>
    <w:rsid w:val="21374CD0"/>
    <w:rsid w:val="2358717F"/>
    <w:rsid w:val="24BB79C6"/>
    <w:rsid w:val="253A03BE"/>
    <w:rsid w:val="26BF0048"/>
    <w:rsid w:val="270A0791"/>
    <w:rsid w:val="270D202F"/>
    <w:rsid w:val="27E13825"/>
    <w:rsid w:val="296C128F"/>
    <w:rsid w:val="29DD040A"/>
    <w:rsid w:val="2A6E7289"/>
    <w:rsid w:val="2AE35581"/>
    <w:rsid w:val="2BF32755"/>
    <w:rsid w:val="2C273823"/>
    <w:rsid w:val="2C923702"/>
    <w:rsid w:val="2D35408E"/>
    <w:rsid w:val="2E103F6A"/>
    <w:rsid w:val="2E8F1215"/>
    <w:rsid w:val="2EAA19E3"/>
    <w:rsid w:val="2F10090E"/>
    <w:rsid w:val="2F3145A5"/>
    <w:rsid w:val="300A7A53"/>
    <w:rsid w:val="30123DDF"/>
    <w:rsid w:val="306B482B"/>
    <w:rsid w:val="306C7DC6"/>
    <w:rsid w:val="312312DE"/>
    <w:rsid w:val="31305298"/>
    <w:rsid w:val="322170CA"/>
    <w:rsid w:val="32566F80"/>
    <w:rsid w:val="328246AE"/>
    <w:rsid w:val="32E7400F"/>
    <w:rsid w:val="33784CD4"/>
    <w:rsid w:val="34606E67"/>
    <w:rsid w:val="34993154"/>
    <w:rsid w:val="35F76384"/>
    <w:rsid w:val="391C7CFE"/>
    <w:rsid w:val="393F4DC4"/>
    <w:rsid w:val="396B7F4D"/>
    <w:rsid w:val="39D859D0"/>
    <w:rsid w:val="3CD34D2D"/>
    <w:rsid w:val="3CE903A3"/>
    <w:rsid w:val="3D0B3649"/>
    <w:rsid w:val="3D4E71D1"/>
    <w:rsid w:val="3EB64DA7"/>
    <w:rsid w:val="3EC74EF2"/>
    <w:rsid w:val="431C1B20"/>
    <w:rsid w:val="45A4380B"/>
    <w:rsid w:val="45C678F7"/>
    <w:rsid w:val="463F3332"/>
    <w:rsid w:val="47AE6E57"/>
    <w:rsid w:val="48AB372A"/>
    <w:rsid w:val="48FE0B6D"/>
    <w:rsid w:val="4ACC5BD9"/>
    <w:rsid w:val="4B2F4FEA"/>
    <w:rsid w:val="4B83273C"/>
    <w:rsid w:val="4BC13264"/>
    <w:rsid w:val="4C2061DD"/>
    <w:rsid w:val="4CF51418"/>
    <w:rsid w:val="4D135D42"/>
    <w:rsid w:val="4D4077B6"/>
    <w:rsid w:val="4D5F3CB7"/>
    <w:rsid w:val="4E7162F3"/>
    <w:rsid w:val="50047BC4"/>
    <w:rsid w:val="512E4EF8"/>
    <w:rsid w:val="526675CC"/>
    <w:rsid w:val="54DA7145"/>
    <w:rsid w:val="551064A4"/>
    <w:rsid w:val="56350AD7"/>
    <w:rsid w:val="57CF6D09"/>
    <w:rsid w:val="57E83B12"/>
    <w:rsid w:val="58DA5965"/>
    <w:rsid w:val="58E4212F"/>
    <w:rsid w:val="58F17521"/>
    <w:rsid w:val="590C2577"/>
    <w:rsid w:val="5A4438D8"/>
    <w:rsid w:val="5BCF72D8"/>
    <w:rsid w:val="5CBC5AAE"/>
    <w:rsid w:val="5DCD56CE"/>
    <w:rsid w:val="5DDB071C"/>
    <w:rsid w:val="5DE87F72"/>
    <w:rsid w:val="5E400EEE"/>
    <w:rsid w:val="5EF03005"/>
    <w:rsid w:val="5F1C6667"/>
    <w:rsid w:val="5FB07C6B"/>
    <w:rsid w:val="605A7409"/>
    <w:rsid w:val="6065020A"/>
    <w:rsid w:val="60FD6695"/>
    <w:rsid w:val="613D2F35"/>
    <w:rsid w:val="623661DA"/>
    <w:rsid w:val="625B26FD"/>
    <w:rsid w:val="645C355B"/>
    <w:rsid w:val="66CA526B"/>
    <w:rsid w:val="6A874C83"/>
    <w:rsid w:val="6D59574F"/>
    <w:rsid w:val="6DDB7D5E"/>
    <w:rsid w:val="6E41067E"/>
    <w:rsid w:val="6E8B3532"/>
    <w:rsid w:val="6ECE341F"/>
    <w:rsid w:val="6F9208F0"/>
    <w:rsid w:val="70096586"/>
    <w:rsid w:val="70761FC0"/>
    <w:rsid w:val="70DF36C1"/>
    <w:rsid w:val="71AD37BF"/>
    <w:rsid w:val="71B2527A"/>
    <w:rsid w:val="737427E7"/>
    <w:rsid w:val="763E33A9"/>
    <w:rsid w:val="770E6AAE"/>
    <w:rsid w:val="77180E79"/>
    <w:rsid w:val="77D21A7F"/>
    <w:rsid w:val="78C43087"/>
    <w:rsid w:val="79625C38"/>
    <w:rsid w:val="7B3311D9"/>
    <w:rsid w:val="7BD06A28"/>
    <w:rsid w:val="7CC370F5"/>
    <w:rsid w:val="7D704569"/>
    <w:rsid w:val="7DDD542C"/>
    <w:rsid w:val="7E5F1635"/>
    <w:rsid w:val="7ED93E46"/>
    <w:rsid w:val="7F2A644F"/>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semiHidden="0"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uiPriority="63" w:name="Medium Shading 1"/>
    <w:lsdException w:qFormat="1" w:uiPriority="64" w:name="Medium Shading 2"/>
    <w:lsdException w:uiPriority="65" w:name="Medium List 1"/>
    <w:lsdException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uiPriority="63" w:name="Medium Shading 1 Accent 1"/>
    <w:lsdException w:uiPriority="64" w:name="Medium Shading 2 Accent 1"/>
    <w:lsdException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uiPriority="64" w:name="Medium Shading 2 Accent 4"/>
    <w:lsdException w:uiPriority="65" w:name="Medium List 1 Accent 4"/>
    <w:lsdException w:qFormat="1" w:uiPriority="66" w:name="Medium List 2 Accent 4"/>
    <w:lsdException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uiPriority="64" w:name="Medium Shading 2 Accent 6"/>
    <w:lsdException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qFormat/>
    <w:uiPriority w:val="0"/>
    <w:pPr>
      <w:keepNext/>
      <w:keepLines/>
      <w:spacing w:before="240" w:after="64" w:line="320" w:lineRule="auto"/>
      <w:outlineLvl w:val="6"/>
    </w:pPr>
    <w:rPr>
      <w:b/>
      <w:bCs/>
      <w:sz w:val="24"/>
    </w:rPr>
  </w:style>
  <w:style w:type="paragraph" w:styleId="12">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3"/>
    <w:next w:val="3"/>
    <w:link w:val="333"/>
    <w:semiHidden/>
    <w:unhideWhenUsed/>
    <w:qFormat/>
    <w:uiPriority w:val="99"/>
    <w:pPr>
      <w:spacing w:after="120"/>
    </w:pPr>
  </w:style>
  <w:style w:type="paragraph" w:styleId="3">
    <w:name w:val="Title"/>
    <w:basedOn w:val="1"/>
    <w:next w:val="1"/>
    <w:qFormat/>
    <w:uiPriority w:val="0"/>
    <w:pPr>
      <w:spacing w:before="240" w:after="60"/>
      <w:jc w:val="center"/>
      <w:outlineLvl w:val="0"/>
    </w:pPr>
    <w:rPr>
      <w:rFonts w:ascii="Arial" w:hAnsi="Arial" w:cs="Arial"/>
      <w:b/>
      <w:bCs/>
      <w:sz w:val="32"/>
      <w:szCs w:val="32"/>
    </w:rPr>
  </w:style>
  <w:style w:type="paragraph" w:styleId="4">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semiHidden/>
    <w:unhideWhenUsed/>
    <w:qFormat/>
    <w:uiPriority w:val="99"/>
    <w:pPr>
      <w:ind w:left="100" w:leftChars="400" w:hanging="200" w:hangingChars="200"/>
      <w:contextualSpacing/>
    </w:pPr>
  </w:style>
  <w:style w:type="paragraph" w:styleId="15">
    <w:name w:val="toc 7"/>
    <w:basedOn w:val="16"/>
    <w:next w:val="1"/>
    <w:semiHidden/>
    <w:qFormat/>
    <w:uiPriority w:val="0"/>
    <w:pPr>
      <w:ind w:left="500" w:leftChars="500"/>
    </w:pPr>
  </w:style>
  <w:style w:type="paragraph" w:styleId="16">
    <w:name w:val="toc 6"/>
    <w:basedOn w:val="17"/>
    <w:next w:val="1"/>
    <w:semiHidden/>
    <w:qFormat/>
    <w:uiPriority w:val="0"/>
    <w:pPr>
      <w:ind w:left="400" w:leftChars="400"/>
    </w:pPr>
  </w:style>
  <w:style w:type="paragraph" w:styleId="17">
    <w:name w:val="toc 5"/>
    <w:basedOn w:val="18"/>
    <w:next w:val="1"/>
    <w:semiHidden/>
    <w:qFormat/>
    <w:uiPriority w:val="0"/>
    <w:pPr>
      <w:ind w:left="300" w:leftChars="300"/>
    </w:pPr>
  </w:style>
  <w:style w:type="paragraph" w:styleId="18">
    <w:name w:val="toc 4"/>
    <w:basedOn w:val="19"/>
    <w:next w:val="1"/>
    <w:semiHidden/>
    <w:qFormat/>
    <w:uiPriority w:val="0"/>
    <w:pPr>
      <w:ind w:left="200" w:leftChars="200"/>
    </w:pPr>
  </w:style>
  <w:style w:type="paragraph" w:styleId="19">
    <w:name w:val="toc 3"/>
    <w:basedOn w:val="20"/>
    <w:next w:val="1"/>
    <w:qFormat/>
    <w:uiPriority w:val="39"/>
    <w:pPr>
      <w:ind w:left="100" w:leftChars="100"/>
    </w:pPr>
  </w:style>
  <w:style w:type="paragraph" w:styleId="20">
    <w:name w:val="toc 2"/>
    <w:basedOn w:val="21"/>
    <w:next w:val="1"/>
    <w:qFormat/>
    <w:uiPriority w:val="39"/>
  </w:style>
  <w:style w:type="paragraph" w:styleId="21">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2">
    <w:name w:val="List Number 2"/>
    <w:basedOn w:val="1"/>
    <w:semiHidden/>
    <w:unhideWhenUsed/>
    <w:qFormat/>
    <w:uiPriority w:val="99"/>
    <w:pPr>
      <w:numPr>
        <w:ilvl w:val="0"/>
        <w:numId w:val="1"/>
      </w:numPr>
      <w:contextualSpacing/>
    </w:pPr>
  </w:style>
  <w:style w:type="paragraph" w:styleId="23">
    <w:name w:val="table of authorities"/>
    <w:basedOn w:val="1"/>
    <w:next w:val="1"/>
    <w:semiHidden/>
    <w:unhideWhenUsed/>
    <w:qFormat/>
    <w:uiPriority w:val="99"/>
    <w:pPr>
      <w:ind w:left="420" w:leftChars="200"/>
    </w:pPr>
  </w:style>
  <w:style w:type="paragraph" w:styleId="24">
    <w:name w:val="Note Heading"/>
    <w:basedOn w:val="1"/>
    <w:next w:val="1"/>
    <w:link w:val="492"/>
    <w:semiHidden/>
    <w:unhideWhenUsed/>
    <w:qFormat/>
    <w:uiPriority w:val="99"/>
    <w:pPr>
      <w:jc w:val="center"/>
    </w:pPr>
  </w:style>
  <w:style w:type="paragraph" w:styleId="25">
    <w:name w:val="List Bullet 4"/>
    <w:basedOn w:val="1"/>
    <w:semiHidden/>
    <w:unhideWhenUsed/>
    <w:qFormat/>
    <w:uiPriority w:val="99"/>
    <w:pPr>
      <w:numPr>
        <w:ilvl w:val="0"/>
        <w:numId w:val="2"/>
      </w:numPr>
      <w:contextualSpacing/>
    </w:pPr>
  </w:style>
  <w:style w:type="paragraph" w:styleId="26">
    <w:name w:val="index 8"/>
    <w:basedOn w:val="1"/>
    <w:next w:val="1"/>
    <w:semiHidden/>
    <w:unhideWhenUsed/>
    <w:qFormat/>
    <w:uiPriority w:val="99"/>
    <w:pPr>
      <w:ind w:left="1400" w:leftChars="1400"/>
    </w:pPr>
  </w:style>
  <w:style w:type="paragraph" w:styleId="27">
    <w:name w:val="E-mail Signature"/>
    <w:basedOn w:val="1"/>
    <w:link w:val="358"/>
    <w:semiHidden/>
    <w:unhideWhenUsed/>
    <w:qFormat/>
    <w:uiPriority w:val="99"/>
  </w:style>
  <w:style w:type="paragraph" w:styleId="28">
    <w:name w:val="List Number"/>
    <w:basedOn w:val="1"/>
    <w:semiHidden/>
    <w:unhideWhenUsed/>
    <w:qFormat/>
    <w:uiPriority w:val="99"/>
    <w:pPr>
      <w:numPr>
        <w:ilvl w:val="0"/>
        <w:numId w:val="3"/>
      </w:numPr>
      <w:contextualSpacing/>
    </w:pPr>
  </w:style>
  <w:style w:type="paragraph" w:styleId="29">
    <w:name w:val="Normal Indent"/>
    <w:basedOn w:val="1"/>
    <w:semiHidden/>
    <w:unhideWhenUsed/>
    <w:qFormat/>
    <w:uiPriority w:val="99"/>
    <w:pPr>
      <w:ind w:firstLine="420" w:firstLineChars="200"/>
    </w:pPr>
  </w:style>
  <w:style w:type="paragraph" w:styleId="30">
    <w:name w:val="caption"/>
    <w:basedOn w:val="1"/>
    <w:next w:val="1"/>
    <w:qFormat/>
    <w:uiPriority w:val="0"/>
    <w:rPr>
      <w:rFonts w:ascii="宋体" w:hAnsi="Arial" w:cs="Arial"/>
      <w:szCs w:val="20"/>
    </w:rPr>
  </w:style>
  <w:style w:type="paragraph" w:styleId="31">
    <w:name w:val="index 5"/>
    <w:basedOn w:val="1"/>
    <w:next w:val="1"/>
    <w:semiHidden/>
    <w:unhideWhenUsed/>
    <w:qFormat/>
    <w:uiPriority w:val="99"/>
    <w:pPr>
      <w:ind w:left="800" w:leftChars="800"/>
    </w:pPr>
  </w:style>
  <w:style w:type="paragraph" w:styleId="32">
    <w:name w:val="List Bullet"/>
    <w:basedOn w:val="1"/>
    <w:semiHidden/>
    <w:unhideWhenUsed/>
    <w:qFormat/>
    <w:uiPriority w:val="99"/>
    <w:pPr>
      <w:numPr>
        <w:ilvl w:val="0"/>
        <w:numId w:val="4"/>
      </w:numPr>
      <w:contextualSpacing/>
    </w:pPr>
  </w:style>
  <w:style w:type="paragraph" w:styleId="33">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4">
    <w:name w:val="Document Map"/>
    <w:basedOn w:val="1"/>
    <w:link w:val="474"/>
    <w:semiHidden/>
    <w:unhideWhenUsed/>
    <w:qFormat/>
    <w:uiPriority w:val="99"/>
    <w:rPr>
      <w:rFonts w:ascii="Microsoft YaHei UI" w:eastAsia="Microsoft YaHei UI"/>
      <w:sz w:val="18"/>
      <w:szCs w:val="18"/>
    </w:rPr>
  </w:style>
  <w:style w:type="paragraph" w:styleId="35">
    <w:name w:val="toa heading"/>
    <w:basedOn w:val="1"/>
    <w:next w:val="1"/>
    <w:semiHidden/>
    <w:unhideWhenUsed/>
    <w:qFormat/>
    <w:uiPriority w:val="99"/>
    <w:pPr>
      <w:spacing w:before="120"/>
    </w:pPr>
    <w:rPr>
      <w:rFonts w:asciiTheme="majorHAnsi" w:hAnsiTheme="majorHAnsi" w:cstheme="majorBidi"/>
      <w:sz w:val="24"/>
    </w:rPr>
  </w:style>
  <w:style w:type="paragraph" w:styleId="36">
    <w:name w:val="annotation text"/>
    <w:basedOn w:val="1"/>
    <w:link w:val="368"/>
    <w:unhideWhenUsed/>
    <w:qFormat/>
    <w:uiPriority w:val="99"/>
    <w:pPr>
      <w:jc w:val="left"/>
    </w:pPr>
  </w:style>
  <w:style w:type="paragraph" w:styleId="37">
    <w:name w:val="index 6"/>
    <w:basedOn w:val="1"/>
    <w:next w:val="1"/>
    <w:semiHidden/>
    <w:unhideWhenUsed/>
    <w:qFormat/>
    <w:uiPriority w:val="99"/>
    <w:pPr>
      <w:ind w:left="1000" w:leftChars="1000"/>
    </w:pPr>
  </w:style>
  <w:style w:type="paragraph" w:styleId="38">
    <w:name w:val="Salutation"/>
    <w:basedOn w:val="1"/>
    <w:next w:val="1"/>
    <w:link w:val="356"/>
    <w:semiHidden/>
    <w:unhideWhenUsed/>
    <w:qFormat/>
    <w:uiPriority w:val="99"/>
  </w:style>
  <w:style w:type="paragraph" w:styleId="39">
    <w:name w:val="Body Text 3"/>
    <w:basedOn w:val="1"/>
    <w:link w:val="489"/>
    <w:semiHidden/>
    <w:unhideWhenUsed/>
    <w:qFormat/>
    <w:uiPriority w:val="99"/>
    <w:pPr>
      <w:spacing w:after="120"/>
    </w:pPr>
    <w:rPr>
      <w:sz w:val="16"/>
      <w:szCs w:val="16"/>
    </w:rPr>
  </w:style>
  <w:style w:type="paragraph" w:styleId="40">
    <w:name w:val="Closing"/>
    <w:basedOn w:val="1"/>
    <w:link w:val="361"/>
    <w:semiHidden/>
    <w:unhideWhenUsed/>
    <w:qFormat/>
    <w:uiPriority w:val="99"/>
    <w:pPr>
      <w:ind w:left="100" w:leftChars="2100"/>
    </w:pPr>
  </w:style>
  <w:style w:type="paragraph" w:styleId="41">
    <w:name w:val="List Bullet 3"/>
    <w:basedOn w:val="1"/>
    <w:semiHidden/>
    <w:unhideWhenUsed/>
    <w:qFormat/>
    <w:uiPriority w:val="99"/>
    <w:pPr>
      <w:numPr>
        <w:ilvl w:val="0"/>
        <w:numId w:val="5"/>
      </w:numPr>
      <w:contextualSpacing/>
    </w:pPr>
  </w:style>
  <w:style w:type="paragraph" w:styleId="42">
    <w:name w:val="Body Text Indent"/>
    <w:basedOn w:val="1"/>
    <w:link w:val="486"/>
    <w:semiHidden/>
    <w:unhideWhenUsed/>
    <w:qFormat/>
    <w:uiPriority w:val="99"/>
    <w:pPr>
      <w:spacing w:after="120"/>
      <w:ind w:left="420" w:leftChars="200"/>
    </w:pPr>
  </w:style>
  <w:style w:type="paragraph" w:styleId="43">
    <w:name w:val="List Number 3"/>
    <w:basedOn w:val="1"/>
    <w:semiHidden/>
    <w:unhideWhenUsed/>
    <w:qFormat/>
    <w:uiPriority w:val="99"/>
    <w:pPr>
      <w:numPr>
        <w:ilvl w:val="0"/>
        <w:numId w:val="6"/>
      </w:numPr>
      <w:contextualSpacing/>
    </w:pPr>
  </w:style>
  <w:style w:type="paragraph" w:styleId="44">
    <w:name w:val="List 2"/>
    <w:basedOn w:val="1"/>
    <w:semiHidden/>
    <w:unhideWhenUsed/>
    <w:qFormat/>
    <w:uiPriority w:val="99"/>
    <w:pPr>
      <w:ind w:left="100" w:leftChars="200" w:hanging="200" w:hangingChars="200"/>
      <w:contextualSpacing/>
    </w:pPr>
  </w:style>
  <w:style w:type="paragraph" w:styleId="45">
    <w:name w:val="List Continue"/>
    <w:basedOn w:val="1"/>
    <w:semiHidden/>
    <w:unhideWhenUsed/>
    <w:qFormat/>
    <w:uiPriority w:val="99"/>
    <w:pPr>
      <w:spacing w:after="120"/>
      <w:ind w:left="420" w:leftChars="200"/>
      <w:contextualSpacing/>
    </w:pPr>
  </w:style>
  <w:style w:type="paragraph" w:styleId="46">
    <w:name w:val="Block Text"/>
    <w:basedOn w:val="1"/>
    <w:semiHidden/>
    <w:unhideWhenUsed/>
    <w:qFormat/>
    <w:uiPriority w:val="99"/>
    <w:pPr>
      <w:spacing w:after="120"/>
      <w:ind w:left="1440" w:leftChars="700" w:right="1440" w:rightChars="700"/>
    </w:pPr>
  </w:style>
  <w:style w:type="paragraph" w:styleId="47">
    <w:name w:val="List Bullet 2"/>
    <w:basedOn w:val="1"/>
    <w:semiHidden/>
    <w:unhideWhenUsed/>
    <w:qFormat/>
    <w:uiPriority w:val="99"/>
    <w:pPr>
      <w:numPr>
        <w:ilvl w:val="0"/>
        <w:numId w:val="7"/>
      </w:numPr>
      <w:contextualSpacing/>
    </w:pPr>
  </w:style>
  <w:style w:type="paragraph" w:styleId="48">
    <w:name w:val="HTML Address"/>
    <w:basedOn w:val="1"/>
    <w:semiHidden/>
    <w:qFormat/>
    <w:uiPriority w:val="0"/>
    <w:rPr>
      <w:i/>
      <w:iCs/>
    </w:rPr>
  </w:style>
  <w:style w:type="paragraph" w:styleId="49">
    <w:name w:val="index 4"/>
    <w:basedOn w:val="1"/>
    <w:next w:val="1"/>
    <w:semiHidden/>
    <w:unhideWhenUsed/>
    <w:qFormat/>
    <w:uiPriority w:val="99"/>
    <w:pPr>
      <w:ind w:left="600" w:leftChars="600"/>
    </w:pPr>
  </w:style>
  <w:style w:type="paragraph" w:styleId="50">
    <w:name w:val="Plain Text"/>
    <w:basedOn w:val="1"/>
    <w:link w:val="357"/>
    <w:semiHidden/>
    <w:unhideWhenUsed/>
    <w:qFormat/>
    <w:uiPriority w:val="99"/>
    <w:rPr>
      <w:rFonts w:ascii="宋体" w:hAnsi="Courier New" w:cs="Courier New"/>
      <w:szCs w:val="21"/>
    </w:rPr>
  </w:style>
  <w:style w:type="paragraph" w:styleId="51">
    <w:name w:val="List Bullet 5"/>
    <w:basedOn w:val="1"/>
    <w:semiHidden/>
    <w:unhideWhenUsed/>
    <w:qFormat/>
    <w:uiPriority w:val="99"/>
    <w:pPr>
      <w:numPr>
        <w:ilvl w:val="0"/>
        <w:numId w:val="8"/>
      </w:numPr>
      <w:contextualSpacing/>
    </w:pPr>
  </w:style>
  <w:style w:type="paragraph" w:styleId="52">
    <w:name w:val="List Number 4"/>
    <w:basedOn w:val="1"/>
    <w:semiHidden/>
    <w:unhideWhenUsed/>
    <w:qFormat/>
    <w:uiPriority w:val="99"/>
    <w:pPr>
      <w:numPr>
        <w:ilvl w:val="0"/>
        <w:numId w:val="9"/>
      </w:numPr>
      <w:contextualSpacing/>
    </w:pPr>
  </w:style>
  <w:style w:type="paragraph" w:styleId="53">
    <w:name w:val="toc 8"/>
    <w:basedOn w:val="15"/>
    <w:next w:val="1"/>
    <w:semiHidden/>
    <w:qFormat/>
    <w:uiPriority w:val="0"/>
  </w:style>
  <w:style w:type="paragraph" w:styleId="54">
    <w:name w:val="index 3"/>
    <w:basedOn w:val="1"/>
    <w:next w:val="1"/>
    <w:semiHidden/>
    <w:unhideWhenUsed/>
    <w:qFormat/>
    <w:uiPriority w:val="99"/>
    <w:pPr>
      <w:ind w:left="400" w:leftChars="400"/>
    </w:pPr>
  </w:style>
  <w:style w:type="paragraph" w:styleId="55">
    <w:name w:val="Date"/>
    <w:basedOn w:val="1"/>
    <w:next w:val="1"/>
    <w:link w:val="420"/>
    <w:semiHidden/>
    <w:unhideWhenUsed/>
    <w:qFormat/>
    <w:uiPriority w:val="99"/>
    <w:pPr>
      <w:ind w:left="100" w:leftChars="2500"/>
    </w:pPr>
  </w:style>
  <w:style w:type="paragraph" w:styleId="56">
    <w:name w:val="Body Text Indent 2"/>
    <w:basedOn w:val="1"/>
    <w:link w:val="490"/>
    <w:semiHidden/>
    <w:unhideWhenUsed/>
    <w:qFormat/>
    <w:uiPriority w:val="99"/>
    <w:pPr>
      <w:spacing w:after="120" w:line="480" w:lineRule="auto"/>
      <w:ind w:left="420" w:leftChars="200"/>
    </w:pPr>
  </w:style>
  <w:style w:type="paragraph" w:styleId="57">
    <w:name w:val="endnote text"/>
    <w:basedOn w:val="1"/>
    <w:link w:val="473"/>
    <w:semiHidden/>
    <w:unhideWhenUsed/>
    <w:qFormat/>
    <w:uiPriority w:val="99"/>
    <w:pPr>
      <w:snapToGrid w:val="0"/>
      <w:jc w:val="left"/>
    </w:pPr>
  </w:style>
  <w:style w:type="paragraph" w:styleId="58">
    <w:name w:val="List Continue 5"/>
    <w:basedOn w:val="1"/>
    <w:semiHidden/>
    <w:unhideWhenUsed/>
    <w:qFormat/>
    <w:uiPriority w:val="99"/>
    <w:pPr>
      <w:spacing w:after="120"/>
      <w:ind w:left="2100" w:leftChars="1000"/>
      <w:contextualSpacing/>
    </w:pPr>
  </w:style>
  <w:style w:type="paragraph" w:styleId="59">
    <w:name w:val="Balloon Text"/>
    <w:basedOn w:val="1"/>
    <w:link w:val="367"/>
    <w:semiHidden/>
    <w:unhideWhenUsed/>
    <w:qFormat/>
    <w:uiPriority w:val="99"/>
    <w:rPr>
      <w:sz w:val="18"/>
      <w:szCs w:val="18"/>
    </w:rPr>
  </w:style>
  <w:style w:type="paragraph" w:styleId="60">
    <w:name w:val="footer"/>
    <w:basedOn w:val="1"/>
    <w:semiHidden/>
    <w:qFormat/>
    <w:uiPriority w:val="0"/>
    <w:pPr>
      <w:tabs>
        <w:tab w:val="center" w:pos="4153"/>
        <w:tab w:val="right" w:pos="8306"/>
      </w:tabs>
      <w:snapToGrid w:val="0"/>
      <w:ind w:right="210" w:rightChars="100"/>
      <w:jc w:val="right"/>
    </w:pPr>
    <w:rPr>
      <w:sz w:val="18"/>
      <w:szCs w:val="18"/>
    </w:rPr>
  </w:style>
  <w:style w:type="paragraph" w:styleId="61">
    <w:name w:val="envelope return"/>
    <w:basedOn w:val="1"/>
    <w:semiHidden/>
    <w:unhideWhenUsed/>
    <w:qFormat/>
    <w:uiPriority w:val="99"/>
    <w:pPr>
      <w:snapToGrid w:val="0"/>
    </w:pPr>
    <w:rPr>
      <w:rFonts w:asciiTheme="majorHAnsi" w:hAnsiTheme="majorHAnsi" w:eastAsiaTheme="majorEastAsia" w:cstheme="majorBidi"/>
    </w:rPr>
  </w:style>
  <w:style w:type="paragraph" w:styleId="62">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70"/>
    <w:semiHidden/>
    <w:unhideWhenUsed/>
    <w:qFormat/>
    <w:uiPriority w:val="99"/>
    <w:pPr>
      <w:ind w:left="100" w:leftChars="2100"/>
    </w:pPr>
  </w:style>
  <w:style w:type="paragraph" w:styleId="64">
    <w:name w:val="List Continue 4"/>
    <w:basedOn w:val="1"/>
    <w:semiHidden/>
    <w:unhideWhenUsed/>
    <w:qFormat/>
    <w:uiPriority w:val="99"/>
    <w:pPr>
      <w:spacing w:after="120"/>
      <w:ind w:left="1680" w:leftChars="800"/>
      <w:contextualSpacing/>
    </w:pPr>
  </w:style>
  <w:style w:type="paragraph" w:styleId="65">
    <w:name w:val="index heading"/>
    <w:basedOn w:val="1"/>
    <w:next w:val="66"/>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6">
    <w:name w:val="index 1"/>
    <w:basedOn w:val="1"/>
    <w:next w:val="1"/>
    <w:semiHidden/>
    <w:unhideWhenUsed/>
    <w:qFormat/>
    <w:uiPriority w:val="99"/>
    <w:rPr>
      <w:rFonts w:ascii="宋体" w:hAnsi="宋体"/>
    </w:rPr>
  </w:style>
  <w:style w:type="paragraph" w:styleId="67">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8">
    <w:name w:val="List Number 5"/>
    <w:basedOn w:val="1"/>
    <w:semiHidden/>
    <w:unhideWhenUsed/>
    <w:qFormat/>
    <w:uiPriority w:val="99"/>
    <w:pPr>
      <w:numPr>
        <w:ilvl w:val="0"/>
        <w:numId w:val="10"/>
      </w:numPr>
      <w:contextualSpacing/>
    </w:pPr>
  </w:style>
  <w:style w:type="paragraph" w:styleId="69">
    <w:name w:val="List"/>
    <w:basedOn w:val="1"/>
    <w:semiHidden/>
    <w:unhideWhenUsed/>
    <w:qFormat/>
    <w:uiPriority w:val="99"/>
    <w:pPr>
      <w:ind w:left="200" w:hanging="200" w:hangingChars="200"/>
      <w:contextualSpacing/>
    </w:pPr>
  </w:style>
  <w:style w:type="paragraph" w:styleId="70">
    <w:name w:val="footnote text"/>
    <w:basedOn w:val="1"/>
    <w:semiHidden/>
    <w:qFormat/>
    <w:uiPriority w:val="0"/>
    <w:pPr>
      <w:snapToGrid w:val="0"/>
      <w:ind w:left="400" w:leftChars="200" w:hanging="200" w:hangingChars="200"/>
      <w:jc w:val="left"/>
    </w:pPr>
    <w:rPr>
      <w:sz w:val="18"/>
      <w:szCs w:val="18"/>
    </w:rPr>
  </w:style>
  <w:style w:type="paragraph" w:styleId="71">
    <w:name w:val="List 5"/>
    <w:basedOn w:val="1"/>
    <w:semiHidden/>
    <w:unhideWhenUsed/>
    <w:qFormat/>
    <w:uiPriority w:val="99"/>
    <w:pPr>
      <w:ind w:left="100" w:leftChars="800" w:hanging="200" w:hangingChars="200"/>
      <w:contextualSpacing/>
    </w:pPr>
  </w:style>
  <w:style w:type="paragraph" w:styleId="72">
    <w:name w:val="Body Text Indent 3"/>
    <w:basedOn w:val="1"/>
    <w:link w:val="491"/>
    <w:semiHidden/>
    <w:unhideWhenUsed/>
    <w:qFormat/>
    <w:uiPriority w:val="99"/>
    <w:pPr>
      <w:spacing w:after="120"/>
      <w:ind w:left="420" w:leftChars="200"/>
    </w:pPr>
    <w:rPr>
      <w:sz w:val="16"/>
      <w:szCs w:val="16"/>
    </w:rPr>
  </w:style>
  <w:style w:type="paragraph" w:styleId="73">
    <w:name w:val="index 7"/>
    <w:basedOn w:val="1"/>
    <w:next w:val="1"/>
    <w:semiHidden/>
    <w:unhideWhenUsed/>
    <w:qFormat/>
    <w:uiPriority w:val="99"/>
    <w:pPr>
      <w:ind w:left="1200" w:leftChars="1200"/>
    </w:pPr>
  </w:style>
  <w:style w:type="paragraph" w:styleId="74">
    <w:name w:val="index 9"/>
    <w:basedOn w:val="1"/>
    <w:next w:val="1"/>
    <w:semiHidden/>
    <w:unhideWhenUsed/>
    <w:qFormat/>
    <w:uiPriority w:val="99"/>
    <w:pPr>
      <w:ind w:left="1600" w:leftChars="1600"/>
    </w:pPr>
  </w:style>
  <w:style w:type="paragraph" w:styleId="75">
    <w:name w:val="table of figures"/>
    <w:basedOn w:val="1"/>
    <w:next w:val="1"/>
    <w:semiHidden/>
    <w:qFormat/>
    <w:uiPriority w:val="0"/>
  </w:style>
  <w:style w:type="paragraph" w:styleId="76">
    <w:name w:val="toc 9"/>
    <w:basedOn w:val="53"/>
    <w:next w:val="1"/>
    <w:semiHidden/>
    <w:qFormat/>
    <w:uiPriority w:val="0"/>
  </w:style>
  <w:style w:type="paragraph" w:styleId="77">
    <w:name w:val="Body Text 2"/>
    <w:basedOn w:val="1"/>
    <w:link w:val="488"/>
    <w:semiHidden/>
    <w:unhideWhenUsed/>
    <w:qFormat/>
    <w:uiPriority w:val="99"/>
    <w:pPr>
      <w:spacing w:after="120" w:line="480" w:lineRule="auto"/>
    </w:pPr>
  </w:style>
  <w:style w:type="paragraph" w:styleId="78">
    <w:name w:val="List 4"/>
    <w:basedOn w:val="1"/>
    <w:semiHidden/>
    <w:unhideWhenUsed/>
    <w:qFormat/>
    <w:uiPriority w:val="99"/>
    <w:pPr>
      <w:ind w:left="100" w:leftChars="600" w:hanging="200" w:hangingChars="200"/>
      <w:contextualSpacing/>
    </w:pPr>
  </w:style>
  <w:style w:type="paragraph" w:styleId="79">
    <w:name w:val="List Continue 2"/>
    <w:basedOn w:val="1"/>
    <w:semiHidden/>
    <w:unhideWhenUsed/>
    <w:qFormat/>
    <w:uiPriority w:val="99"/>
    <w:pPr>
      <w:spacing w:after="120"/>
      <w:ind w:left="840" w:leftChars="400"/>
      <w:contextualSpacing/>
    </w:pPr>
  </w:style>
  <w:style w:type="paragraph" w:styleId="80">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1">
    <w:name w:val="HTML Preformatted"/>
    <w:basedOn w:val="1"/>
    <w:semiHidden/>
    <w:qFormat/>
    <w:uiPriority w:val="0"/>
    <w:rPr>
      <w:rFonts w:ascii="Courier New" w:hAnsi="Courier New" w:cs="Courier New"/>
      <w:sz w:val="20"/>
      <w:szCs w:val="20"/>
    </w:rPr>
  </w:style>
  <w:style w:type="paragraph" w:styleId="82">
    <w:name w:val="Normal (Web)"/>
    <w:basedOn w:val="1"/>
    <w:semiHidden/>
    <w:unhideWhenUsed/>
    <w:qFormat/>
    <w:uiPriority w:val="99"/>
    <w:rPr>
      <w:sz w:val="24"/>
    </w:rPr>
  </w:style>
  <w:style w:type="paragraph" w:styleId="83">
    <w:name w:val="List Continue 3"/>
    <w:basedOn w:val="1"/>
    <w:semiHidden/>
    <w:unhideWhenUsed/>
    <w:qFormat/>
    <w:uiPriority w:val="99"/>
    <w:pPr>
      <w:spacing w:after="120"/>
      <w:ind w:left="1260" w:leftChars="600"/>
      <w:contextualSpacing/>
    </w:pPr>
  </w:style>
  <w:style w:type="paragraph" w:styleId="84">
    <w:name w:val="index 2"/>
    <w:basedOn w:val="1"/>
    <w:next w:val="1"/>
    <w:semiHidden/>
    <w:unhideWhenUsed/>
    <w:qFormat/>
    <w:uiPriority w:val="99"/>
    <w:pPr>
      <w:ind w:left="200" w:leftChars="200"/>
    </w:pPr>
  </w:style>
  <w:style w:type="paragraph" w:styleId="85">
    <w:name w:val="annotation subject"/>
    <w:basedOn w:val="36"/>
    <w:next w:val="36"/>
    <w:link w:val="369"/>
    <w:semiHidden/>
    <w:unhideWhenUsed/>
    <w:qFormat/>
    <w:uiPriority w:val="99"/>
    <w:rPr>
      <w:b/>
      <w:bCs/>
    </w:rPr>
  </w:style>
  <w:style w:type="paragraph" w:styleId="86">
    <w:name w:val="Body Text First Indent"/>
    <w:basedOn w:val="2"/>
    <w:link w:val="485"/>
    <w:semiHidden/>
    <w:unhideWhenUsed/>
    <w:qFormat/>
    <w:uiPriority w:val="99"/>
    <w:pPr>
      <w:ind w:firstLine="420" w:firstLineChars="100"/>
    </w:pPr>
  </w:style>
  <w:style w:type="paragraph" w:styleId="87">
    <w:name w:val="Body Text First Indent 2"/>
    <w:basedOn w:val="42"/>
    <w:link w:val="487"/>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70"/>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uiPriority w:val="0"/>
    <w:pPr>
      <w:numPr>
        <w:ilvl w:val="2"/>
      </w:numPr>
      <w:spacing w:before="400" w:after="400" w:line="240" w:lineRule="auto"/>
      <w:outlineLvl w:val="2"/>
    </w:pPr>
    <w:rPr>
      <w:sz w:val="21"/>
    </w:rPr>
  </w:style>
  <w:style w:type="paragraph" w:customStyle="1" w:styleId="310">
    <w:name w:val="工程建设条标题"/>
    <w:basedOn w:val="309"/>
    <w:next w:val="258"/>
    <w:uiPriority w:val="0"/>
    <w:pPr>
      <w:numPr>
        <w:ilvl w:val="3"/>
      </w:numPr>
      <w:spacing w:before="0" w:after="0"/>
      <w:jc w:val="left"/>
      <w:outlineLvl w:val="3"/>
    </w:pPr>
    <w:rPr>
      <w:b w:val="0"/>
    </w:rPr>
  </w:style>
  <w:style w:type="paragraph" w:customStyle="1" w:styleId="311">
    <w:name w:val="工程建设表标题"/>
    <w:basedOn w:val="310"/>
    <w:uiPriority w:val="0"/>
    <w:pPr>
      <w:numPr>
        <w:ilvl w:val="4"/>
      </w:numPr>
      <w:jc w:val="center"/>
      <w:outlineLvl w:val="4"/>
    </w:pPr>
  </w:style>
  <w:style w:type="paragraph" w:customStyle="1" w:styleId="312">
    <w:name w:val="工程建设图标题"/>
    <w:basedOn w:val="310"/>
    <w:uiPriority w:val="0"/>
    <w:pPr>
      <w:numPr>
        <w:ilvl w:val="5"/>
      </w:numPr>
      <w:jc w:val="center"/>
      <w:outlineLvl w:val="5"/>
    </w:pPr>
  </w:style>
  <w:style w:type="paragraph" w:customStyle="1" w:styleId="313">
    <w:name w:val="工程建设公式标题"/>
    <w:basedOn w:val="310"/>
    <w:uiPriority w:val="0"/>
    <w:pPr>
      <w:numPr>
        <w:ilvl w:val="6"/>
      </w:numPr>
      <w:jc w:val="center"/>
      <w:outlineLvl w:val="6"/>
    </w:pPr>
  </w:style>
  <w:style w:type="paragraph" w:customStyle="1" w:styleId="314">
    <w:name w:val="工程建设无节条标题"/>
    <w:basedOn w:val="1"/>
    <w:next w:val="258"/>
    <w:uiPriority w:val="0"/>
    <w:pPr>
      <w:numPr>
        <w:ilvl w:val="8"/>
        <w:numId w:val="25"/>
      </w:numPr>
      <w:tabs>
        <w:tab w:val="clear" w:pos="720"/>
      </w:tabs>
      <w:outlineLvl w:val="3"/>
    </w:pPr>
  </w:style>
  <w:style w:type="paragraph" w:customStyle="1" w:styleId="315">
    <w:name w:val="工程建设款标题"/>
    <w:basedOn w:val="310"/>
    <w:uiPriority w:val="0"/>
    <w:pPr>
      <w:numPr>
        <w:ilvl w:val="7"/>
      </w:numPr>
      <w:outlineLvl w:val="9"/>
    </w:pPr>
  </w:style>
  <w:style w:type="paragraph" w:customStyle="1" w:styleId="316">
    <w:name w:val="名称"/>
    <w:basedOn w:val="256"/>
    <w:next w:val="258"/>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Char"/>
    <w:basedOn w:val="231"/>
    <w:link w:val="2"/>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2"/>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Heading"/>
    <w:basedOn w:val="5"/>
    <w:next w:val="1"/>
    <w:unhideWhenUsed/>
    <w:qFormat/>
    <w:uiPriority w:val="39"/>
    <w:pPr>
      <w:outlineLvl w:val="9"/>
    </w:pPr>
  </w:style>
  <w:style w:type="character" w:customStyle="1" w:styleId="354">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Char"/>
    <w:basedOn w:val="231"/>
    <w:link w:val="38"/>
    <w:semiHidden/>
    <w:qFormat/>
    <w:uiPriority w:val="99"/>
    <w:rPr>
      <w:kern w:val="2"/>
      <w:sz w:val="21"/>
      <w:szCs w:val="24"/>
    </w:rPr>
  </w:style>
  <w:style w:type="character" w:customStyle="1" w:styleId="357">
    <w:name w:val="纯文本 Char"/>
    <w:basedOn w:val="231"/>
    <w:link w:val="50"/>
    <w:semiHidden/>
    <w:qFormat/>
    <w:uiPriority w:val="99"/>
    <w:rPr>
      <w:rFonts w:ascii="宋体" w:hAnsi="Courier New" w:cs="Courier New"/>
      <w:kern w:val="2"/>
      <w:sz w:val="21"/>
      <w:szCs w:val="21"/>
    </w:rPr>
  </w:style>
  <w:style w:type="character" w:customStyle="1" w:styleId="358">
    <w:name w:val="电子邮件签名 Char"/>
    <w:basedOn w:val="231"/>
    <w:link w:val="27"/>
    <w:semiHidden/>
    <w:qFormat/>
    <w:uiPriority w:val="99"/>
    <w:rPr>
      <w:kern w:val="2"/>
      <w:sz w:val="21"/>
      <w:szCs w:val="24"/>
    </w:rPr>
  </w:style>
  <w:style w:type="character" w:customStyle="1" w:styleId="359">
    <w:name w:val="副标题 Char"/>
    <w:basedOn w:val="231"/>
    <w:link w:val="67"/>
    <w:qFormat/>
    <w:uiPriority w:val="11"/>
    <w:rPr>
      <w:rFonts w:asciiTheme="majorHAnsi" w:hAnsiTheme="majorHAnsi" w:cstheme="majorBidi"/>
      <w:b/>
      <w:bCs/>
      <w:kern w:val="28"/>
      <w:sz w:val="32"/>
      <w:szCs w:val="32"/>
    </w:rPr>
  </w:style>
  <w:style w:type="character" w:customStyle="1" w:styleId="360">
    <w:name w:val="宏文本 Char"/>
    <w:basedOn w:val="231"/>
    <w:link w:val="4"/>
    <w:semiHidden/>
    <w:qFormat/>
    <w:uiPriority w:val="99"/>
    <w:rPr>
      <w:rFonts w:ascii="Courier New" w:hAnsi="Courier New" w:cs="Courier New"/>
      <w:kern w:val="2"/>
      <w:sz w:val="24"/>
      <w:szCs w:val="24"/>
    </w:rPr>
  </w:style>
  <w:style w:type="character" w:customStyle="1" w:styleId="361">
    <w:name w:val="结束语 Char"/>
    <w:basedOn w:val="231"/>
    <w:link w:val="40"/>
    <w:semiHidden/>
    <w:qFormat/>
    <w:uiPriority w:val="99"/>
    <w:rPr>
      <w:kern w:val="2"/>
      <w:sz w:val="21"/>
      <w:szCs w:val="24"/>
    </w:rPr>
  </w:style>
  <w:style w:type="paragraph" w:styleId="362">
    <w:name w:val="List Paragraph"/>
    <w:basedOn w:val="1"/>
    <w:qFormat/>
    <w:uiPriority w:val="99"/>
    <w:pPr>
      <w:ind w:firstLine="420" w:firstLineChars="200"/>
    </w:pPr>
  </w:style>
  <w:style w:type="character" w:customStyle="1" w:styleId="363">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4">
    <w:name w:val="Intense Emphasis"/>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Char"/>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Char"/>
    <w:basedOn w:val="231"/>
    <w:link w:val="59"/>
    <w:semiHidden/>
    <w:qFormat/>
    <w:uiPriority w:val="99"/>
    <w:rPr>
      <w:kern w:val="2"/>
      <w:sz w:val="18"/>
      <w:szCs w:val="18"/>
    </w:rPr>
  </w:style>
  <w:style w:type="character" w:customStyle="1" w:styleId="368">
    <w:name w:val="批注文字 Char"/>
    <w:basedOn w:val="231"/>
    <w:link w:val="36"/>
    <w:qFormat/>
    <w:uiPriority w:val="99"/>
    <w:rPr>
      <w:kern w:val="2"/>
      <w:sz w:val="21"/>
      <w:szCs w:val="24"/>
    </w:rPr>
  </w:style>
  <w:style w:type="character" w:customStyle="1" w:styleId="369">
    <w:name w:val="批注主题 Char"/>
    <w:basedOn w:val="368"/>
    <w:link w:val="85"/>
    <w:semiHidden/>
    <w:qFormat/>
    <w:uiPriority w:val="99"/>
    <w:rPr>
      <w:b/>
      <w:bCs/>
      <w:kern w:val="2"/>
      <w:sz w:val="21"/>
      <w:szCs w:val="24"/>
    </w:rPr>
  </w:style>
  <w:style w:type="character" w:customStyle="1" w:styleId="370">
    <w:name w:val="签名 Char"/>
    <w:basedOn w:val="231"/>
    <w:link w:val="63"/>
    <w:semiHidden/>
    <w:qFormat/>
    <w:uiPriority w:val="99"/>
    <w:rPr>
      <w:kern w:val="2"/>
      <w:sz w:val="21"/>
      <w:szCs w:val="24"/>
    </w:rPr>
  </w:style>
  <w:style w:type="table" w:customStyle="1" w:styleId="371">
    <w:name w:val="List Table 1 Light"/>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List Table 1 Light Accent 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List Table 1 Light Accent 2"/>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List Table 1 Light Accent 3"/>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List Table 1 Light Accent 4"/>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List Table 1 Light Accent 5"/>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List Table 1 Light Accent 6"/>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List Table 7 Colorful"/>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2"/>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3"/>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4"/>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5"/>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List Table 7 Colorful Accent 6"/>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Char"/>
    <w:basedOn w:val="231"/>
    <w:link w:val="55"/>
    <w:semiHidden/>
    <w:qFormat/>
    <w:uiPriority w:val="99"/>
    <w:rPr>
      <w:kern w:val="2"/>
      <w:sz w:val="21"/>
      <w:szCs w:val="24"/>
    </w:rPr>
  </w:style>
  <w:style w:type="character" w:customStyle="1" w:styleId="421">
    <w:name w:val="Book Title"/>
    <w:basedOn w:val="231"/>
    <w:qFormat/>
    <w:uiPriority w:val="33"/>
    <w:rPr>
      <w:b/>
      <w:bCs/>
      <w:i/>
      <w:iCs/>
      <w:spacing w:val="5"/>
    </w:rPr>
  </w:style>
  <w:style w:type="paragraph" w:customStyle="1" w:styleId="422">
    <w:name w:val="Bibliography"/>
    <w:basedOn w:val="1"/>
    <w:next w:val="1"/>
    <w:semiHidden/>
    <w:unhideWhenUsed/>
    <w:qFormat/>
    <w:uiPriority w:val="37"/>
  </w:style>
  <w:style w:type="table" w:customStyle="1" w:styleId="423">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Grid Table 6 Colorful Accent 1"/>
    <w:basedOn w:val="88"/>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Grid Table 7 Colorful Accent 4"/>
    <w:basedOn w:val="88"/>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Grid Table 7 Colorful Accent 6"/>
    <w:basedOn w:val="88"/>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Char"/>
    <w:basedOn w:val="231"/>
    <w:link w:val="57"/>
    <w:semiHidden/>
    <w:qFormat/>
    <w:uiPriority w:val="99"/>
    <w:rPr>
      <w:kern w:val="2"/>
      <w:sz w:val="21"/>
      <w:szCs w:val="24"/>
    </w:rPr>
  </w:style>
  <w:style w:type="character" w:customStyle="1" w:styleId="474">
    <w:name w:val="文档结构图 Char"/>
    <w:basedOn w:val="231"/>
    <w:link w:val="34"/>
    <w:semiHidden/>
    <w:qFormat/>
    <w:uiPriority w:val="99"/>
    <w:rPr>
      <w:rFonts w:ascii="Microsoft YaHei UI" w:eastAsia="Microsoft YaHei UI"/>
      <w:kern w:val="2"/>
      <w:sz w:val="18"/>
      <w:szCs w:val="18"/>
    </w:rPr>
  </w:style>
  <w:style w:type="table" w:customStyle="1" w:styleId="475">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Plain Table 2"/>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Plain Table 3"/>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Plain Table 4"/>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Plain Table 5"/>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Char"/>
    <w:basedOn w:val="231"/>
    <w:link w:val="80"/>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Char"/>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首行缩进 Char"/>
    <w:basedOn w:val="333"/>
    <w:link w:val="86"/>
    <w:semiHidden/>
    <w:qFormat/>
    <w:uiPriority w:val="99"/>
    <w:rPr>
      <w:kern w:val="2"/>
      <w:sz w:val="21"/>
      <w:szCs w:val="24"/>
    </w:rPr>
  </w:style>
  <w:style w:type="character" w:customStyle="1" w:styleId="486">
    <w:name w:val="正文文本缩进 Char"/>
    <w:basedOn w:val="231"/>
    <w:link w:val="42"/>
    <w:semiHidden/>
    <w:qFormat/>
    <w:uiPriority w:val="99"/>
    <w:rPr>
      <w:kern w:val="2"/>
      <w:sz w:val="21"/>
      <w:szCs w:val="24"/>
    </w:rPr>
  </w:style>
  <w:style w:type="character" w:customStyle="1" w:styleId="487">
    <w:name w:val="正文首行缩进 2 Char"/>
    <w:basedOn w:val="486"/>
    <w:link w:val="87"/>
    <w:semiHidden/>
    <w:qFormat/>
    <w:uiPriority w:val="99"/>
    <w:rPr>
      <w:kern w:val="2"/>
      <w:sz w:val="21"/>
      <w:szCs w:val="24"/>
    </w:rPr>
  </w:style>
  <w:style w:type="character" w:customStyle="1" w:styleId="488">
    <w:name w:val="正文文本 2 Char"/>
    <w:basedOn w:val="231"/>
    <w:link w:val="77"/>
    <w:semiHidden/>
    <w:qFormat/>
    <w:uiPriority w:val="99"/>
    <w:rPr>
      <w:kern w:val="2"/>
      <w:sz w:val="21"/>
      <w:szCs w:val="24"/>
    </w:rPr>
  </w:style>
  <w:style w:type="character" w:customStyle="1" w:styleId="489">
    <w:name w:val="正文文本 3 Char"/>
    <w:basedOn w:val="231"/>
    <w:link w:val="39"/>
    <w:semiHidden/>
    <w:qFormat/>
    <w:uiPriority w:val="99"/>
    <w:rPr>
      <w:kern w:val="2"/>
      <w:sz w:val="16"/>
      <w:szCs w:val="16"/>
    </w:rPr>
  </w:style>
  <w:style w:type="character" w:customStyle="1" w:styleId="490">
    <w:name w:val="正文文本缩进 2 Char"/>
    <w:basedOn w:val="231"/>
    <w:link w:val="56"/>
    <w:semiHidden/>
    <w:qFormat/>
    <w:uiPriority w:val="99"/>
    <w:rPr>
      <w:kern w:val="2"/>
      <w:sz w:val="21"/>
      <w:szCs w:val="24"/>
    </w:rPr>
  </w:style>
  <w:style w:type="character" w:customStyle="1" w:styleId="491">
    <w:name w:val="正文文本缩进 3 Char"/>
    <w:basedOn w:val="231"/>
    <w:link w:val="72"/>
    <w:semiHidden/>
    <w:qFormat/>
    <w:uiPriority w:val="99"/>
    <w:rPr>
      <w:kern w:val="2"/>
      <w:sz w:val="16"/>
      <w:szCs w:val="16"/>
    </w:rPr>
  </w:style>
  <w:style w:type="character" w:customStyle="1" w:styleId="492">
    <w:name w:val="注释标题 Char"/>
    <w:basedOn w:val="231"/>
    <w:link w:val="24"/>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2"/>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2"/>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Unresolved Mention"/>
    <w:basedOn w:val="231"/>
    <w:semiHidden/>
    <w:unhideWhenUsed/>
    <w:qFormat/>
    <w:uiPriority w:val="99"/>
    <w:rPr>
      <w:color w:val="605E5C"/>
      <w:shd w:val="clear" w:color="auto" w:fill="E1DFDD"/>
    </w:rPr>
  </w:style>
  <w:style w:type="paragraph" w:customStyle="1" w:styleId="515">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8"/>
      </w:numPr>
    </w:pPr>
    <w:rPr>
      <w:rFonts w:ascii="宋体"/>
      <w:szCs w:val="21"/>
    </w:rPr>
  </w:style>
  <w:style w:type="paragraph" w:customStyle="1" w:styleId="518">
    <w:name w:val="61a)"/>
    <w:basedOn w:val="1"/>
    <w:qFormat/>
    <w:uiPriority w:val="0"/>
    <w:pPr>
      <w:spacing w:line="288" w:lineRule="auto"/>
      <w:ind w:left="839" w:hanging="419"/>
    </w:pPr>
    <w:rPr>
      <w:szCs w:val="21"/>
    </w:rPr>
  </w:style>
  <w:style w:type="paragraph" w:customStyle="1" w:styleId="519">
    <w:name w:val="0段落"/>
    <w:basedOn w:val="29"/>
    <w:qFormat/>
    <w:uiPriority w:val="0"/>
    <w:pPr>
      <w:spacing w:line="288" w:lineRule="auto"/>
      <w:ind w:firstLineChars="0"/>
    </w:pPr>
    <w:rPr>
      <w:szCs w:val="21"/>
    </w:rPr>
  </w:style>
  <w:style w:type="paragraph" w:customStyle="1" w:styleId="520">
    <w:name w:val="3"/>
    <w:basedOn w:val="1"/>
    <w:qFormat/>
    <w:uiPriority w:val="0"/>
    <w:pPr>
      <w:tabs>
        <w:tab w:val="left" w:pos="5955"/>
      </w:tabs>
      <w:spacing w:beforeLines="50" w:afterLines="50" w:line="288" w:lineRule="auto"/>
      <w:ind w:left="5955" w:hanging="709"/>
      <w:outlineLvl w:val="2"/>
    </w:pPr>
    <w:rPr>
      <w:rFonts w:ascii="黑体" w:hAnsi="黑体" w:eastAsia="黑体"/>
      <w:szCs w:val="20"/>
    </w:rPr>
  </w:style>
  <w:style w:type="paragraph" w:customStyle="1" w:styleId="521">
    <w:name w:val="2"/>
    <w:basedOn w:val="1"/>
    <w:qFormat/>
    <w:uiPriority w:val="0"/>
    <w:pPr>
      <w:tabs>
        <w:tab w:val="left" w:pos="567"/>
      </w:tabs>
      <w:spacing w:beforeLines="50" w:afterLines="50" w:line="288" w:lineRule="auto"/>
      <w:ind w:left="567" w:hanging="567"/>
      <w:outlineLvl w:val="1"/>
    </w:pPr>
    <w:rPr>
      <w:rFonts w:ascii="黑体" w:hAnsi="黑体" w:eastAsia="黑体"/>
      <w:szCs w:val="20"/>
    </w:rPr>
  </w:style>
  <w:style w:type="paragraph" w:customStyle="1" w:styleId="522">
    <w:name w:val="1"/>
    <w:basedOn w:val="1"/>
    <w:qFormat/>
    <w:uiPriority w:val="0"/>
    <w:pPr>
      <w:keepNext/>
      <w:spacing w:before="120" w:beforeLines="120" w:after="120" w:afterLines="120" w:line="288" w:lineRule="auto"/>
      <w:outlineLvl w:val="0"/>
    </w:pPr>
    <w:rPr>
      <w:rFonts w:ascii="黑体" w:hAnsi="黑体" w:eastAsia="黑体" w:cs="黑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pPr>
            <w:pStyle w:val="9"/>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4F1E24"/>
    <w:rsid w:val="00657E46"/>
    <w:rsid w:val="00AF20A4"/>
    <w:rsid w:val="00C8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AF92B6925F04615AFE5C7F0E6FC9E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839E96C79F245F9A2C9583943E3D7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27CB717CE6B44028BD781451FE25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904E17F0F4E4193A023203C22C3B9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B50BDDE2984F14824977729F4D0D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51E7CE545B94C67A3BB3E8A84D1E44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ED365-70C4-43B0-A64F-D0CF70070E07}">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11</Pages>
  <Words>7186</Words>
  <Characters>7475</Characters>
  <Lines>83</Lines>
  <Paragraphs>23</Paragraphs>
  <TotalTime>26</TotalTime>
  <ScaleCrop>false</ScaleCrop>
  <LinksUpToDate>false</LinksUpToDate>
  <CharactersWithSpaces>7582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2022-10-14T02:40:00Z</dcterms:created>
  <dc:creator>GY</dc:creator>
  <cp:lastModifiedBy>ty田阳</cp:lastModifiedBy>
  <cp:lastPrinted>2021-02-08T04:27:00Z</cp:lastPrinted>
  <dcterms:modified xsi:type="dcterms:W3CDTF">2023-04-03T10:37:49Z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2052-11.1.0.14036</vt:lpwstr>
  </property>
  <property fmtid="{D5CDD505-2E9C-101B-9397-08002B2CF9AE}" pid="22" name="ICV">
    <vt:lpwstr>136566241F5347FE9534AE6CD48070B7_12</vt:lpwstr>
  </property>
</Properties>
</file>