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宋体" w:hAnsi="宋体" w:eastAsia="宋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仿宋"/>
          <w:b/>
          <w:bCs/>
          <w:color w:val="000000"/>
          <w:kern w:val="0"/>
          <w:sz w:val="32"/>
          <w:szCs w:val="32"/>
          <w:lang w:bidi="ar"/>
        </w:rPr>
        <w:t>会议议程</w:t>
      </w:r>
    </w:p>
    <w:tbl>
      <w:tblPr>
        <w:tblStyle w:val="2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5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bookmarkStart w:id="0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10160</wp:posOffset>
                  </wp:positionV>
                  <wp:extent cx="1190625" cy="571500"/>
                  <wp:effectExtent l="0" t="0" r="9525" b="0"/>
                  <wp:wrapNone/>
                  <wp:docPr id="138304318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04318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14-15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主办：中国电机工程学会电力系统自动化专业委员会  </w:t>
            </w:r>
          </w:p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承办：太原理工大学、南瑞集团有限公司、山西省能源互联网研究院、山西省电力系统运行与控制重点实验室、清华大学电机工程与应用电子技术系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6" w:type="dxa"/>
            <w:shd w:val="clear" w:color="auto" w:fill="D3F4F1" w:themeFill="accent5" w:themeFillTint="3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snapToGrid w:val="0"/>
              <w:spacing w:line="500" w:lineRule="exact"/>
              <w:ind w:left="-1" w:leftChars="-1" w:right="8" w:rightChars="4" w:hanging="1"/>
              <w:rPr>
                <w:rFonts w:ascii="仿宋_GB2312" w:hAnsi="微软雅黑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报告1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“双碳”战略与能源互联网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孙宏斌,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 w:cs="微软雅黑"/>
                <w:sz w:val="28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2.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新一代调度技术支持系统建设与实践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刘金波，国家电力调度控制中心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基于云边融合调度运行平台边缘网关关键技术研究及示范应用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李金，中国南方电网电力调度控制中心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4.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分布式资源主动支撑的新型配电系统多状态运行控制技术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赵景涛，国网电力科学研究院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隐私保护的能源大数据分析服务“双碳”目标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李俊娥，武汉大学国家网络安全学院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6.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数智孪生方法论下的新型电力系统智慧决策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鲍威，阿里云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7.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云边端协同的大规模负荷闭环调度技术与应用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王治华，国网上海市电力公司调控中心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8.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电力系统宽频振荡广域防控策略及系统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马宁宁，清华大学电机工程与应用电子技术系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报告</w:t>
            </w:r>
            <w:r>
              <w:rPr>
                <w:rFonts w:ascii="仿宋" w:hAnsi="仿宋" w:eastAsia="仿宋" w:cs="微软雅黑"/>
                <w:b/>
                <w:bCs/>
                <w:sz w:val="28"/>
              </w:rPr>
              <w:t>9.</w:t>
            </w: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面向负荷精细化调控的用户用电安全保障技术研究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8"/>
              </w:rPr>
              <w:t>袁金斗，中国电力科学研究院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56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技术参观.山西省能源互联网研究院</w:t>
            </w:r>
          </w:p>
        </w:tc>
      </w:tr>
    </w:tbl>
    <w:p>
      <w:pPr>
        <w:widowControl/>
        <w:jc w:val="center"/>
        <w:rPr>
          <w:rFonts w:ascii="黑体" w:hAnsi="黑体" w:eastAsia="黑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C9A4DCC"/>
    <w:rsid w:val="3C9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2023-08-31T03:38:00Z</dcterms:created>
  <dc:creator>yc melody</dc:creator>
  <cp:lastModifiedBy>yc melody</cp:lastModifiedBy>
  <dcterms:modified xsi:type="dcterms:W3CDTF">2023-08-31T03:38:52Z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AC135F39192744DDA3C65D1761032D41_11</vt:lpwstr>
  </property>
</Properties>
</file>