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Hlk150437184"/>
      <w:r>
        <w:rPr>
          <w:rFonts w:hint="eastAsia" w:ascii="黑体" w:hAnsi="黑体" w:eastAsia="黑体"/>
          <w:color w:val="000000"/>
          <w:sz w:val="32"/>
          <w:szCs w:val="32"/>
        </w:rPr>
        <w:t>附件一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宋体" w:hAnsi="宋体" w:cs="宋体"/>
          <w:b/>
          <w:bCs/>
          <w:kern w:val="0"/>
          <w:sz w:val="44"/>
          <w:szCs w:val="32"/>
        </w:rPr>
      </w:pPr>
      <w:r>
        <w:rPr>
          <w:rFonts w:hint="eastAsia" w:ascii="宋体" w:hAnsi="宋体" w:cs="宋体"/>
          <w:b/>
          <w:bCs/>
          <w:kern w:val="0"/>
          <w:sz w:val="44"/>
          <w:szCs w:val="32"/>
        </w:rPr>
        <w:t>202</w:t>
      </w:r>
      <w:r>
        <w:rPr>
          <w:rFonts w:ascii="宋体" w:hAnsi="宋体" w:cs="宋体"/>
          <w:b/>
          <w:bCs/>
          <w:kern w:val="0"/>
          <w:sz w:val="44"/>
          <w:szCs w:val="32"/>
        </w:rPr>
        <w:t>3</w:t>
      </w:r>
      <w:r>
        <w:rPr>
          <w:rFonts w:hint="eastAsia" w:ascii="宋体" w:hAnsi="宋体" w:cs="宋体"/>
          <w:b/>
          <w:bCs/>
          <w:kern w:val="0"/>
          <w:sz w:val="44"/>
          <w:szCs w:val="32"/>
        </w:rPr>
        <w:t>年中国电机工程学会年会高质量论文名单</w:t>
      </w:r>
    </w:p>
    <w:tbl>
      <w:tblPr>
        <w:tblStyle w:val="4"/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370"/>
        <w:gridCol w:w="5844"/>
        <w:gridCol w:w="1371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785" w:type="dxa"/>
            <w:shd w:val="clear" w:color="auto" w:fill="D0CEC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70" w:type="dxa"/>
            <w:shd w:val="clear" w:color="auto" w:fill="D0CEC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论文编号</w:t>
            </w:r>
          </w:p>
        </w:tc>
        <w:tc>
          <w:tcPr>
            <w:tcW w:w="5844" w:type="dxa"/>
            <w:shd w:val="clear" w:color="auto" w:fill="D0CEC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论文标题</w:t>
            </w:r>
          </w:p>
        </w:tc>
        <w:tc>
          <w:tcPr>
            <w:tcW w:w="1371" w:type="dxa"/>
            <w:shd w:val="clear" w:color="auto" w:fill="D0CEC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第一作者</w:t>
            </w:r>
          </w:p>
        </w:tc>
        <w:tc>
          <w:tcPr>
            <w:tcW w:w="3530" w:type="dxa"/>
            <w:shd w:val="clear" w:color="auto" w:fill="D0CEC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202309100000010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基于LCL滤波的抑制柔直高频谐振方法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杨万开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202308210000001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输电线路基础设计标准修订中的安全系数取值研究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徐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彬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中国电力工程顾问集团中南电力设计院有限公司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202308130000017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基于改进生成对抗网络的储能优化配置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濮永现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中国电建集团昆明勘测设计研究院有限公司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202309100000011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一种适应跨省统一平衡区的现货市场结算方法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谢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旭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国家电网有限公司华北分部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202308010000001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小电阻接地系统单相接地保护方法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李宇琦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南京南瑞继保电气有限公司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202309140000002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基于跨临界CO</w:t>
            </w:r>
            <w:r>
              <w:rPr>
                <w:rFonts w:hint="eastAsia" w:ascii="仿宋" w:hAnsi="仿宋" w:eastAsia="仿宋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循环的卡诺电池系统设计及参数优化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王文焕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202309060000002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特高压直流分层接入方式下的系统运行特性研究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任子媛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华东电力设计院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202309010000002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基于趋势融合NWP风速校正的短期风电功率预测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杨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茂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202308200000035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凤滩水力发电厂水轮机增容改造关键技术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立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中国电建集团中南勘测设计研究院有限公司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202309080000010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基于粒子群优化算法的电厂管道设备磨损预测与检修计划模型研究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毕斯琴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中国电力工程顾问集团中南电力设计院有限公司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202308090000012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基于时空卷积神经网络的海上风电集群爬坡事件预测方法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宋伟业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202309100000009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计及分布式电源协同配置的配电网防灾规划方法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彬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国网福建省电力有限公司经济技术研究院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202309100000014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基于网络改性剂的环氧树脂介电特性调控方法研究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孔晓晓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202309140000001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并联交流电缆的高耦合分裂电抗器均流补偿技术仿真研究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朱浩楠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202308180000006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一种绝热液态压缩空气储能系统研究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姬海民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西安热工研究院有限公司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202308150000002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核电厂绝缘栅双极型晶体管寿命预测研究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赵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鹏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中广核核电运营有限公司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202308250000003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基于Sprie.PDF报表开发在架空输电线路多分裂跳线计算中的实现与应用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郭思亮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安徽送变电工程有限公司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202309110000002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固化剂用量对550kVGIL盆式绝缘子固化过程影响的仿真研究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姚聪伟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广东电网有限责任公司电力科学研究院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202309100000004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低压固态断路器热仿真模型与散热优化设计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尧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202306070000003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河南电网负荷特性演变分析与愿景展望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刘军会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国网河南省电力公司经济技术研究院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202308300000006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配网线路高阻故障智能诊断研究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任晓东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国网甘肃省电力公司武威供电公司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202309010000006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基于深度学习与小波时频谱的GIS断路器机械故障智能诊断方法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王胜辉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202308300000004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双碳目标下基于马尔科夫决策的新型配电网多阶段灵活性扩展规划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白艳琼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国网甘肃省电力公司武威供电公司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202309090000015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火电厂管道内壁磨损现状与抗磨损防护技术研究进展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巍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西安热工研究院有限公司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202309070000007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基于全生命周期的220kV变电站碳排放核算与综合评价分析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张赵阳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国网湖北省电力有限公司经济技术研究院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202308150000006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“燃煤+”低碳耦合发电入炉成本及碳排放成本的经济性研究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瑢瑄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202308160000009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输电塔线体系的抗震计算研究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  健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中国电力工程顾问集团东北电力设计院有限公司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202309080000004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塔式光热电站工程主要设备安装技术浅析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范旭平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中国能源建设集团天津电力建设有限公司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202309080000012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循环流化床锅炉炉顶吊挂装置振动研究与治理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吴晓俊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西安热工研究院有限公司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202308150000031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100型主泵密封室螺栓卡涩故障的分析与处理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袁伟刚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中广核核电运营有限公司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202308140000054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汽轮机技术监督振动问题分析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贾明祥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西安热工研究院有限公司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202308140000016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电力设备接地扁铁断裂原因分析与预防改进措施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苏剑锋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贵州电网有限责任公司安顺供电局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202305220000007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大型轴流风机运行性能数学模型的建立及表征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王宏武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西安热工研究院有限公司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202308150000052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基于间谐波和聚类分析新能源场站宽频谐振预警评估研究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钱永亮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云南电网有限责任公司文山供电局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202308150000011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基于IEO-BiLSTM-Attention的短期电力负荷预测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  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贵州电网有限责任公司贵阳供电局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36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202307250000001</w:t>
            </w:r>
          </w:p>
        </w:tc>
        <w:tc>
          <w:tcPr>
            <w:tcW w:w="5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一种用于区域电网的源网荷储一体化协调控制方案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施  挺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南京南瑞继保电气有限公司</w:t>
            </w:r>
          </w:p>
        </w:tc>
      </w:tr>
      <w:bookmarkEnd w:id="0"/>
    </w:tbl>
    <w:p>
      <w:pPr>
        <w:rPr>
          <w:rFonts w:ascii="仿宋" w:hAnsi="仿宋" w:eastAsia="仿宋"/>
          <w:color w:val="000000"/>
          <w:sz w:val="32"/>
          <w:szCs w:val="32"/>
        </w:rPr>
        <w:sectPr>
          <w:pgSz w:w="16838" w:h="11906" w:orient="landscape"/>
          <w:pgMar w:top="1588" w:right="2098" w:bottom="1701" w:left="1985" w:header="851" w:footer="992" w:gutter="0"/>
          <w:pgNumType w:start="1"/>
          <w:cols w:space="720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9C2361D"/>
    <w:rsid w:val="09C2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2023-11-10T07:44:00Z</dcterms:created>
  <dc:creator>2017210576</dc:creator>
  <cp:lastModifiedBy>2017210576</cp:lastModifiedBy>
  <dcterms:modified xsi:type="dcterms:W3CDTF">2023-11-10T07:44:52Z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C710C319417440F5B2AC59C5F00971C1_11</vt:lpwstr>
  </property>
</Properties>
</file>