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07DD" w14:textId="77777777" w:rsidR="00A4052A" w:rsidRDefault="00A4052A">
      <w:pPr>
        <w:widowControl/>
        <w:jc w:val="left"/>
      </w:pPr>
    </w:p>
    <w:p w14:paraId="30CC69BA" w14:textId="77777777" w:rsidR="00A4052A" w:rsidRDefault="00A4052A" w:rsidP="00A4052A">
      <w:pPr>
        <w:ind w:leftChars="-134" w:left="-151" w:rightChars="-47" w:right="-99" w:hangingChars="27" w:hanging="130"/>
        <w:jc w:val="center"/>
        <w:rPr>
          <w:b/>
          <w:color w:val="000000"/>
          <w:sz w:val="48"/>
          <w:szCs w:val="52"/>
        </w:rPr>
      </w:pPr>
    </w:p>
    <w:p w14:paraId="2D00C024" w14:textId="77777777" w:rsidR="00A4052A" w:rsidRDefault="00A4052A" w:rsidP="00A4052A">
      <w:pPr>
        <w:ind w:leftChars="-134" w:left="-151" w:rightChars="-47" w:right="-99" w:hangingChars="27" w:hanging="130"/>
        <w:jc w:val="center"/>
        <w:rPr>
          <w:b/>
          <w:color w:val="000000"/>
          <w:sz w:val="48"/>
          <w:szCs w:val="52"/>
        </w:rPr>
      </w:pPr>
    </w:p>
    <w:p w14:paraId="3D7B6216" w14:textId="77777777" w:rsidR="00A4052A" w:rsidRDefault="00A4052A" w:rsidP="005E28A4">
      <w:pPr>
        <w:ind w:rightChars="-47" w:right="-99"/>
        <w:rPr>
          <w:b/>
          <w:color w:val="000000"/>
          <w:sz w:val="48"/>
          <w:szCs w:val="52"/>
        </w:rPr>
      </w:pPr>
    </w:p>
    <w:p w14:paraId="23DF6CF4" w14:textId="77777777" w:rsidR="00D97F9A" w:rsidRPr="005E28A4" w:rsidRDefault="00A4052A" w:rsidP="00D97F9A">
      <w:pPr>
        <w:ind w:leftChars="-134" w:left="-162" w:rightChars="-47" w:right="-99" w:hangingChars="27" w:hanging="119"/>
        <w:jc w:val="center"/>
        <w:rPr>
          <w:b/>
          <w:color w:val="000000"/>
          <w:sz w:val="44"/>
          <w:szCs w:val="44"/>
        </w:rPr>
      </w:pPr>
      <w:r w:rsidRPr="005E28A4">
        <w:rPr>
          <w:rFonts w:hint="eastAsia"/>
          <w:b/>
          <w:color w:val="000000"/>
          <w:sz w:val="44"/>
          <w:szCs w:val="44"/>
        </w:rPr>
        <w:t>《</w:t>
      </w:r>
      <w:bookmarkStart w:id="0" w:name="_Hlk157589615"/>
      <w:r w:rsidR="00D97F9A" w:rsidRPr="005E28A4">
        <w:rPr>
          <w:rFonts w:ascii="宋体" w:eastAsia="宋体" w:hAnsi="宋体" w:hint="eastAsia"/>
          <w:b/>
          <w:color w:val="000000"/>
          <w:sz w:val="44"/>
          <w:szCs w:val="44"/>
        </w:rPr>
        <w:t>10kV</w:t>
      </w:r>
      <w:r w:rsidR="00D97F9A" w:rsidRPr="005E28A4">
        <w:rPr>
          <w:rFonts w:hint="eastAsia"/>
          <w:b/>
          <w:color w:val="000000"/>
          <w:sz w:val="44"/>
          <w:szCs w:val="44"/>
        </w:rPr>
        <w:t>预装式电动汽车充电站技术规范</w:t>
      </w:r>
      <w:bookmarkEnd w:id="0"/>
      <w:r w:rsidRPr="005E28A4">
        <w:rPr>
          <w:rFonts w:hint="eastAsia"/>
          <w:b/>
          <w:color w:val="000000"/>
          <w:sz w:val="44"/>
          <w:szCs w:val="44"/>
        </w:rPr>
        <w:t>》制定</w:t>
      </w:r>
    </w:p>
    <w:p w14:paraId="1171E658" w14:textId="76C94EC2" w:rsidR="00A4052A" w:rsidRPr="00D97F9A" w:rsidRDefault="00A4052A" w:rsidP="00D97F9A">
      <w:pPr>
        <w:ind w:leftChars="-134" w:left="-140" w:rightChars="-47" w:right="-99" w:hangingChars="27" w:hanging="141"/>
        <w:jc w:val="center"/>
        <w:rPr>
          <w:b/>
          <w:color w:val="000000"/>
          <w:sz w:val="48"/>
          <w:szCs w:val="52"/>
        </w:rPr>
      </w:pPr>
      <w:r w:rsidRPr="00FC4F3A">
        <w:rPr>
          <w:rFonts w:hint="eastAsia"/>
          <w:b/>
          <w:color w:val="000000"/>
          <w:sz w:val="52"/>
          <w:szCs w:val="52"/>
        </w:rPr>
        <w:t>编制说明</w:t>
      </w:r>
    </w:p>
    <w:p w14:paraId="599E6D3F" w14:textId="77777777" w:rsidR="00A4052A" w:rsidRPr="005E28A4" w:rsidRDefault="00A4052A" w:rsidP="00A4052A">
      <w:pPr>
        <w:jc w:val="center"/>
        <w:rPr>
          <w:b/>
          <w:color w:val="000000"/>
          <w:szCs w:val="21"/>
        </w:rPr>
      </w:pPr>
    </w:p>
    <w:p w14:paraId="2DD1FB54" w14:textId="77777777" w:rsidR="00A4052A" w:rsidRPr="005E28A4" w:rsidRDefault="00A4052A" w:rsidP="00A4052A">
      <w:pPr>
        <w:jc w:val="center"/>
        <w:rPr>
          <w:b/>
          <w:color w:val="000000"/>
          <w:szCs w:val="21"/>
        </w:rPr>
      </w:pPr>
    </w:p>
    <w:p w14:paraId="6BA39F81" w14:textId="77777777" w:rsidR="00A4052A" w:rsidRPr="005E28A4" w:rsidRDefault="00A4052A" w:rsidP="00A4052A">
      <w:pPr>
        <w:jc w:val="center"/>
        <w:rPr>
          <w:b/>
          <w:color w:val="000000"/>
          <w:szCs w:val="21"/>
        </w:rPr>
      </w:pPr>
    </w:p>
    <w:p w14:paraId="7F2AF778" w14:textId="77777777" w:rsidR="00A4052A" w:rsidRPr="005E28A4" w:rsidRDefault="00A4052A" w:rsidP="00A4052A">
      <w:pPr>
        <w:jc w:val="center"/>
        <w:rPr>
          <w:b/>
          <w:color w:val="000000"/>
          <w:szCs w:val="21"/>
        </w:rPr>
      </w:pPr>
    </w:p>
    <w:p w14:paraId="2E64AE1B" w14:textId="77777777" w:rsidR="00A4052A" w:rsidRPr="005E28A4" w:rsidRDefault="00A4052A" w:rsidP="00A4052A">
      <w:pPr>
        <w:jc w:val="center"/>
        <w:rPr>
          <w:b/>
          <w:color w:val="000000"/>
          <w:szCs w:val="21"/>
        </w:rPr>
      </w:pPr>
    </w:p>
    <w:p w14:paraId="042B939A" w14:textId="77777777" w:rsidR="00A4052A" w:rsidRDefault="00A4052A" w:rsidP="00EE5DC3">
      <w:pPr>
        <w:rPr>
          <w:b/>
          <w:color w:val="000000"/>
          <w:szCs w:val="21"/>
        </w:rPr>
      </w:pPr>
    </w:p>
    <w:p w14:paraId="67D373E7" w14:textId="77777777" w:rsidR="005E28A4" w:rsidRDefault="005E28A4" w:rsidP="00EE5DC3">
      <w:pPr>
        <w:rPr>
          <w:b/>
          <w:color w:val="000000"/>
          <w:szCs w:val="21"/>
        </w:rPr>
      </w:pPr>
    </w:p>
    <w:p w14:paraId="77D2C98E" w14:textId="77777777" w:rsidR="005E28A4" w:rsidRDefault="005E28A4" w:rsidP="00EE5DC3">
      <w:pPr>
        <w:rPr>
          <w:b/>
          <w:color w:val="000000"/>
          <w:szCs w:val="21"/>
        </w:rPr>
      </w:pPr>
    </w:p>
    <w:p w14:paraId="3694F890" w14:textId="77777777" w:rsidR="005E28A4" w:rsidRDefault="005E28A4" w:rsidP="00EE5DC3">
      <w:pPr>
        <w:rPr>
          <w:b/>
          <w:color w:val="000000"/>
          <w:szCs w:val="21"/>
        </w:rPr>
      </w:pPr>
    </w:p>
    <w:p w14:paraId="6F25ACCA" w14:textId="77777777" w:rsidR="005E28A4" w:rsidRDefault="005E28A4" w:rsidP="00EE5DC3">
      <w:pPr>
        <w:rPr>
          <w:b/>
          <w:color w:val="000000"/>
          <w:szCs w:val="21"/>
        </w:rPr>
      </w:pPr>
    </w:p>
    <w:p w14:paraId="4B289197" w14:textId="77777777" w:rsidR="005E28A4" w:rsidRDefault="005E28A4" w:rsidP="00EE5DC3">
      <w:pPr>
        <w:rPr>
          <w:b/>
          <w:color w:val="000000"/>
          <w:szCs w:val="21"/>
        </w:rPr>
      </w:pPr>
    </w:p>
    <w:p w14:paraId="5E3EDE28" w14:textId="77777777" w:rsidR="005E28A4" w:rsidRDefault="005E28A4" w:rsidP="00EE5DC3">
      <w:pPr>
        <w:rPr>
          <w:b/>
          <w:color w:val="000000"/>
          <w:szCs w:val="21"/>
        </w:rPr>
      </w:pPr>
    </w:p>
    <w:p w14:paraId="49E9814D" w14:textId="77777777" w:rsidR="005E28A4" w:rsidRDefault="005E28A4" w:rsidP="00EE5DC3">
      <w:pPr>
        <w:rPr>
          <w:b/>
          <w:color w:val="000000"/>
          <w:szCs w:val="21"/>
        </w:rPr>
      </w:pPr>
    </w:p>
    <w:p w14:paraId="3F0DA90F" w14:textId="77777777" w:rsidR="005E28A4" w:rsidRDefault="005E28A4" w:rsidP="00EE5DC3">
      <w:pPr>
        <w:rPr>
          <w:b/>
          <w:color w:val="000000"/>
          <w:szCs w:val="21"/>
        </w:rPr>
      </w:pPr>
    </w:p>
    <w:p w14:paraId="5D1BDF4B" w14:textId="77777777" w:rsidR="005E28A4" w:rsidRDefault="005E28A4" w:rsidP="00EE5DC3">
      <w:pPr>
        <w:rPr>
          <w:b/>
          <w:color w:val="000000"/>
          <w:szCs w:val="21"/>
        </w:rPr>
      </w:pPr>
    </w:p>
    <w:p w14:paraId="178B7AFA" w14:textId="77777777" w:rsidR="005E28A4" w:rsidRDefault="005E28A4" w:rsidP="00EE5DC3">
      <w:pPr>
        <w:rPr>
          <w:b/>
          <w:color w:val="000000"/>
          <w:szCs w:val="21"/>
        </w:rPr>
      </w:pPr>
    </w:p>
    <w:p w14:paraId="68FD0E78" w14:textId="77777777" w:rsidR="005E28A4" w:rsidRDefault="005E28A4" w:rsidP="00EE5DC3">
      <w:pPr>
        <w:rPr>
          <w:b/>
          <w:color w:val="000000"/>
          <w:szCs w:val="21"/>
        </w:rPr>
      </w:pPr>
    </w:p>
    <w:p w14:paraId="42641467" w14:textId="77777777" w:rsidR="005E28A4" w:rsidRDefault="005E28A4" w:rsidP="00EE5DC3">
      <w:pPr>
        <w:rPr>
          <w:b/>
          <w:color w:val="000000"/>
          <w:szCs w:val="21"/>
        </w:rPr>
      </w:pPr>
    </w:p>
    <w:p w14:paraId="16852EE9" w14:textId="77777777" w:rsidR="005E28A4" w:rsidRDefault="005E28A4" w:rsidP="00EE5DC3">
      <w:pPr>
        <w:rPr>
          <w:b/>
          <w:color w:val="000000"/>
          <w:szCs w:val="21"/>
        </w:rPr>
      </w:pPr>
    </w:p>
    <w:p w14:paraId="6183ED7B" w14:textId="77777777" w:rsidR="005E28A4" w:rsidRDefault="005E28A4" w:rsidP="00EE5DC3">
      <w:pPr>
        <w:rPr>
          <w:b/>
          <w:color w:val="000000"/>
          <w:szCs w:val="21"/>
        </w:rPr>
      </w:pPr>
    </w:p>
    <w:p w14:paraId="686DAD4B" w14:textId="77777777" w:rsidR="005E28A4" w:rsidRDefault="005E28A4" w:rsidP="00EE5DC3">
      <w:pPr>
        <w:rPr>
          <w:b/>
          <w:color w:val="000000"/>
          <w:szCs w:val="21"/>
        </w:rPr>
      </w:pPr>
    </w:p>
    <w:p w14:paraId="108EC7FA" w14:textId="77777777" w:rsidR="005E28A4" w:rsidRDefault="005E28A4" w:rsidP="00EE5DC3">
      <w:pPr>
        <w:rPr>
          <w:b/>
          <w:color w:val="000000"/>
          <w:szCs w:val="21"/>
        </w:rPr>
      </w:pPr>
    </w:p>
    <w:p w14:paraId="5213E4F3" w14:textId="77777777" w:rsidR="005E28A4" w:rsidRDefault="005E28A4" w:rsidP="00EE5DC3">
      <w:pPr>
        <w:rPr>
          <w:b/>
          <w:color w:val="000000"/>
          <w:szCs w:val="21"/>
        </w:rPr>
      </w:pPr>
    </w:p>
    <w:p w14:paraId="0C6AE142" w14:textId="77777777" w:rsidR="005E28A4" w:rsidRDefault="005E28A4" w:rsidP="00EE5DC3">
      <w:pPr>
        <w:rPr>
          <w:b/>
          <w:color w:val="000000"/>
          <w:szCs w:val="21"/>
        </w:rPr>
      </w:pPr>
    </w:p>
    <w:p w14:paraId="55AD61D3" w14:textId="77777777" w:rsidR="005E28A4" w:rsidRDefault="005E28A4" w:rsidP="00EE5DC3">
      <w:pPr>
        <w:rPr>
          <w:b/>
          <w:color w:val="000000"/>
          <w:szCs w:val="21"/>
        </w:rPr>
      </w:pPr>
    </w:p>
    <w:p w14:paraId="3D02C456" w14:textId="77777777" w:rsidR="005E28A4" w:rsidRDefault="005E28A4" w:rsidP="00EE5DC3">
      <w:pPr>
        <w:rPr>
          <w:b/>
          <w:color w:val="000000"/>
          <w:szCs w:val="21"/>
        </w:rPr>
      </w:pPr>
    </w:p>
    <w:p w14:paraId="7385823B" w14:textId="77777777" w:rsidR="005E28A4" w:rsidRDefault="005E28A4" w:rsidP="00EE5DC3">
      <w:pPr>
        <w:rPr>
          <w:b/>
          <w:color w:val="000000"/>
          <w:szCs w:val="21"/>
        </w:rPr>
      </w:pPr>
    </w:p>
    <w:p w14:paraId="6E985C54" w14:textId="77777777" w:rsidR="005E28A4" w:rsidRDefault="005E28A4" w:rsidP="00EE5DC3">
      <w:pPr>
        <w:rPr>
          <w:b/>
          <w:color w:val="000000"/>
          <w:szCs w:val="21"/>
        </w:rPr>
      </w:pPr>
    </w:p>
    <w:p w14:paraId="318129D7" w14:textId="77777777" w:rsidR="005E28A4" w:rsidRDefault="005E28A4" w:rsidP="00EE5DC3">
      <w:pPr>
        <w:rPr>
          <w:b/>
          <w:color w:val="000000"/>
          <w:szCs w:val="21"/>
        </w:rPr>
      </w:pPr>
    </w:p>
    <w:p w14:paraId="7B9F1544" w14:textId="77777777" w:rsidR="005E28A4" w:rsidRDefault="005E28A4" w:rsidP="00EE5DC3">
      <w:pPr>
        <w:rPr>
          <w:b/>
          <w:color w:val="000000"/>
          <w:szCs w:val="21"/>
        </w:rPr>
      </w:pPr>
    </w:p>
    <w:p w14:paraId="0D9B0BB2" w14:textId="77777777" w:rsidR="005E28A4" w:rsidRPr="005E28A4" w:rsidRDefault="005E28A4" w:rsidP="00EE5DC3">
      <w:pPr>
        <w:rPr>
          <w:b/>
          <w:color w:val="000000"/>
          <w:szCs w:val="21"/>
        </w:rPr>
      </w:pPr>
    </w:p>
    <w:p w14:paraId="16CA3FF5" w14:textId="6BC21D45" w:rsidR="00A4052A" w:rsidRDefault="00A4052A" w:rsidP="00A4052A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A4052A">
        <w:rPr>
          <w:rFonts w:ascii="黑体" w:eastAsia="黑体" w:hAnsi="黑体" w:hint="eastAsia"/>
          <w:sz w:val="32"/>
          <w:szCs w:val="32"/>
        </w:rPr>
        <w:lastRenderedPageBreak/>
        <w:t>《</w:t>
      </w:r>
      <w:bookmarkStart w:id="1" w:name="_Hlk157604920"/>
      <w:bookmarkStart w:id="2" w:name="_Hlk157613289"/>
      <w:r w:rsidR="00D97F9A" w:rsidRPr="00D97F9A">
        <w:rPr>
          <w:rFonts w:ascii="黑体" w:eastAsia="黑体" w:hAnsi="黑体" w:hint="eastAsia"/>
          <w:sz w:val="32"/>
          <w:szCs w:val="32"/>
        </w:rPr>
        <w:t>10kV</w:t>
      </w:r>
      <w:bookmarkStart w:id="3" w:name="_Hlk157605011"/>
      <w:r w:rsidR="00D97F9A" w:rsidRPr="00D97F9A">
        <w:rPr>
          <w:rFonts w:ascii="黑体" w:eastAsia="黑体" w:hAnsi="黑体" w:hint="eastAsia"/>
          <w:sz w:val="32"/>
          <w:szCs w:val="32"/>
        </w:rPr>
        <w:t>预装式电动汽车充电站</w:t>
      </w:r>
      <w:bookmarkEnd w:id="1"/>
      <w:bookmarkEnd w:id="3"/>
      <w:r w:rsidR="00D97F9A" w:rsidRPr="00D97F9A">
        <w:rPr>
          <w:rFonts w:ascii="黑体" w:eastAsia="黑体" w:hAnsi="黑体" w:hint="eastAsia"/>
          <w:sz w:val="32"/>
          <w:szCs w:val="32"/>
        </w:rPr>
        <w:t>技术规范</w:t>
      </w:r>
      <w:bookmarkEnd w:id="2"/>
      <w:r w:rsidRPr="00A4052A">
        <w:rPr>
          <w:rFonts w:ascii="黑体" w:eastAsia="黑体" w:hAnsi="黑体" w:hint="eastAsia"/>
          <w:sz w:val="32"/>
          <w:szCs w:val="32"/>
        </w:rPr>
        <w:t>》制定</w:t>
      </w:r>
    </w:p>
    <w:p w14:paraId="680458A4" w14:textId="77777777" w:rsidR="008B1EA4" w:rsidRPr="00A4052A" w:rsidRDefault="00A4052A" w:rsidP="00A4052A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A4052A">
        <w:rPr>
          <w:rFonts w:ascii="黑体" w:eastAsia="黑体" w:hAnsi="黑体" w:hint="eastAsia"/>
          <w:sz w:val="32"/>
          <w:szCs w:val="32"/>
        </w:rPr>
        <w:t>编制说明</w:t>
      </w:r>
    </w:p>
    <w:p w14:paraId="09C98617" w14:textId="401FBBB5" w:rsidR="008B1EA4" w:rsidRPr="00690D34" w:rsidRDefault="00690D34" w:rsidP="00690D34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Pr="00690D34">
        <w:rPr>
          <w:rFonts w:ascii="黑体" w:eastAsia="黑体" w:hAnsi="黑体" w:hint="eastAsia"/>
          <w:sz w:val="28"/>
          <w:szCs w:val="28"/>
        </w:rPr>
        <w:t>、</w:t>
      </w:r>
      <w:r w:rsidR="008B1EA4" w:rsidRPr="00690D34">
        <w:rPr>
          <w:rFonts w:ascii="黑体" w:eastAsia="黑体" w:hAnsi="黑体" w:hint="eastAsia"/>
          <w:sz w:val="28"/>
          <w:szCs w:val="28"/>
        </w:rPr>
        <w:t>编制背景</w:t>
      </w:r>
    </w:p>
    <w:p w14:paraId="6687EE0F" w14:textId="1B94FF7A" w:rsidR="00506D20" w:rsidRDefault="009D7339" w:rsidP="00506D20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 w:rsidR="003F1C95">
        <w:rPr>
          <w:rFonts w:hint="eastAsia"/>
          <w:sz w:val="21"/>
          <w:szCs w:val="21"/>
        </w:rPr>
        <w:t>节能：</w:t>
      </w:r>
      <w:r w:rsidR="003A3A3C" w:rsidRPr="00506D20">
        <w:rPr>
          <w:rFonts w:hint="eastAsia"/>
          <w:sz w:val="21"/>
          <w:szCs w:val="21"/>
        </w:rPr>
        <w:t>现有</w:t>
      </w:r>
      <w:bookmarkStart w:id="4" w:name="_Hlk157613486"/>
      <w:r w:rsidR="00940E97" w:rsidRPr="00506D20">
        <w:rPr>
          <w:rFonts w:hint="eastAsia"/>
          <w:sz w:val="21"/>
          <w:szCs w:val="21"/>
        </w:rPr>
        <w:t>箱</w:t>
      </w:r>
      <w:r w:rsidR="003A3A3C" w:rsidRPr="00506D20">
        <w:rPr>
          <w:rFonts w:hint="eastAsia"/>
          <w:sz w:val="21"/>
          <w:szCs w:val="21"/>
        </w:rPr>
        <w:t>变</w:t>
      </w:r>
      <w:r w:rsidR="00940E97" w:rsidRPr="00506D20">
        <w:rPr>
          <w:rFonts w:hint="eastAsia"/>
          <w:sz w:val="21"/>
          <w:szCs w:val="21"/>
        </w:rPr>
        <w:t>和</w:t>
      </w:r>
      <w:r w:rsidR="003A3A3C" w:rsidRPr="00506D20">
        <w:rPr>
          <w:rFonts w:hint="eastAsia"/>
          <w:sz w:val="21"/>
          <w:szCs w:val="21"/>
        </w:rPr>
        <w:t>充电桩</w:t>
      </w:r>
      <w:r w:rsidR="00940E97" w:rsidRPr="00506D20">
        <w:rPr>
          <w:rFonts w:hint="eastAsia"/>
          <w:sz w:val="21"/>
          <w:szCs w:val="21"/>
        </w:rPr>
        <w:t>的分立</w:t>
      </w:r>
      <w:r w:rsidR="00110490" w:rsidRPr="00506D20">
        <w:rPr>
          <w:rFonts w:hint="eastAsia"/>
          <w:sz w:val="21"/>
          <w:szCs w:val="21"/>
        </w:rPr>
        <w:t>的充电站</w:t>
      </w:r>
      <w:bookmarkEnd w:id="4"/>
      <w:r w:rsidR="000F4AC9" w:rsidRPr="00506D20">
        <w:rPr>
          <w:rFonts w:hint="eastAsia"/>
          <w:sz w:val="21"/>
          <w:szCs w:val="21"/>
        </w:rPr>
        <w:t>的电损在1</w:t>
      </w:r>
      <w:r w:rsidR="000F4AC9" w:rsidRPr="00506D20">
        <w:rPr>
          <w:sz w:val="21"/>
          <w:szCs w:val="21"/>
        </w:rPr>
        <w:t>0-12%</w:t>
      </w:r>
      <w:r w:rsidR="000F4AC9" w:rsidRPr="00506D20">
        <w:rPr>
          <w:rFonts w:hint="eastAsia"/>
          <w:sz w:val="21"/>
          <w:szCs w:val="21"/>
        </w:rPr>
        <w:t>，其</w:t>
      </w:r>
      <w:bookmarkStart w:id="5" w:name="_Hlk157608094"/>
      <w:r w:rsidR="00D70034" w:rsidRPr="00506D20">
        <w:rPr>
          <w:rFonts w:hint="eastAsia"/>
          <w:sz w:val="21"/>
          <w:szCs w:val="21"/>
        </w:rPr>
        <w:t>为充电站</w:t>
      </w:r>
      <w:r w:rsidR="000F4AC9" w:rsidRPr="00506D20">
        <w:rPr>
          <w:rFonts w:hint="eastAsia"/>
          <w:sz w:val="21"/>
          <w:szCs w:val="21"/>
        </w:rPr>
        <w:t>运行损耗</w:t>
      </w:r>
      <w:bookmarkEnd w:id="5"/>
      <w:r w:rsidR="000F4AC9" w:rsidRPr="00506D20">
        <w:rPr>
          <w:rFonts w:hint="eastAsia"/>
          <w:sz w:val="21"/>
          <w:szCs w:val="21"/>
        </w:rPr>
        <w:t>和空载损耗组成；运行损耗</w:t>
      </w:r>
      <w:bookmarkStart w:id="6" w:name="_Hlk157608193"/>
      <w:r w:rsidR="00D70034" w:rsidRPr="00506D20">
        <w:rPr>
          <w:rFonts w:hint="eastAsia"/>
          <w:sz w:val="21"/>
          <w:szCs w:val="21"/>
        </w:rPr>
        <w:t>为充电模块</w:t>
      </w:r>
      <w:bookmarkEnd w:id="6"/>
      <w:r w:rsidR="00110490" w:rsidRPr="00506D20">
        <w:rPr>
          <w:rFonts w:hint="eastAsia"/>
          <w:sz w:val="21"/>
          <w:szCs w:val="21"/>
        </w:rPr>
        <w:t>损耗、低压电缆线损和</w:t>
      </w:r>
      <w:bookmarkStart w:id="7" w:name="_Hlk157607604"/>
      <w:r w:rsidR="00110490" w:rsidRPr="00506D20">
        <w:rPr>
          <w:rFonts w:hint="eastAsia"/>
          <w:sz w:val="21"/>
          <w:szCs w:val="21"/>
        </w:rPr>
        <w:t>箱变电损</w:t>
      </w:r>
      <w:bookmarkEnd w:id="7"/>
      <w:r w:rsidR="00110490" w:rsidRPr="00506D20">
        <w:rPr>
          <w:rFonts w:hint="eastAsia"/>
          <w:sz w:val="21"/>
          <w:szCs w:val="21"/>
        </w:rPr>
        <w:t>等</w:t>
      </w:r>
      <w:r w:rsidR="000F4AC9" w:rsidRPr="00506D20">
        <w:rPr>
          <w:rFonts w:hint="eastAsia"/>
          <w:sz w:val="21"/>
          <w:szCs w:val="21"/>
        </w:rPr>
        <w:t>组成</w:t>
      </w:r>
      <w:bookmarkStart w:id="8" w:name="_Hlk157607970"/>
      <w:r w:rsidR="000F4AC9" w:rsidRPr="00506D20">
        <w:rPr>
          <w:rFonts w:hint="eastAsia"/>
          <w:sz w:val="21"/>
          <w:szCs w:val="21"/>
        </w:rPr>
        <w:t>，充电站的空</w:t>
      </w:r>
      <w:r w:rsidR="00D70034" w:rsidRPr="00506D20">
        <w:rPr>
          <w:rFonts w:hint="eastAsia"/>
          <w:sz w:val="21"/>
          <w:szCs w:val="21"/>
        </w:rPr>
        <w:t>载</w:t>
      </w:r>
      <w:r w:rsidR="000F4AC9" w:rsidRPr="00506D20">
        <w:rPr>
          <w:rFonts w:hint="eastAsia"/>
          <w:sz w:val="21"/>
          <w:szCs w:val="21"/>
        </w:rPr>
        <w:t>损</w:t>
      </w:r>
      <w:bookmarkEnd w:id="8"/>
      <w:r w:rsidR="00D70034" w:rsidRPr="00506D20">
        <w:rPr>
          <w:rFonts w:hint="eastAsia"/>
          <w:sz w:val="21"/>
          <w:szCs w:val="21"/>
        </w:rPr>
        <w:t>为</w:t>
      </w:r>
      <w:r w:rsidR="000F4AC9" w:rsidRPr="00506D20">
        <w:rPr>
          <w:rFonts w:hint="eastAsia"/>
          <w:sz w:val="21"/>
          <w:szCs w:val="21"/>
        </w:rPr>
        <w:t>充电模块和箱变的</w:t>
      </w:r>
      <w:r w:rsidR="002D6BEC" w:rsidRPr="00506D20">
        <w:rPr>
          <w:rFonts w:hint="eastAsia"/>
          <w:sz w:val="21"/>
          <w:szCs w:val="21"/>
        </w:rPr>
        <w:t>待机功耗</w:t>
      </w:r>
      <w:r w:rsidR="00506D20" w:rsidRPr="00506D20">
        <w:rPr>
          <w:rFonts w:hint="eastAsia"/>
          <w:sz w:val="21"/>
          <w:szCs w:val="21"/>
        </w:rPr>
        <w:t>。</w:t>
      </w:r>
    </w:p>
    <w:p w14:paraId="3D3510AA" w14:textId="52CC26FC" w:rsidR="003F1C95" w:rsidRDefault="00A0471A" w:rsidP="00EE19E8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若</w:t>
      </w:r>
      <w:r w:rsidR="00A568F1" w:rsidRPr="00940E97">
        <w:rPr>
          <w:rFonts w:hint="eastAsia"/>
          <w:sz w:val="21"/>
          <w:szCs w:val="21"/>
        </w:rPr>
        <w:t>充电桩</w:t>
      </w:r>
      <w:r w:rsidR="00A568F1">
        <w:rPr>
          <w:rFonts w:hint="eastAsia"/>
          <w:sz w:val="21"/>
          <w:szCs w:val="21"/>
        </w:rPr>
        <w:t>与</w:t>
      </w:r>
      <w:r w:rsidR="00A568F1" w:rsidRPr="00940E97">
        <w:rPr>
          <w:rFonts w:hint="eastAsia"/>
          <w:sz w:val="21"/>
          <w:szCs w:val="21"/>
        </w:rPr>
        <w:t>箱</w:t>
      </w:r>
      <w:proofErr w:type="gramStart"/>
      <w:r w:rsidR="00A568F1" w:rsidRPr="00940E97">
        <w:rPr>
          <w:rFonts w:hint="eastAsia"/>
          <w:sz w:val="21"/>
          <w:szCs w:val="21"/>
        </w:rPr>
        <w:t>变</w:t>
      </w:r>
      <w:r w:rsidR="00A568F1">
        <w:rPr>
          <w:rFonts w:hint="eastAsia"/>
          <w:sz w:val="21"/>
          <w:szCs w:val="21"/>
        </w:rPr>
        <w:t>距离</w:t>
      </w:r>
      <w:proofErr w:type="gramEnd"/>
      <w:r w:rsidR="009E2FFA">
        <w:rPr>
          <w:rFonts w:hint="eastAsia"/>
          <w:sz w:val="21"/>
          <w:szCs w:val="21"/>
        </w:rPr>
        <w:t>约为</w:t>
      </w:r>
      <w:r w:rsidR="00A568F1" w:rsidRPr="00940E97">
        <w:rPr>
          <w:rFonts w:hint="eastAsia"/>
          <w:sz w:val="21"/>
          <w:szCs w:val="21"/>
        </w:rPr>
        <w:t>50米</w:t>
      </w:r>
      <w:r w:rsidR="009E2FFA">
        <w:rPr>
          <w:rFonts w:hint="eastAsia"/>
          <w:sz w:val="21"/>
          <w:szCs w:val="21"/>
        </w:rPr>
        <w:t>的场景</w:t>
      </w:r>
      <w:r w:rsidR="00A568F1" w:rsidRPr="00940E97">
        <w:rPr>
          <w:rFonts w:hint="eastAsia"/>
          <w:sz w:val="21"/>
          <w:szCs w:val="21"/>
        </w:rPr>
        <w:t>，</w:t>
      </w:r>
      <w:r w:rsidR="00506D20">
        <w:rPr>
          <w:rFonts w:hint="eastAsia"/>
          <w:sz w:val="21"/>
          <w:szCs w:val="21"/>
        </w:rPr>
        <w:t>充电功率为1</w:t>
      </w:r>
      <w:r w:rsidR="00506D20">
        <w:rPr>
          <w:sz w:val="21"/>
          <w:szCs w:val="21"/>
        </w:rPr>
        <w:t>0</w:t>
      </w:r>
      <w:r w:rsidR="009E2FFA" w:rsidRPr="009E2FFA">
        <w:rPr>
          <w:sz w:val="21"/>
          <w:szCs w:val="21"/>
        </w:rPr>
        <w:t>00</w:t>
      </w:r>
      <w:bookmarkStart w:id="9" w:name="_Hlk157607552"/>
      <w:r w:rsidR="009E2FFA" w:rsidRPr="009E2FFA">
        <w:rPr>
          <w:sz w:val="21"/>
          <w:szCs w:val="21"/>
        </w:rPr>
        <w:t>kW</w:t>
      </w:r>
      <w:bookmarkEnd w:id="9"/>
      <w:r w:rsidR="00506D20">
        <w:rPr>
          <w:rFonts w:hint="eastAsia"/>
          <w:sz w:val="21"/>
          <w:szCs w:val="21"/>
        </w:rPr>
        <w:t>时，</w:t>
      </w:r>
      <w:r w:rsidR="003F1C95">
        <w:rPr>
          <w:rFonts w:hint="eastAsia"/>
          <w:sz w:val="21"/>
          <w:szCs w:val="21"/>
        </w:rPr>
        <w:t>采用</w:t>
      </w:r>
      <w:r w:rsidR="00506D20">
        <w:rPr>
          <w:rFonts w:hint="eastAsia"/>
          <w:sz w:val="21"/>
          <w:szCs w:val="21"/>
        </w:rPr>
        <w:t>“</w:t>
      </w:r>
      <w:bookmarkStart w:id="10" w:name="_Hlk157619305"/>
      <w:r w:rsidR="00506D20" w:rsidRPr="00506D20">
        <w:rPr>
          <w:rFonts w:hint="eastAsia"/>
          <w:sz w:val="21"/>
          <w:szCs w:val="21"/>
        </w:rPr>
        <w:t>10kV预装式电动汽车充电站</w:t>
      </w:r>
      <w:bookmarkEnd w:id="10"/>
      <w:r w:rsidR="00506D20">
        <w:rPr>
          <w:rFonts w:hint="eastAsia"/>
          <w:sz w:val="21"/>
          <w:szCs w:val="21"/>
        </w:rPr>
        <w:t>”</w:t>
      </w:r>
      <w:r w:rsidR="00F570D9">
        <w:rPr>
          <w:rFonts w:hint="eastAsia"/>
          <w:sz w:val="21"/>
          <w:szCs w:val="21"/>
        </w:rPr>
        <w:t>较</w:t>
      </w:r>
      <w:r w:rsidR="00EE19E8">
        <w:rPr>
          <w:rFonts w:hint="eastAsia"/>
          <w:sz w:val="21"/>
          <w:szCs w:val="21"/>
        </w:rPr>
        <w:t>现有“</w:t>
      </w:r>
      <w:r w:rsidR="00EE19E8" w:rsidRPr="00EE19E8">
        <w:rPr>
          <w:rFonts w:hint="eastAsia"/>
          <w:sz w:val="21"/>
          <w:szCs w:val="21"/>
        </w:rPr>
        <w:t>箱变和充电桩的分立的充电站</w:t>
      </w:r>
      <w:r w:rsidR="00EE19E8">
        <w:rPr>
          <w:rFonts w:hint="eastAsia"/>
          <w:sz w:val="21"/>
          <w:szCs w:val="21"/>
        </w:rPr>
        <w:t>”</w:t>
      </w:r>
      <w:r w:rsidR="003F1C95">
        <w:rPr>
          <w:rFonts w:hint="eastAsia"/>
          <w:sz w:val="21"/>
          <w:szCs w:val="21"/>
        </w:rPr>
        <w:t>的</w:t>
      </w:r>
      <w:r w:rsidR="00EE19E8">
        <w:rPr>
          <w:rFonts w:hint="eastAsia"/>
          <w:sz w:val="21"/>
          <w:szCs w:val="21"/>
        </w:rPr>
        <w:t>方案</w:t>
      </w:r>
      <w:r w:rsidR="00EE19E8" w:rsidRPr="00837E0B">
        <w:rPr>
          <w:rFonts w:hint="eastAsia"/>
          <w:sz w:val="21"/>
          <w:szCs w:val="21"/>
        </w:rPr>
        <w:t>，年</w:t>
      </w:r>
      <w:r>
        <w:rPr>
          <w:rFonts w:hint="eastAsia"/>
          <w:sz w:val="21"/>
          <w:szCs w:val="21"/>
        </w:rPr>
        <w:t>可</w:t>
      </w:r>
      <w:r w:rsidR="00837E0B" w:rsidRPr="00837E0B">
        <w:rPr>
          <w:rFonts w:hint="eastAsia"/>
          <w:sz w:val="21"/>
          <w:szCs w:val="21"/>
        </w:rPr>
        <w:t>节约</w:t>
      </w:r>
      <w:r w:rsidR="003F1C95" w:rsidRPr="00837E0B">
        <w:rPr>
          <w:rFonts w:hint="eastAsia"/>
          <w:sz w:val="21"/>
          <w:szCs w:val="21"/>
        </w:rPr>
        <w:t>线损</w:t>
      </w:r>
      <w:r w:rsidR="00837E0B" w:rsidRPr="00837E0B">
        <w:rPr>
          <w:sz w:val="21"/>
          <w:szCs w:val="21"/>
        </w:rPr>
        <w:t>2</w:t>
      </w:r>
      <w:r w:rsidR="00A568F1" w:rsidRPr="00940E97">
        <w:rPr>
          <w:rFonts w:hint="eastAsia"/>
          <w:sz w:val="21"/>
          <w:szCs w:val="21"/>
        </w:rPr>
        <w:t>.</w:t>
      </w:r>
      <w:r w:rsidR="00837E0B" w:rsidRPr="00837E0B">
        <w:rPr>
          <w:sz w:val="21"/>
          <w:szCs w:val="21"/>
        </w:rPr>
        <w:t>6</w:t>
      </w:r>
      <w:r w:rsidR="00837E0B" w:rsidRPr="00837E0B">
        <w:rPr>
          <w:rFonts w:hint="eastAsia"/>
          <w:sz w:val="21"/>
          <w:szCs w:val="21"/>
        </w:rPr>
        <w:t>万度电</w:t>
      </w:r>
      <w:r w:rsidR="003F1C95">
        <w:rPr>
          <w:rFonts w:hint="eastAsia"/>
          <w:sz w:val="21"/>
          <w:szCs w:val="21"/>
        </w:rPr>
        <w:t>；</w:t>
      </w:r>
      <w:r w:rsidR="003F1C95" w:rsidRPr="00837E0B">
        <w:rPr>
          <w:rFonts w:hint="eastAsia"/>
          <w:sz w:val="21"/>
          <w:szCs w:val="21"/>
        </w:rPr>
        <w:t>超充和大</w:t>
      </w:r>
      <w:r w:rsidR="003F1C95">
        <w:rPr>
          <w:rFonts w:hint="eastAsia"/>
          <w:sz w:val="21"/>
          <w:szCs w:val="21"/>
        </w:rPr>
        <w:t>功率充电站的兴起，数以百万计的大功率充电站采用</w:t>
      </w:r>
      <w:r w:rsidR="003F1C95" w:rsidRPr="003F1C95">
        <w:rPr>
          <w:rFonts w:hint="eastAsia"/>
          <w:sz w:val="21"/>
          <w:szCs w:val="21"/>
        </w:rPr>
        <w:t>10kV电动汽车充电站</w:t>
      </w:r>
      <w:r w:rsidR="003F1C95">
        <w:rPr>
          <w:rFonts w:hint="eastAsia"/>
          <w:sz w:val="21"/>
          <w:szCs w:val="21"/>
        </w:rPr>
        <w:t>的技术方案，节电效果明显。</w:t>
      </w:r>
    </w:p>
    <w:p w14:paraId="4B9A9584" w14:textId="058F11C9" w:rsidR="00EE19E8" w:rsidRDefault="003F1C95" w:rsidP="003F1C95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制定</w:t>
      </w:r>
      <w:r w:rsidR="00A0471A" w:rsidRPr="00A0471A">
        <w:rPr>
          <w:rFonts w:hint="eastAsia"/>
          <w:sz w:val="21"/>
          <w:szCs w:val="21"/>
        </w:rPr>
        <w:t>《10kV预装式电动汽车充电站技术规范》</w:t>
      </w:r>
      <w:r>
        <w:rPr>
          <w:rFonts w:hint="eastAsia"/>
          <w:sz w:val="21"/>
          <w:szCs w:val="21"/>
        </w:rPr>
        <w:t>，</w:t>
      </w:r>
      <w:r w:rsidR="00837E0B">
        <w:rPr>
          <w:rFonts w:hint="eastAsia"/>
          <w:sz w:val="21"/>
          <w:szCs w:val="21"/>
        </w:rPr>
        <w:t>提升充电站的电能使用效率，</w:t>
      </w:r>
      <w:r>
        <w:rPr>
          <w:rFonts w:hint="eastAsia"/>
          <w:sz w:val="21"/>
          <w:szCs w:val="21"/>
        </w:rPr>
        <w:t>是高质量高技术发展充电设施的一个具体举措</w:t>
      </w:r>
      <w:r w:rsidR="00EE19E8">
        <w:rPr>
          <w:rFonts w:hint="eastAsia"/>
          <w:sz w:val="21"/>
          <w:szCs w:val="21"/>
        </w:rPr>
        <w:t>。</w:t>
      </w:r>
    </w:p>
    <w:p w14:paraId="7CAAAD06" w14:textId="1FF6033C" w:rsidR="002C574D" w:rsidRDefault="00691C02" w:rsidP="00EE19E8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r w:rsidRPr="009818B1">
        <w:rPr>
          <w:rFonts w:hint="eastAsia"/>
          <w:sz w:val="21"/>
          <w:szCs w:val="21"/>
        </w:rPr>
        <w:t>2</w:t>
      </w:r>
      <w:r w:rsidRPr="009818B1">
        <w:rPr>
          <w:sz w:val="21"/>
          <w:szCs w:val="21"/>
        </w:rPr>
        <w:t>.</w:t>
      </w:r>
      <w:r w:rsidR="009818B1" w:rsidRPr="009818B1">
        <w:rPr>
          <w:rFonts w:hint="eastAsia"/>
          <w:sz w:val="21"/>
          <w:szCs w:val="21"/>
        </w:rPr>
        <w:t xml:space="preserve"> </w:t>
      </w:r>
      <w:bookmarkStart w:id="11" w:name="_Hlk157619442"/>
      <w:r w:rsidR="003F1C95">
        <w:rPr>
          <w:rFonts w:hint="eastAsia"/>
          <w:sz w:val="21"/>
          <w:szCs w:val="21"/>
        </w:rPr>
        <w:t>依据：</w:t>
      </w:r>
      <w:r w:rsidR="002D32DD" w:rsidRPr="009818B1">
        <w:rPr>
          <w:rFonts w:hint="eastAsia"/>
          <w:sz w:val="21"/>
          <w:szCs w:val="21"/>
        </w:rPr>
        <w:t>GB50052-2009《供配电系统设计规范》第4.0.8款中</w:t>
      </w:r>
      <w:r w:rsidR="00AC64DA">
        <w:rPr>
          <w:rFonts w:hint="eastAsia"/>
          <w:sz w:val="21"/>
          <w:szCs w:val="21"/>
        </w:rPr>
        <w:t>规定</w:t>
      </w:r>
      <w:r w:rsidR="002D32DD" w:rsidRPr="009818B1">
        <w:rPr>
          <w:rFonts w:hint="eastAsia"/>
          <w:sz w:val="21"/>
          <w:szCs w:val="21"/>
        </w:rPr>
        <w:t>要求</w:t>
      </w:r>
      <w:bookmarkEnd w:id="11"/>
      <w:r w:rsidR="002D32DD" w:rsidRPr="009818B1">
        <w:rPr>
          <w:rFonts w:hint="eastAsia"/>
          <w:sz w:val="21"/>
          <w:szCs w:val="21"/>
        </w:rPr>
        <w:t>：配变电所应靠近负荷中心。可以节省线材、降低电能损耗，提高电压质量，这是供配电系统设计的一条重要原则。</w:t>
      </w:r>
    </w:p>
    <w:p w14:paraId="28CFBF48" w14:textId="34644B0D" w:rsidR="009818B1" w:rsidRPr="009818B1" w:rsidRDefault="002C574D" w:rsidP="00EE19E8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bookmarkStart w:id="12" w:name="_Hlk157620110"/>
      <w:r w:rsidRPr="002C574D">
        <w:rPr>
          <w:rFonts w:hint="eastAsia"/>
          <w:sz w:val="21"/>
          <w:szCs w:val="21"/>
        </w:rPr>
        <w:t>10kV预装式电动汽车充电站</w:t>
      </w:r>
      <w:bookmarkEnd w:id="12"/>
      <w:r>
        <w:rPr>
          <w:rFonts w:hint="eastAsia"/>
          <w:sz w:val="21"/>
          <w:szCs w:val="21"/>
        </w:rPr>
        <w:t>，</w:t>
      </w:r>
      <w:r w:rsidR="00AC64DA">
        <w:rPr>
          <w:rFonts w:hint="eastAsia"/>
          <w:sz w:val="21"/>
          <w:szCs w:val="21"/>
        </w:rPr>
        <w:t>就</w:t>
      </w:r>
      <w:r>
        <w:rPr>
          <w:rFonts w:hint="eastAsia"/>
          <w:sz w:val="21"/>
          <w:szCs w:val="21"/>
        </w:rPr>
        <w:t>是依据</w:t>
      </w:r>
      <w:r w:rsidRPr="002C574D">
        <w:rPr>
          <w:rFonts w:hint="eastAsia"/>
          <w:sz w:val="21"/>
          <w:szCs w:val="21"/>
        </w:rPr>
        <w:t>GB50052-2009《供配电系统设计规范》第4.0.8款中</w:t>
      </w:r>
      <w:r w:rsidR="00AC64DA">
        <w:rPr>
          <w:rFonts w:hint="eastAsia"/>
          <w:sz w:val="21"/>
          <w:szCs w:val="21"/>
        </w:rPr>
        <w:t>规定</w:t>
      </w:r>
      <w:r w:rsidR="002D32DD" w:rsidRPr="009818B1">
        <w:rPr>
          <w:rFonts w:hint="eastAsia"/>
          <w:sz w:val="21"/>
          <w:szCs w:val="21"/>
        </w:rPr>
        <w:t>，</w:t>
      </w:r>
      <w:r w:rsidR="00AC64DA">
        <w:rPr>
          <w:rFonts w:hint="eastAsia"/>
          <w:sz w:val="21"/>
          <w:szCs w:val="21"/>
        </w:rPr>
        <w:t>将</w:t>
      </w:r>
      <w:r w:rsidR="002D32DD" w:rsidRPr="009818B1">
        <w:rPr>
          <w:rFonts w:hint="eastAsia"/>
          <w:sz w:val="21"/>
          <w:szCs w:val="21"/>
        </w:rPr>
        <w:t>紧凑型箱变和充电模块</w:t>
      </w:r>
      <w:r w:rsidR="009818B1" w:rsidRPr="009818B1">
        <w:rPr>
          <w:rFonts w:hint="eastAsia"/>
          <w:sz w:val="21"/>
          <w:szCs w:val="21"/>
        </w:rPr>
        <w:t>分别置于独立的</w:t>
      </w:r>
      <w:r w:rsidR="00AC64DA">
        <w:rPr>
          <w:rFonts w:hint="eastAsia"/>
          <w:sz w:val="21"/>
          <w:szCs w:val="21"/>
        </w:rPr>
        <w:t>电气</w:t>
      </w:r>
      <w:r w:rsidR="009818B1" w:rsidRPr="009818B1">
        <w:rPr>
          <w:rFonts w:hint="eastAsia"/>
          <w:sz w:val="21"/>
          <w:szCs w:val="21"/>
        </w:rPr>
        <w:t>空间，</w:t>
      </w:r>
      <w:r w:rsidR="005423E3" w:rsidRPr="005423E3">
        <w:rPr>
          <w:rFonts w:hint="eastAsia"/>
          <w:sz w:val="21"/>
          <w:szCs w:val="21"/>
        </w:rPr>
        <w:t>结构上形成了</w:t>
      </w:r>
      <w:r w:rsidR="005423E3">
        <w:rPr>
          <w:rFonts w:hint="eastAsia"/>
          <w:sz w:val="21"/>
          <w:szCs w:val="21"/>
        </w:rPr>
        <w:t>变电和</w:t>
      </w:r>
      <w:r w:rsidR="005423E3" w:rsidRPr="005423E3">
        <w:rPr>
          <w:rFonts w:hint="eastAsia"/>
          <w:sz w:val="21"/>
          <w:szCs w:val="21"/>
        </w:rPr>
        <w:t>充电系统一体化结构</w:t>
      </w:r>
      <w:r w:rsidR="005423E3">
        <w:rPr>
          <w:rFonts w:hint="eastAsia"/>
          <w:sz w:val="21"/>
          <w:szCs w:val="21"/>
        </w:rPr>
        <w:t>，</w:t>
      </w:r>
      <w:r w:rsidR="00AC64DA">
        <w:rPr>
          <w:rFonts w:hint="eastAsia"/>
          <w:sz w:val="21"/>
          <w:szCs w:val="21"/>
        </w:rPr>
        <w:t>实现</w:t>
      </w:r>
      <w:r>
        <w:rPr>
          <w:rFonts w:hint="eastAsia"/>
          <w:sz w:val="21"/>
          <w:szCs w:val="21"/>
        </w:rPr>
        <w:t>缩短</w:t>
      </w:r>
      <w:proofErr w:type="gramStart"/>
      <w:r w:rsidR="009818B1" w:rsidRPr="009818B1">
        <w:rPr>
          <w:rFonts w:hint="eastAsia"/>
          <w:sz w:val="21"/>
          <w:szCs w:val="21"/>
        </w:rPr>
        <w:t>低压母联的</w:t>
      </w:r>
      <w:proofErr w:type="gramEnd"/>
      <w:r w:rsidR="009818B1" w:rsidRPr="009818B1">
        <w:rPr>
          <w:rFonts w:hint="eastAsia"/>
          <w:sz w:val="21"/>
          <w:szCs w:val="21"/>
        </w:rPr>
        <w:t>长度</w:t>
      </w:r>
      <w:r w:rsidR="00AC64DA">
        <w:rPr>
          <w:rFonts w:hint="eastAsia"/>
          <w:sz w:val="21"/>
          <w:szCs w:val="21"/>
        </w:rPr>
        <w:t>的目的</w:t>
      </w:r>
      <w:r w:rsidR="009818B1" w:rsidRPr="009818B1">
        <w:rPr>
          <w:rFonts w:hint="eastAsia"/>
          <w:sz w:val="21"/>
          <w:szCs w:val="21"/>
        </w:rPr>
        <w:t>，</w:t>
      </w:r>
      <w:r w:rsidR="00AC64DA">
        <w:rPr>
          <w:rFonts w:hint="eastAsia"/>
          <w:sz w:val="21"/>
          <w:szCs w:val="21"/>
        </w:rPr>
        <w:t>由此</w:t>
      </w:r>
      <w:r w:rsidR="009818B1" w:rsidRPr="009818B1">
        <w:rPr>
          <w:rFonts w:hint="eastAsia"/>
          <w:sz w:val="21"/>
          <w:szCs w:val="21"/>
        </w:rPr>
        <w:t>降低低压线损，提升充电站用电效率</w:t>
      </w:r>
      <w:r w:rsidR="00234348">
        <w:rPr>
          <w:rFonts w:hint="eastAsia"/>
          <w:sz w:val="21"/>
          <w:szCs w:val="21"/>
        </w:rPr>
        <w:t>，并据此编制</w:t>
      </w:r>
      <w:r w:rsidR="00234348" w:rsidRPr="00234348">
        <w:rPr>
          <w:rFonts w:hint="eastAsia"/>
          <w:sz w:val="21"/>
          <w:szCs w:val="21"/>
        </w:rPr>
        <w:t>《10kV预装式电动汽车充电站技术规范》</w:t>
      </w:r>
      <w:r w:rsidR="009818B1" w:rsidRPr="009818B1">
        <w:rPr>
          <w:rFonts w:hint="eastAsia"/>
          <w:sz w:val="21"/>
          <w:szCs w:val="21"/>
        </w:rPr>
        <w:t>。</w:t>
      </w:r>
    </w:p>
    <w:p w14:paraId="17816719" w14:textId="34BD620D" w:rsidR="00F93765" w:rsidRDefault="00691C02" w:rsidP="00027626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3</w:t>
      </w:r>
      <w:r w:rsidR="00C945B1" w:rsidRPr="00221E61">
        <w:rPr>
          <w:rFonts w:hint="eastAsia"/>
          <w:sz w:val="21"/>
          <w:szCs w:val="21"/>
        </w:rPr>
        <w:t>.国内</w:t>
      </w:r>
      <w:r w:rsidR="00027626">
        <w:rPr>
          <w:rFonts w:hint="eastAsia"/>
          <w:sz w:val="21"/>
          <w:szCs w:val="21"/>
        </w:rPr>
        <w:t>外</w:t>
      </w:r>
      <w:r w:rsidR="00C945B1" w:rsidRPr="00221E61">
        <w:rPr>
          <w:rFonts w:hint="eastAsia"/>
          <w:sz w:val="21"/>
          <w:szCs w:val="21"/>
        </w:rPr>
        <w:t>标准</w:t>
      </w:r>
      <w:r w:rsidR="003F1C95">
        <w:rPr>
          <w:rFonts w:hint="eastAsia"/>
          <w:sz w:val="21"/>
          <w:szCs w:val="21"/>
        </w:rPr>
        <w:t>：</w:t>
      </w:r>
      <w:r w:rsidR="00A10C7C">
        <w:rPr>
          <w:rFonts w:hint="eastAsia"/>
          <w:sz w:val="21"/>
          <w:szCs w:val="21"/>
        </w:rPr>
        <w:t>下表为查阅过的部分标准和规范</w:t>
      </w:r>
      <w:r w:rsidR="003F1C95">
        <w:rPr>
          <w:rFonts w:hint="eastAsia"/>
          <w:sz w:val="21"/>
          <w:szCs w:val="21"/>
        </w:rPr>
        <w:t>，</w:t>
      </w:r>
      <w:r w:rsidR="003F1C95" w:rsidRPr="005C2E23">
        <w:rPr>
          <w:rFonts w:hint="eastAsia"/>
          <w:sz w:val="21"/>
          <w:szCs w:val="21"/>
        </w:rPr>
        <w:t>未见</w:t>
      </w:r>
      <w:bookmarkStart w:id="13" w:name="_Hlk157620407"/>
      <w:r w:rsidR="003F1C95">
        <w:rPr>
          <w:rFonts w:hint="eastAsia"/>
          <w:sz w:val="21"/>
          <w:szCs w:val="21"/>
        </w:rPr>
        <w:t>与</w:t>
      </w:r>
      <w:bookmarkStart w:id="14" w:name="_Hlk157625542"/>
      <w:r w:rsidR="003F1C95">
        <w:rPr>
          <w:rFonts w:hint="eastAsia"/>
          <w:sz w:val="21"/>
          <w:szCs w:val="21"/>
        </w:rPr>
        <w:t>《</w:t>
      </w:r>
      <w:r w:rsidR="003F1C95" w:rsidRPr="00027626">
        <w:rPr>
          <w:rFonts w:hint="eastAsia"/>
          <w:sz w:val="21"/>
          <w:szCs w:val="21"/>
        </w:rPr>
        <w:t>10kV预装式电动汽车充电站</w:t>
      </w:r>
      <w:bookmarkStart w:id="15" w:name="_Hlk157627125"/>
      <w:r w:rsidR="003F1C95" w:rsidRPr="00027626">
        <w:rPr>
          <w:rFonts w:hint="eastAsia"/>
          <w:sz w:val="21"/>
          <w:szCs w:val="21"/>
        </w:rPr>
        <w:t>技术规范</w:t>
      </w:r>
      <w:bookmarkEnd w:id="15"/>
      <w:r w:rsidR="003F1C95">
        <w:rPr>
          <w:rFonts w:hint="eastAsia"/>
          <w:sz w:val="21"/>
          <w:szCs w:val="21"/>
        </w:rPr>
        <w:t>》</w:t>
      </w:r>
      <w:bookmarkEnd w:id="13"/>
      <w:bookmarkEnd w:id="14"/>
      <w:r w:rsidR="003F1C95" w:rsidRPr="005C2E23">
        <w:rPr>
          <w:rFonts w:hint="eastAsia"/>
          <w:sz w:val="21"/>
          <w:szCs w:val="21"/>
        </w:rPr>
        <w:t>相关</w:t>
      </w:r>
      <w:r w:rsidR="003F1C95">
        <w:rPr>
          <w:rFonts w:hint="eastAsia"/>
          <w:sz w:val="21"/>
          <w:szCs w:val="21"/>
        </w:rPr>
        <w:t>的</w:t>
      </w:r>
      <w:r w:rsidR="003F1C95" w:rsidRPr="005C2E23">
        <w:rPr>
          <w:rFonts w:hint="eastAsia"/>
          <w:sz w:val="21"/>
          <w:szCs w:val="21"/>
        </w:rPr>
        <w:t>标准</w:t>
      </w:r>
      <w:r w:rsidR="003F1C95">
        <w:rPr>
          <w:rFonts w:hint="eastAsia"/>
          <w:sz w:val="21"/>
          <w:szCs w:val="21"/>
        </w:rPr>
        <w:t>和</w:t>
      </w:r>
      <w:r w:rsidR="003F1C95" w:rsidRPr="005C2E23">
        <w:rPr>
          <w:rFonts w:hint="eastAsia"/>
          <w:sz w:val="21"/>
          <w:szCs w:val="21"/>
        </w:rPr>
        <w:t>规范</w:t>
      </w:r>
      <w:r w:rsidR="00A10C7C">
        <w:rPr>
          <w:rFonts w:hint="eastAsia"/>
          <w:sz w:val="21"/>
          <w:szCs w:val="21"/>
        </w:rPr>
        <w:t>。</w:t>
      </w:r>
    </w:p>
    <w:p w14:paraId="00C7BD23" w14:textId="77777777" w:rsidR="00A10C7C" w:rsidRDefault="00A10C7C" w:rsidP="00A10C7C">
      <w:pPr>
        <w:pStyle w:val="a6"/>
        <w:spacing w:before="0" w:beforeAutospacing="0" w:after="0" w:afterAutospacing="0" w:line="300" w:lineRule="auto"/>
        <w:rPr>
          <w:sz w:val="21"/>
          <w:szCs w:val="21"/>
        </w:rPr>
      </w:pPr>
    </w:p>
    <w:tbl>
      <w:tblPr>
        <w:tblW w:w="92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4961"/>
        <w:gridCol w:w="1418"/>
        <w:gridCol w:w="992"/>
      </w:tblGrid>
      <w:tr w:rsidR="00A10C7C" w:rsidRPr="00A10C7C" w14:paraId="18099408" w14:textId="77777777" w:rsidTr="00B9400A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4C784B3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标准编号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53AAE34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739DF4D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国标（行标）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23861B8" w14:textId="19998BDC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状</w:t>
            </w:r>
            <w:r w:rsidR="00B9400A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 xml:space="preserve"> </w:t>
            </w: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态</w:t>
            </w:r>
          </w:p>
        </w:tc>
      </w:tr>
      <w:tr w:rsidR="00A10C7C" w:rsidRPr="00A10C7C" w14:paraId="3F6B080E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280B59F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GB/T 29781—2013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EC46FDF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电动汽车充电站通用要求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104B96B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D4A1DEE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已发布</w:t>
            </w:r>
          </w:p>
        </w:tc>
      </w:tr>
      <w:tr w:rsidR="00A10C7C" w:rsidRPr="00A10C7C" w14:paraId="7CA14594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820DDB3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 50966—2014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FE5E2FB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电动汽车充电站设计规范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141B7E9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13941E2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在修订</w:t>
            </w:r>
          </w:p>
        </w:tc>
      </w:tr>
      <w:tr w:rsidR="00A10C7C" w:rsidRPr="00A10C7C" w14:paraId="2F4F5094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1F72DBC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 50053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2A25F97" w14:textId="4BC14F4D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20kV及以下变电所设计规范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A39D29C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75191B3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已发布</w:t>
            </w:r>
          </w:p>
        </w:tc>
      </w:tr>
      <w:tr w:rsidR="00A10C7C" w:rsidRPr="00A10C7C" w14:paraId="512CC721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0D2FB5C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 50052-2009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901B7BD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供配电系统设计规范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21F293CC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21CAD2F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已发布</w:t>
            </w:r>
          </w:p>
        </w:tc>
      </w:tr>
      <w:tr w:rsidR="00A10C7C" w:rsidRPr="00A10C7C" w14:paraId="34AF72DE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DE01BEC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NB/T 33005—2013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99C0BE4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电动汽车充电站及电池</w:t>
            </w:r>
            <w:proofErr w:type="gramStart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更换站</w:t>
            </w:r>
            <w:proofErr w:type="gramEnd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监控系统技术规范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2811DE4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E649B88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已发布</w:t>
            </w:r>
          </w:p>
        </w:tc>
      </w:tr>
      <w:tr w:rsidR="00A10C7C" w:rsidRPr="00A10C7C" w14:paraId="4695AA85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9D68CE8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NB/T 33018—2015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6E88D74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电动汽车</w:t>
            </w:r>
            <w:proofErr w:type="gramStart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充换电</w:t>
            </w:r>
            <w:proofErr w:type="gramEnd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设施供电系统技术规范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2876791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F9D0A00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已发布</w:t>
            </w:r>
          </w:p>
        </w:tc>
      </w:tr>
      <w:tr w:rsidR="00A10C7C" w:rsidRPr="00A10C7C" w14:paraId="5A7ED447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6BB885B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hint="eastAsia"/>
                <w:color w:val="000000"/>
                <w:kern w:val="24"/>
                <w:szCs w:val="21"/>
              </w:rPr>
              <w:t>NB/T XXXXX--20XX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36AF54F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电动汽车</w:t>
            </w:r>
            <w:proofErr w:type="gramStart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充换电</w:t>
            </w:r>
            <w:proofErr w:type="gramEnd"/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设施接入配电网设计规范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0951A10F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B9C6942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在制定</w:t>
            </w:r>
          </w:p>
        </w:tc>
      </w:tr>
      <w:tr w:rsidR="00A10C7C" w:rsidRPr="00A10C7C" w14:paraId="30F4B8B8" w14:textId="77777777" w:rsidTr="00B9400A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EA296B0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hint="eastAsia"/>
                <w:color w:val="000000"/>
                <w:kern w:val="24"/>
                <w:szCs w:val="21"/>
              </w:rPr>
              <w:t>NB/T XXXXX--20XX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4E7BB12F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基于直流母线的一体化充电站通用要求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A492A58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NB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63EA5CBD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在制定</w:t>
            </w:r>
          </w:p>
        </w:tc>
      </w:tr>
      <w:tr w:rsidR="00A10C7C" w:rsidRPr="00A10C7C" w14:paraId="1DC6ED4B" w14:textId="77777777" w:rsidTr="003B4ECD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375F4090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MLIPPN+SimSun-Identity-H" w:hint="eastAsia"/>
                <w:color w:val="000000" w:themeColor="text1"/>
                <w:kern w:val="24"/>
                <w:szCs w:val="21"/>
              </w:rPr>
              <w:t>欧IEC 61851-23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5C3CA65C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MLIPPN+SimSun-Identity-H" w:hint="eastAsia"/>
                <w:color w:val="000000" w:themeColor="text1"/>
                <w:kern w:val="24"/>
                <w:szCs w:val="21"/>
              </w:rPr>
              <w:t>2014年传导充电系统第23部分电动汽车直流充电站的要求及与车辆的导电连接</w:t>
            </w:r>
          </w:p>
        </w:tc>
      </w:tr>
      <w:tr w:rsidR="00A10C7C" w:rsidRPr="00A10C7C" w14:paraId="26F8AF2A" w14:textId="77777777" w:rsidTr="003B4ECD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738A0FDD" w14:textId="77777777" w:rsidR="00A10C7C" w:rsidRPr="00A10C7C" w:rsidRDefault="00A10C7C" w:rsidP="00A10C7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MLIPPN+SimSun-Identity-H" w:hint="eastAsia"/>
                <w:color w:val="000000" w:themeColor="text1"/>
                <w:kern w:val="24"/>
                <w:szCs w:val="21"/>
              </w:rPr>
              <w:t>美国政府资助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14:paraId="128F8547" w14:textId="77777777" w:rsidR="00A10C7C" w:rsidRPr="00A10C7C" w:rsidRDefault="00A10C7C" w:rsidP="00A10C7C">
            <w:pPr>
              <w:widowControl/>
              <w:textAlignment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10C7C">
              <w:rPr>
                <w:rFonts w:ascii="宋体" w:eastAsia="宋体" w:hAnsi="宋体" w:cs="MLIPPN+SimSun-Identity-H" w:hint="eastAsia"/>
                <w:color w:val="000000" w:themeColor="text1"/>
                <w:kern w:val="24"/>
                <w:szCs w:val="21"/>
              </w:rPr>
              <w:t>充电站必须有4个直流快速充电器（DCFC）充电功率必须达到150kW</w:t>
            </w:r>
          </w:p>
        </w:tc>
      </w:tr>
    </w:tbl>
    <w:p w14:paraId="45F5AE8B" w14:textId="77777777" w:rsidR="00A10C7C" w:rsidRPr="003F1C95" w:rsidRDefault="00A10C7C" w:rsidP="003F1C95">
      <w:pPr>
        <w:pStyle w:val="a6"/>
        <w:spacing w:before="0" w:beforeAutospacing="0" w:after="0" w:afterAutospacing="0" w:line="300" w:lineRule="auto"/>
        <w:rPr>
          <w:sz w:val="21"/>
          <w:szCs w:val="21"/>
        </w:rPr>
      </w:pPr>
    </w:p>
    <w:p w14:paraId="2B060F5D" w14:textId="77777777" w:rsidR="00690D34" w:rsidRPr="003F1C95" w:rsidRDefault="00690D34" w:rsidP="003F1C95">
      <w:pPr>
        <w:spacing w:line="300" w:lineRule="auto"/>
        <w:rPr>
          <w:rFonts w:ascii="黑体" w:eastAsia="黑体" w:hAnsi="黑体"/>
          <w:szCs w:val="21"/>
        </w:rPr>
      </w:pPr>
    </w:p>
    <w:p w14:paraId="5F345BAD" w14:textId="77777777" w:rsidR="00690D34" w:rsidRPr="003F1C95" w:rsidRDefault="00690D34" w:rsidP="003F1C95">
      <w:pPr>
        <w:spacing w:line="300" w:lineRule="auto"/>
        <w:rPr>
          <w:rFonts w:ascii="黑体" w:eastAsia="黑体" w:hAnsi="黑体"/>
          <w:szCs w:val="21"/>
        </w:rPr>
      </w:pPr>
    </w:p>
    <w:p w14:paraId="5A5CF4EF" w14:textId="22883A61" w:rsidR="00656C98" w:rsidRPr="00381A16" w:rsidRDefault="00381A16" w:rsidP="00381A16">
      <w:pPr>
        <w:spacing w:line="300" w:lineRule="auto"/>
        <w:rPr>
          <w:rFonts w:ascii="黑体" w:eastAsia="黑体" w:hAnsi="黑体"/>
          <w:sz w:val="28"/>
          <w:szCs w:val="28"/>
        </w:rPr>
      </w:pPr>
      <w:bookmarkStart w:id="16" w:name="_Hlk157636798"/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656C98" w:rsidRPr="00381A16">
        <w:rPr>
          <w:rFonts w:ascii="黑体" w:eastAsia="黑体" w:hAnsi="黑体" w:hint="eastAsia"/>
          <w:sz w:val="28"/>
          <w:szCs w:val="28"/>
        </w:rPr>
        <w:t>编制主要原则</w:t>
      </w:r>
    </w:p>
    <w:p w14:paraId="3B2D6046" w14:textId="081DF143" w:rsidR="00656C98" w:rsidRDefault="003B4ECD" w:rsidP="00012D2B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  <w:bookmarkStart w:id="17" w:name="_Hlk157626458"/>
      <w:bookmarkEnd w:id="16"/>
      <w:r w:rsidRPr="003B4ECD">
        <w:rPr>
          <w:rFonts w:hint="eastAsia"/>
          <w:sz w:val="21"/>
          <w:szCs w:val="21"/>
        </w:rPr>
        <w:t>《</w:t>
      </w:r>
      <w:bookmarkStart w:id="18" w:name="_Hlk157626228"/>
      <w:r w:rsidRPr="003B4ECD">
        <w:rPr>
          <w:rFonts w:hint="eastAsia"/>
          <w:sz w:val="21"/>
          <w:szCs w:val="21"/>
        </w:rPr>
        <w:t>10kV</w:t>
      </w:r>
      <w:bookmarkEnd w:id="18"/>
      <w:r w:rsidRPr="003B4ECD">
        <w:rPr>
          <w:rFonts w:hint="eastAsia"/>
          <w:sz w:val="21"/>
          <w:szCs w:val="21"/>
        </w:rPr>
        <w:t>预装式电动汽车充电站技术规范》</w:t>
      </w:r>
      <w:bookmarkEnd w:id="17"/>
      <w:r>
        <w:rPr>
          <w:rFonts w:hint="eastAsia"/>
          <w:sz w:val="21"/>
          <w:szCs w:val="21"/>
        </w:rPr>
        <w:t>的</w:t>
      </w:r>
      <w:r w:rsidR="00A0792E">
        <w:rPr>
          <w:rFonts w:hint="eastAsia"/>
          <w:sz w:val="21"/>
          <w:szCs w:val="21"/>
        </w:rPr>
        <w:t>编</w:t>
      </w:r>
      <w:r>
        <w:rPr>
          <w:rFonts w:hint="eastAsia"/>
          <w:sz w:val="21"/>
          <w:szCs w:val="21"/>
        </w:rPr>
        <w:t>制</w:t>
      </w:r>
      <w:r w:rsidRPr="003B4ECD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对</w:t>
      </w:r>
      <w:r w:rsidRPr="003B4ECD">
        <w:rPr>
          <w:rFonts w:hint="eastAsia"/>
          <w:sz w:val="21"/>
          <w:szCs w:val="21"/>
        </w:rPr>
        <w:t>10kV预装式电动汽车充电站</w:t>
      </w:r>
      <w:r>
        <w:rPr>
          <w:rFonts w:hint="eastAsia"/>
          <w:sz w:val="21"/>
          <w:szCs w:val="21"/>
        </w:rPr>
        <w:t>的</w:t>
      </w:r>
      <w:r w:rsidR="00A0792E">
        <w:rPr>
          <w:rFonts w:hint="eastAsia"/>
          <w:sz w:val="21"/>
          <w:szCs w:val="21"/>
        </w:rPr>
        <w:t>构</w:t>
      </w:r>
      <w:r>
        <w:rPr>
          <w:rFonts w:hint="eastAsia"/>
          <w:sz w:val="21"/>
          <w:szCs w:val="21"/>
        </w:rPr>
        <w:t>成</w:t>
      </w:r>
      <w:r w:rsidR="00A0792E">
        <w:rPr>
          <w:rFonts w:hint="eastAsia"/>
          <w:sz w:val="21"/>
          <w:szCs w:val="21"/>
        </w:rPr>
        <w:t>、</w:t>
      </w:r>
      <w:r w:rsidR="003F1C95">
        <w:rPr>
          <w:rFonts w:hint="eastAsia"/>
          <w:sz w:val="21"/>
          <w:szCs w:val="21"/>
        </w:rPr>
        <w:t>对</w:t>
      </w:r>
      <w:r w:rsidR="00A0792E" w:rsidRPr="003B4ECD">
        <w:rPr>
          <w:rFonts w:hint="eastAsia"/>
          <w:sz w:val="21"/>
          <w:szCs w:val="21"/>
        </w:rPr>
        <w:t>操作使用者的安全保护措施</w:t>
      </w:r>
      <w:r w:rsidR="00A0792E">
        <w:rPr>
          <w:rFonts w:hint="eastAsia"/>
          <w:sz w:val="21"/>
          <w:szCs w:val="21"/>
        </w:rPr>
        <w:t>、</w:t>
      </w:r>
      <w:r w:rsidR="00A0792E" w:rsidRPr="003B4ECD">
        <w:rPr>
          <w:rFonts w:hint="eastAsia"/>
          <w:sz w:val="21"/>
          <w:szCs w:val="21"/>
        </w:rPr>
        <w:t>充电站</w:t>
      </w:r>
      <w:r w:rsidR="003F1C95">
        <w:rPr>
          <w:rFonts w:hint="eastAsia"/>
          <w:sz w:val="21"/>
          <w:szCs w:val="21"/>
        </w:rPr>
        <w:t>自身</w:t>
      </w:r>
      <w:r w:rsidR="00A0792E" w:rsidRPr="003B4ECD">
        <w:rPr>
          <w:rFonts w:hint="eastAsia"/>
          <w:sz w:val="21"/>
          <w:szCs w:val="21"/>
        </w:rPr>
        <w:t>安全运行措施</w:t>
      </w:r>
      <w:r w:rsidR="00A0792E">
        <w:rPr>
          <w:rFonts w:hint="eastAsia"/>
          <w:sz w:val="21"/>
          <w:szCs w:val="21"/>
        </w:rPr>
        <w:t>、充电模块</w:t>
      </w:r>
      <w:r w:rsidRPr="003B4ECD">
        <w:rPr>
          <w:rFonts w:hint="eastAsia"/>
          <w:sz w:val="21"/>
          <w:szCs w:val="21"/>
        </w:rPr>
        <w:t>散热、防水、防灰尘、防霉菌、防潮湿、防盐雾处理的规范</w:t>
      </w:r>
      <w:r w:rsidR="00A0792E" w:rsidRPr="003B4ECD">
        <w:rPr>
          <w:rFonts w:hint="eastAsia"/>
          <w:sz w:val="21"/>
          <w:szCs w:val="21"/>
        </w:rPr>
        <w:t>要求</w:t>
      </w:r>
      <w:r w:rsidR="003F1C95">
        <w:rPr>
          <w:rFonts w:hint="eastAsia"/>
          <w:sz w:val="21"/>
          <w:szCs w:val="21"/>
        </w:rPr>
        <w:t>做出规范和要求</w:t>
      </w:r>
      <w:r w:rsidR="0023016E" w:rsidRPr="00691C02">
        <w:rPr>
          <w:rFonts w:hint="eastAsia"/>
          <w:sz w:val="21"/>
          <w:szCs w:val="21"/>
        </w:rPr>
        <w:t>。</w:t>
      </w:r>
    </w:p>
    <w:p w14:paraId="52D32E7D" w14:textId="77777777" w:rsidR="00CD40E4" w:rsidRPr="00221E61" w:rsidRDefault="00CD40E4" w:rsidP="00012D2B">
      <w:pPr>
        <w:pStyle w:val="a6"/>
        <w:spacing w:before="0" w:beforeAutospacing="0" w:after="0" w:afterAutospacing="0" w:line="300" w:lineRule="auto"/>
        <w:ind w:firstLineChars="200" w:firstLine="420"/>
        <w:rPr>
          <w:sz w:val="21"/>
          <w:szCs w:val="21"/>
        </w:rPr>
      </w:pPr>
    </w:p>
    <w:p w14:paraId="56D32309" w14:textId="78C549F2" w:rsidR="00656C98" w:rsidRPr="00381A16" w:rsidRDefault="00381A16" w:rsidP="00381A1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656C98" w:rsidRPr="00381A16">
        <w:rPr>
          <w:rFonts w:ascii="黑体" w:eastAsia="黑体" w:hAnsi="黑体" w:hint="eastAsia"/>
          <w:sz w:val="28"/>
          <w:szCs w:val="28"/>
        </w:rPr>
        <w:t>与其他标准文件的关系</w:t>
      </w:r>
    </w:p>
    <w:p w14:paraId="7CF406A7" w14:textId="77777777" w:rsidR="00675FDB" w:rsidRPr="00221E61" w:rsidRDefault="00E01C3F" w:rsidP="00221E61">
      <w:pPr>
        <w:pStyle w:val="a3"/>
        <w:spacing w:line="300" w:lineRule="auto"/>
        <w:rPr>
          <w:rFonts w:ascii="宋体" w:eastAsia="宋体" w:hAnsi="宋体"/>
          <w:szCs w:val="21"/>
        </w:rPr>
      </w:pPr>
      <w:r w:rsidRPr="00221E61">
        <w:rPr>
          <w:rFonts w:ascii="宋体" w:eastAsia="宋体" w:hAnsi="宋体" w:hint="eastAsia"/>
          <w:szCs w:val="21"/>
        </w:rPr>
        <w:t>本标准编制过程中参考并引用了</w:t>
      </w:r>
    </w:p>
    <w:p w14:paraId="135DE916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18487.1</w:t>
      </w:r>
      <w:r w:rsidRPr="00C000AD">
        <w:rPr>
          <w:rFonts w:ascii="宋体" w:hAnsi="宋体"/>
          <w:szCs w:val="21"/>
        </w:rPr>
        <w:t>-2015</w:t>
      </w:r>
      <w:r w:rsidRPr="00C000AD">
        <w:rPr>
          <w:rFonts w:ascii="宋体" w:eastAsia="宋体" w:hAnsi="宋体" w:hint="eastAsia"/>
          <w:szCs w:val="21"/>
        </w:rPr>
        <w:t xml:space="preserve"> 电动汽车传导充电系统 第1部分 通用要求 </w:t>
      </w:r>
    </w:p>
    <w:p w14:paraId="14C3A24C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18487.2</w:t>
      </w:r>
      <w:r w:rsidRPr="00C000AD">
        <w:rPr>
          <w:rFonts w:ascii="宋体" w:hAnsi="宋体"/>
          <w:szCs w:val="21"/>
        </w:rPr>
        <w:t>-2017</w:t>
      </w:r>
      <w:r w:rsidRPr="00C000AD">
        <w:rPr>
          <w:rFonts w:ascii="宋体" w:eastAsia="宋体" w:hAnsi="宋体" w:hint="eastAsia"/>
          <w:szCs w:val="21"/>
        </w:rPr>
        <w:t xml:space="preserve"> 电动汽车传导充电系统 第2部分 非车载传导供电设备电磁兼容要求 </w:t>
      </w:r>
    </w:p>
    <w:p w14:paraId="30360504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20234.1 电动汽车传导充电用连接装置 第1部分 通用要求</w:t>
      </w:r>
    </w:p>
    <w:p w14:paraId="236B4844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20234.3 电动汽车传导充电用连接装置 第3部分 直流充电接口</w:t>
      </w:r>
    </w:p>
    <w:p w14:paraId="65C01C10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20234.4 电动汽车传导充电用连接装置 第4部分 大功率直流充电接口</w:t>
      </w:r>
    </w:p>
    <w:p w14:paraId="160176F8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22033-2017 信息技术嵌入式系统术语</w:t>
      </w:r>
    </w:p>
    <w:p w14:paraId="513DC3D0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27930 电动汽车非车载充电机与电池管理系统之间的通信协议</w:t>
      </w:r>
    </w:p>
    <w:p w14:paraId="498DD37C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29317－2021  电动汽车</w:t>
      </w:r>
      <w:proofErr w:type="gramStart"/>
      <w:r w:rsidRPr="00C000AD">
        <w:rPr>
          <w:rFonts w:ascii="宋体" w:eastAsia="宋体" w:hAnsi="宋体" w:hint="eastAsia"/>
          <w:szCs w:val="21"/>
        </w:rPr>
        <w:t>充换电</w:t>
      </w:r>
      <w:proofErr w:type="gramEnd"/>
      <w:r w:rsidRPr="00C000AD">
        <w:rPr>
          <w:rFonts w:ascii="宋体" w:eastAsia="宋体" w:hAnsi="宋体" w:hint="eastAsia"/>
          <w:szCs w:val="21"/>
        </w:rPr>
        <w:t>设施术语</w:t>
      </w:r>
    </w:p>
    <w:p w14:paraId="60F71C7A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GB/T 34657.1 电动汽车传导充电互操作性测试规范 第1部分：供电设备</w:t>
      </w:r>
    </w:p>
    <w:p w14:paraId="030C6BC3" w14:textId="77777777" w:rsidR="00C83500" w:rsidRPr="00C83500" w:rsidRDefault="00C83500" w:rsidP="00C83500">
      <w:pPr>
        <w:pStyle w:val="a3"/>
        <w:spacing w:line="300" w:lineRule="auto"/>
        <w:ind w:left="432" w:firstLineChars="0" w:firstLine="0"/>
        <w:jc w:val="left"/>
        <w:rPr>
          <w:rFonts w:ascii="宋体" w:hAnsi="宋体"/>
          <w:szCs w:val="21"/>
        </w:rPr>
      </w:pPr>
      <w:r w:rsidRPr="00C83500">
        <w:rPr>
          <w:rFonts w:ascii="宋体" w:hAnsi="宋体" w:hint="eastAsia"/>
          <w:szCs w:val="21"/>
        </w:rPr>
        <w:t>GB50052—2009供配电系统设计规范</w:t>
      </w:r>
    </w:p>
    <w:p w14:paraId="0E8EB97C" w14:textId="77777777" w:rsidR="00C83500" w:rsidRPr="00C83500" w:rsidRDefault="00C83500" w:rsidP="00C83500">
      <w:pPr>
        <w:pStyle w:val="a3"/>
        <w:spacing w:line="300" w:lineRule="auto"/>
        <w:ind w:left="432" w:firstLineChars="0" w:firstLine="0"/>
        <w:jc w:val="left"/>
        <w:rPr>
          <w:rFonts w:ascii="宋体" w:hAnsi="宋体"/>
          <w:szCs w:val="21"/>
        </w:rPr>
      </w:pPr>
      <w:r w:rsidRPr="00C83500">
        <w:rPr>
          <w:rFonts w:ascii="宋体" w:hAnsi="宋体" w:hint="eastAsia"/>
          <w:szCs w:val="21"/>
        </w:rPr>
        <w:t>GB/T 40823—2021 配电变电站用紧凑型成套设备(CEADS)</w:t>
      </w:r>
    </w:p>
    <w:p w14:paraId="146E92E2" w14:textId="77777777" w:rsidR="00C83500" w:rsidRPr="00F51846" w:rsidRDefault="00C83500" w:rsidP="00C83500">
      <w:pPr>
        <w:pStyle w:val="a3"/>
        <w:spacing w:line="300" w:lineRule="auto"/>
        <w:ind w:left="432" w:firstLineChars="0" w:firstLine="0"/>
        <w:jc w:val="left"/>
        <w:rPr>
          <w:rFonts w:ascii="宋体" w:hAnsi="宋体"/>
          <w:sz w:val="20"/>
          <w:szCs w:val="20"/>
        </w:rPr>
      </w:pPr>
      <w:r w:rsidRPr="00F51846">
        <w:rPr>
          <w:rFonts w:ascii="宋体" w:hAnsi="宋体"/>
          <w:sz w:val="20"/>
          <w:szCs w:val="20"/>
        </w:rPr>
        <w:t>GB/T 2423.55</w:t>
      </w:r>
      <w:r w:rsidRPr="00F51846">
        <w:rPr>
          <w:rFonts w:ascii="宋体" w:hAnsi="宋体" w:hint="eastAsia"/>
          <w:sz w:val="20"/>
          <w:szCs w:val="20"/>
        </w:rPr>
        <w:t>紧</w:t>
      </w:r>
      <w:r w:rsidRPr="00F51846">
        <w:rPr>
          <w:rFonts w:ascii="宋体" w:hAnsi="宋体"/>
          <w:sz w:val="20"/>
          <w:szCs w:val="20"/>
        </w:rPr>
        <w:t>凑型成套设</w:t>
      </w:r>
      <w:r w:rsidRPr="00F51846">
        <w:rPr>
          <w:rFonts w:ascii="宋体" w:hAnsi="宋体" w:hint="eastAsia"/>
          <w:sz w:val="20"/>
          <w:szCs w:val="20"/>
        </w:rPr>
        <w:t>备</w:t>
      </w:r>
      <w:r w:rsidRPr="00F51846">
        <w:rPr>
          <w:rFonts w:ascii="宋体" w:hAnsi="宋体"/>
          <w:sz w:val="20"/>
          <w:szCs w:val="20"/>
        </w:rPr>
        <w:t xml:space="preserve">《电工电子产品环境试验 </w:t>
      </w:r>
      <w:r w:rsidRPr="00F51846">
        <w:rPr>
          <w:rFonts w:ascii="宋体" w:hAnsi="宋体" w:hint="eastAsia"/>
          <w:sz w:val="20"/>
          <w:szCs w:val="20"/>
        </w:rPr>
        <w:t>第</w:t>
      </w:r>
      <w:r w:rsidRPr="00F51846">
        <w:rPr>
          <w:rFonts w:ascii="宋体" w:hAnsi="宋体"/>
          <w:sz w:val="20"/>
          <w:szCs w:val="20"/>
        </w:rPr>
        <w:t xml:space="preserve">2部分：试验方法 </w:t>
      </w:r>
      <w:r w:rsidRPr="00F51846">
        <w:rPr>
          <w:rFonts w:ascii="宋体" w:hAnsi="宋体" w:hint="eastAsia"/>
          <w:sz w:val="20"/>
          <w:szCs w:val="20"/>
        </w:rPr>
        <w:t>试验</w:t>
      </w:r>
      <w:r w:rsidRPr="00F51846">
        <w:rPr>
          <w:rFonts w:ascii="宋体" w:hAnsi="宋体"/>
          <w:sz w:val="20"/>
          <w:szCs w:val="20"/>
        </w:rPr>
        <w:t>Eh：锤击试验》</w:t>
      </w:r>
    </w:p>
    <w:p w14:paraId="7105A17E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NB/T 11305.2-2023 电动汽车充放电双向互动 第2部分：有序充电</w:t>
      </w:r>
    </w:p>
    <w:p w14:paraId="0011643A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NB/T 33001</w:t>
      </w:r>
      <w:r w:rsidRPr="00C000AD">
        <w:rPr>
          <w:rFonts w:ascii="宋体" w:hAnsi="宋体"/>
          <w:szCs w:val="21"/>
        </w:rPr>
        <w:t>-2018</w:t>
      </w:r>
      <w:r w:rsidRPr="00C000AD">
        <w:rPr>
          <w:rFonts w:ascii="宋体" w:eastAsia="宋体" w:hAnsi="宋体" w:hint="eastAsia"/>
          <w:szCs w:val="21"/>
        </w:rPr>
        <w:t xml:space="preserve">  电动汽车非车载传导式充电机技术条件</w:t>
      </w:r>
    </w:p>
    <w:p w14:paraId="363EA584" w14:textId="77777777" w:rsidR="00C83500" w:rsidRPr="00C000AD" w:rsidRDefault="00C83500" w:rsidP="00C83500">
      <w:pPr>
        <w:pStyle w:val="a3"/>
        <w:spacing w:line="300" w:lineRule="auto"/>
        <w:ind w:left="432" w:firstLineChars="0" w:firstLine="0"/>
        <w:rPr>
          <w:rFonts w:ascii="宋体" w:eastAsia="宋体" w:hAnsi="宋体"/>
          <w:szCs w:val="21"/>
        </w:rPr>
      </w:pPr>
      <w:r w:rsidRPr="00C000AD">
        <w:rPr>
          <w:rFonts w:ascii="宋体" w:eastAsia="宋体" w:hAnsi="宋体" w:hint="eastAsia"/>
          <w:szCs w:val="21"/>
        </w:rPr>
        <w:t>NB/T 33008.1</w:t>
      </w:r>
      <w:r w:rsidRPr="00C000AD">
        <w:rPr>
          <w:rFonts w:ascii="宋体" w:hAnsi="宋体"/>
          <w:szCs w:val="21"/>
        </w:rPr>
        <w:t>-2018</w:t>
      </w:r>
      <w:r w:rsidRPr="00C000AD">
        <w:rPr>
          <w:rFonts w:ascii="宋体" w:eastAsia="宋体" w:hAnsi="宋体" w:hint="eastAsia"/>
          <w:szCs w:val="21"/>
        </w:rPr>
        <w:t xml:space="preserve"> 电动汽车充电设备检验试验规范 第1部分:非车载充电机 </w:t>
      </w:r>
    </w:p>
    <w:p w14:paraId="1C608562" w14:textId="77777777" w:rsidR="00C83500" w:rsidRPr="00C83500" w:rsidRDefault="00C83500" w:rsidP="00C83500">
      <w:pPr>
        <w:pStyle w:val="a3"/>
        <w:spacing w:line="300" w:lineRule="auto"/>
        <w:ind w:left="432" w:firstLineChars="0" w:firstLine="0"/>
        <w:jc w:val="left"/>
        <w:rPr>
          <w:rFonts w:ascii="宋体" w:hAnsi="宋体"/>
          <w:szCs w:val="21"/>
        </w:rPr>
      </w:pPr>
    </w:p>
    <w:p w14:paraId="67EBA44F" w14:textId="6602D70C" w:rsidR="00656C98" w:rsidRPr="00381A16" w:rsidRDefault="00381A16" w:rsidP="00381A1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AC6EBA" w:rsidRPr="00381A16">
        <w:rPr>
          <w:rFonts w:ascii="黑体" w:eastAsia="黑体" w:hAnsi="黑体" w:hint="eastAsia"/>
          <w:sz w:val="28"/>
          <w:szCs w:val="28"/>
        </w:rPr>
        <w:t>主要工作过程</w:t>
      </w:r>
    </w:p>
    <w:p w14:paraId="560B6129" w14:textId="551FA920" w:rsidR="00AC6EBA" w:rsidRPr="00221E61" w:rsidRDefault="00E86C58" w:rsidP="00221E61">
      <w:pPr>
        <w:pStyle w:val="a3"/>
        <w:spacing w:line="300" w:lineRule="auto"/>
        <w:rPr>
          <w:rFonts w:ascii="宋体" w:eastAsia="宋体" w:hAnsi="宋体"/>
          <w:szCs w:val="21"/>
        </w:rPr>
      </w:pPr>
      <w:r w:rsidRPr="00221E61">
        <w:rPr>
          <w:rFonts w:ascii="宋体" w:eastAsia="宋体" w:hAnsi="宋体" w:hint="eastAsia"/>
          <w:szCs w:val="21"/>
        </w:rPr>
        <w:t>202</w:t>
      </w:r>
      <w:r w:rsidR="004F558E">
        <w:rPr>
          <w:rFonts w:ascii="宋体" w:eastAsia="宋体" w:hAnsi="宋体"/>
          <w:szCs w:val="21"/>
        </w:rPr>
        <w:t>3</w:t>
      </w:r>
      <w:r w:rsidRPr="00221E61">
        <w:rPr>
          <w:rFonts w:ascii="宋体" w:eastAsia="宋体" w:hAnsi="宋体" w:hint="eastAsia"/>
          <w:szCs w:val="21"/>
        </w:rPr>
        <w:t>年</w:t>
      </w:r>
      <w:r w:rsidR="004F558E">
        <w:rPr>
          <w:rFonts w:ascii="宋体" w:eastAsia="宋体" w:hAnsi="宋体"/>
          <w:szCs w:val="21"/>
        </w:rPr>
        <w:t>3</w:t>
      </w:r>
      <w:r w:rsidRPr="00221E61">
        <w:rPr>
          <w:rFonts w:ascii="宋体" w:eastAsia="宋体" w:hAnsi="宋体" w:hint="eastAsia"/>
          <w:szCs w:val="21"/>
        </w:rPr>
        <w:t>月</w:t>
      </w:r>
      <w:r w:rsidR="007222A3" w:rsidRPr="00221E61">
        <w:rPr>
          <w:rFonts w:ascii="宋体" w:eastAsia="宋体" w:hAnsi="宋体" w:hint="eastAsia"/>
          <w:szCs w:val="21"/>
        </w:rPr>
        <w:t>，由</w:t>
      </w:r>
      <w:proofErr w:type="gramStart"/>
      <w:r w:rsidR="00AA5EA9" w:rsidRPr="00221E61">
        <w:rPr>
          <w:rFonts w:ascii="宋体" w:eastAsia="宋体" w:hAnsi="宋体" w:hint="eastAsia"/>
          <w:szCs w:val="21"/>
        </w:rPr>
        <w:t>北京创拓国际标准</w:t>
      </w:r>
      <w:proofErr w:type="gramEnd"/>
      <w:r w:rsidR="00AA5EA9" w:rsidRPr="00221E61">
        <w:rPr>
          <w:rFonts w:ascii="宋体" w:eastAsia="宋体" w:hAnsi="宋体" w:hint="eastAsia"/>
          <w:szCs w:val="21"/>
        </w:rPr>
        <w:t>技术研究院有限责任公司</w:t>
      </w:r>
      <w:r w:rsidR="00AA5EA9">
        <w:rPr>
          <w:rFonts w:ascii="宋体" w:eastAsia="宋体" w:hAnsi="宋体" w:hint="eastAsia"/>
          <w:szCs w:val="21"/>
        </w:rPr>
        <w:t>、</w:t>
      </w:r>
      <w:r w:rsidR="00107128" w:rsidRPr="00107128">
        <w:rPr>
          <w:rFonts w:ascii="宋体" w:eastAsia="宋体" w:hAnsi="宋体" w:hint="eastAsia"/>
          <w:szCs w:val="21"/>
        </w:rPr>
        <w:t>国联智慧能源交通技术创新中心(苏州)有限公司</w:t>
      </w:r>
      <w:r w:rsidR="007222A3" w:rsidRPr="00221E61">
        <w:rPr>
          <w:rFonts w:ascii="宋体" w:eastAsia="宋体" w:hAnsi="宋体" w:hint="eastAsia"/>
          <w:szCs w:val="21"/>
        </w:rPr>
        <w:t>、</w:t>
      </w:r>
      <w:r w:rsidR="00107128" w:rsidRPr="00107128">
        <w:rPr>
          <w:rFonts w:ascii="宋体" w:eastAsia="宋体" w:hAnsi="宋体" w:hint="eastAsia"/>
          <w:szCs w:val="21"/>
        </w:rPr>
        <w:t>南京国信能源有限公司、青岛海智电能源有限公司、重庆倍来电新能源有限公司</w:t>
      </w:r>
      <w:r w:rsidR="00FB4EB6" w:rsidRPr="00221E61">
        <w:rPr>
          <w:rFonts w:ascii="宋体" w:eastAsia="宋体" w:hAnsi="宋体" w:hint="eastAsia"/>
          <w:szCs w:val="21"/>
        </w:rPr>
        <w:t>等主要起草单位</w:t>
      </w:r>
      <w:r w:rsidR="006F5617" w:rsidRPr="00221E61">
        <w:rPr>
          <w:rFonts w:ascii="宋体" w:eastAsia="宋体" w:hAnsi="宋体" w:hint="eastAsia"/>
          <w:szCs w:val="21"/>
        </w:rPr>
        <w:t>组织</w:t>
      </w:r>
      <w:r w:rsidR="00E14115">
        <w:rPr>
          <w:rFonts w:ascii="宋体" w:eastAsia="宋体" w:hAnsi="宋体" w:hint="eastAsia"/>
          <w:szCs w:val="21"/>
        </w:rPr>
        <w:t>的编制启动</w:t>
      </w:r>
      <w:r w:rsidR="006F5617" w:rsidRPr="00221E61">
        <w:rPr>
          <w:rFonts w:ascii="宋体" w:eastAsia="宋体" w:hAnsi="宋体" w:hint="eastAsia"/>
          <w:szCs w:val="21"/>
        </w:rPr>
        <w:t>会，初步形成</w:t>
      </w:r>
      <w:r w:rsidR="00107128" w:rsidRPr="00107128">
        <w:rPr>
          <w:rFonts w:ascii="宋体" w:eastAsia="宋体" w:hAnsi="宋体" w:hint="eastAsia"/>
          <w:szCs w:val="21"/>
        </w:rPr>
        <w:t>10kV预装式电动汽车充电站</w:t>
      </w:r>
      <w:r w:rsidR="00107128" w:rsidRPr="00027626">
        <w:rPr>
          <w:rFonts w:hint="eastAsia"/>
          <w:szCs w:val="21"/>
        </w:rPr>
        <w:t>技术规范</w:t>
      </w:r>
      <w:r w:rsidR="006F5617" w:rsidRPr="00221E61">
        <w:rPr>
          <w:rFonts w:ascii="宋体" w:eastAsia="宋体" w:hAnsi="宋体" w:hint="eastAsia"/>
          <w:szCs w:val="21"/>
        </w:rPr>
        <w:t>构思。</w:t>
      </w:r>
    </w:p>
    <w:p w14:paraId="0D9B4268" w14:textId="750AFEF4" w:rsidR="000609EA" w:rsidRPr="00221E61" w:rsidRDefault="00E86C58" w:rsidP="00221E61">
      <w:pPr>
        <w:pStyle w:val="a3"/>
        <w:spacing w:line="300" w:lineRule="auto"/>
        <w:rPr>
          <w:rFonts w:ascii="宋体" w:eastAsia="宋体" w:hAnsi="宋体"/>
          <w:szCs w:val="21"/>
        </w:rPr>
      </w:pPr>
      <w:r w:rsidRPr="00221E61">
        <w:rPr>
          <w:rFonts w:ascii="宋体" w:eastAsia="宋体" w:hAnsi="宋体" w:hint="eastAsia"/>
          <w:szCs w:val="21"/>
        </w:rPr>
        <w:t>202</w:t>
      </w:r>
      <w:r w:rsidR="00882E24">
        <w:rPr>
          <w:rFonts w:ascii="宋体" w:eastAsia="宋体" w:hAnsi="宋体"/>
          <w:szCs w:val="21"/>
        </w:rPr>
        <w:t>3</w:t>
      </w:r>
      <w:r w:rsidRPr="00221E61">
        <w:rPr>
          <w:rFonts w:ascii="宋体" w:eastAsia="宋体" w:hAnsi="宋体" w:hint="eastAsia"/>
          <w:szCs w:val="21"/>
        </w:rPr>
        <w:t>年</w:t>
      </w:r>
      <w:r w:rsidR="005534E2">
        <w:rPr>
          <w:rFonts w:ascii="宋体" w:eastAsia="宋体" w:hAnsi="宋体"/>
          <w:szCs w:val="21"/>
        </w:rPr>
        <w:t>6</w:t>
      </w:r>
      <w:r w:rsidRPr="00221E61">
        <w:rPr>
          <w:rFonts w:ascii="宋体" w:eastAsia="宋体" w:hAnsi="宋体" w:hint="eastAsia"/>
          <w:szCs w:val="21"/>
        </w:rPr>
        <w:t>月</w:t>
      </w:r>
      <w:r w:rsidR="000609EA" w:rsidRPr="00221E61">
        <w:rPr>
          <w:rFonts w:ascii="宋体" w:eastAsia="宋体" w:hAnsi="宋体" w:hint="eastAsia"/>
          <w:szCs w:val="21"/>
        </w:rPr>
        <w:t>，</w:t>
      </w:r>
      <w:r w:rsidR="00107128" w:rsidRPr="00107128">
        <w:rPr>
          <w:rFonts w:ascii="宋体" w:eastAsia="宋体" w:hAnsi="宋体" w:hint="eastAsia"/>
          <w:szCs w:val="21"/>
        </w:rPr>
        <w:t>由</w:t>
      </w:r>
      <w:proofErr w:type="gramStart"/>
      <w:r w:rsidR="00107128" w:rsidRPr="00107128">
        <w:rPr>
          <w:rFonts w:ascii="宋体" w:eastAsia="宋体" w:hAnsi="宋体" w:hint="eastAsia"/>
          <w:szCs w:val="21"/>
        </w:rPr>
        <w:t>北京创拓国际标准</w:t>
      </w:r>
      <w:proofErr w:type="gramEnd"/>
      <w:r w:rsidR="00107128" w:rsidRPr="00107128">
        <w:rPr>
          <w:rFonts w:ascii="宋体" w:eastAsia="宋体" w:hAnsi="宋体" w:hint="eastAsia"/>
          <w:szCs w:val="21"/>
        </w:rPr>
        <w:t>技术研究院有限责任公司</w:t>
      </w:r>
      <w:r w:rsidR="000609EA" w:rsidRPr="00221E61">
        <w:rPr>
          <w:rFonts w:ascii="宋体" w:eastAsia="宋体" w:hAnsi="宋体" w:hint="eastAsia"/>
          <w:szCs w:val="21"/>
        </w:rPr>
        <w:t>在标准草稿基础上对标准涵盖的范围、标准框架、术语的使用、</w:t>
      </w:r>
      <w:r w:rsidR="005534E2">
        <w:rPr>
          <w:rFonts w:ascii="宋体" w:eastAsia="宋体" w:hAnsi="宋体" w:hint="eastAsia"/>
          <w:szCs w:val="21"/>
        </w:rPr>
        <w:t>总则</w:t>
      </w:r>
      <w:r w:rsidR="00C13A54" w:rsidRPr="00221E61">
        <w:rPr>
          <w:rFonts w:ascii="宋体" w:eastAsia="宋体" w:hAnsi="宋体" w:hint="eastAsia"/>
          <w:szCs w:val="21"/>
        </w:rPr>
        <w:t>、</w:t>
      </w:r>
      <w:r w:rsidR="005534E2">
        <w:rPr>
          <w:rFonts w:ascii="宋体" w:eastAsia="宋体" w:hAnsi="宋体" w:hint="eastAsia"/>
          <w:szCs w:val="21"/>
        </w:rPr>
        <w:t>评价指标</w:t>
      </w:r>
      <w:r w:rsidR="000609EA" w:rsidRPr="00221E61">
        <w:rPr>
          <w:rFonts w:ascii="宋体" w:eastAsia="宋体" w:hAnsi="宋体" w:hint="eastAsia"/>
          <w:szCs w:val="21"/>
        </w:rPr>
        <w:t>等进行了讨论和修改，形成了标准初稿。</w:t>
      </w:r>
    </w:p>
    <w:p w14:paraId="338F0FC1" w14:textId="6AFBB7E2" w:rsidR="000609EA" w:rsidRPr="00202C0C" w:rsidRDefault="00B64F2B" w:rsidP="00221E61">
      <w:pPr>
        <w:pStyle w:val="a3"/>
        <w:spacing w:line="300" w:lineRule="auto"/>
        <w:rPr>
          <w:rFonts w:ascii="宋体" w:eastAsia="宋体" w:hAnsi="宋体"/>
          <w:szCs w:val="21"/>
        </w:rPr>
      </w:pPr>
      <w:r w:rsidRPr="00202C0C">
        <w:rPr>
          <w:rFonts w:ascii="宋体" w:eastAsia="宋体" w:hAnsi="宋体" w:hint="eastAsia"/>
          <w:szCs w:val="21"/>
        </w:rPr>
        <w:t>202</w:t>
      </w:r>
      <w:r w:rsidR="00882E24" w:rsidRPr="00202C0C">
        <w:rPr>
          <w:rFonts w:ascii="宋体" w:eastAsia="宋体" w:hAnsi="宋体"/>
          <w:szCs w:val="21"/>
        </w:rPr>
        <w:t>3</w:t>
      </w:r>
      <w:r w:rsidRPr="00202C0C">
        <w:rPr>
          <w:rFonts w:ascii="宋体" w:eastAsia="宋体" w:hAnsi="宋体" w:hint="eastAsia"/>
          <w:szCs w:val="21"/>
        </w:rPr>
        <w:t>年</w:t>
      </w:r>
      <w:r w:rsidR="00735836" w:rsidRPr="00202C0C">
        <w:rPr>
          <w:rFonts w:ascii="宋体" w:eastAsia="宋体" w:hAnsi="宋体" w:hint="eastAsia"/>
          <w:szCs w:val="21"/>
        </w:rPr>
        <w:t>11</w:t>
      </w:r>
      <w:r w:rsidRPr="00202C0C">
        <w:rPr>
          <w:rFonts w:ascii="宋体" w:eastAsia="宋体" w:hAnsi="宋体" w:hint="eastAsia"/>
          <w:szCs w:val="21"/>
        </w:rPr>
        <w:t>月</w:t>
      </w:r>
      <w:r w:rsidR="00202C0C" w:rsidRPr="00202C0C">
        <w:rPr>
          <w:rFonts w:ascii="宋体" w:eastAsia="宋体" w:hAnsi="宋体"/>
          <w:szCs w:val="21"/>
        </w:rPr>
        <w:t>10</w:t>
      </w:r>
      <w:r w:rsidR="003259D4" w:rsidRPr="00202C0C">
        <w:rPr>
          <w:rFonts w:ascii="宋体" w:eastAsia="宋体" w:hAnsi="宋体" w:hint="eastAsia"/>
          <w:szCs w:val="21"/>
        </w:rPr>
        <w:t>日</w:t>
      </w:r>
      <w:r w:rsidR="00735836" w:rsidRPr="00202C0C">
        <w:rPr>
          <w:rFonts w:ascii="宋体" w:eastAsia="宋体" w:hAnsi="宋体" w:hint="eastAsia"/>
          <w:szCs w:val="21"/>
        </w:rPr>
        <w:t>，</w:t>
      </w:r>
      <w:r w:rsidR="000609EA" w:rsidRPr="00202C0C">
        <w:rPr>
          <w:rFonts w:ascii="宋体" w:eastAsia="宋体" w:hAnsi="宋体" w:hint="eastAsia"/>
          <w:szCs w:val="21"/>
        </w:rPr>
        <w:t>经过编制小组和相关专家的反复论证和修改，向</w:t>
      </w:r>
      <w:r w:rsidR="00735836" w:rsidRPr="00202C0C">
        <w:rPr>
          <w:rFonts w:ascii="宋体" w:eastAsia="宋体" w:hAnsi="宋体" w:hint="eastAsia"/>
          <w:szCs w:val="21"/>
        </w:rPr>
        <w:t>中国电机工程学会</w:t>
      </w:r>
      <w:r w:rsidR="000609EA" w:rsidRPr="00202C0C">
        <w:rPr>
          <w:rFonts w:ascii="宋体" w:eastAsia="宋体" w:hAnsi="宋体" w:hint="eastAsia"/>
          <w:szCs w:val="21"/>
        </w:rPr>
        <w:t>提交了标准送审稿。</w:t>
      </w:r>
    </w:p>
    <w:p w14:paraId="125C2852" w14:textId="540123F3" w:rsidR="00E86C58" w:rsidRDefault="00735836" w:rsidP="00221E61">
      <w:pPr>
        <w:pStyle w:val="a3"/>
        <w:spacing w:line="300" w:lineRule="auto"/>
        <w:rPr>
          <w:rFonts w:ascii="宋体" w:eastAsia="宋体" w:hAnsi="宋体"/>
          <w:szCs w:val="21"/>
        </w:rPr>
      </w:pPr>
      <w:r w:rsidRPr="00F51846">
        <w:rPr>
          <w:rFonts w:ascii="宋体" w:eastAsia="宋体" w:hAnsi="宋体" w:hint="eastAsia"/>
          <w:szCs w:val="21"/>
          <w:highlight w:val="red"/>
        </w:rPr>
        <w:t>202</w:t>
      </w:r>
      <w:r w:rsidR="00882E24" w:rsidRPr="00F51846">
        <w:rPr>
          <w:rFonts w:ascii="宋体" w:eastAsia="宋体" w:hAnsi="宋体"/>
          <w:szCs w:val="21"/>
          <w:highlight w:val="red"/>
        </w:rPr>
        <w:t>3</w:t>
      </w:r>
      <w:r w:rsidRPr="00F51846">
        <w:rPr>
          <w:rFonts w:ascii="宋体" w:eastAsia="宋体" w:hAnsi="宋体" w:hint="eastAsia"/>
          <w:szCs w:val="21"/>
          <w:highlight w:val="red"/>
        </w:rPr>
        <w:t>年12</w:t>
      </w:r>
      <w:r w:rsidR="000609EA" w:rsidRPr="00F51846">
        <w:rPr>
          <w:rFonts w:ascii="宋体" w:eastAsia="宋体" w:hAnsi="宋体" w:hint="eastAsia"/>
          <w:szCs w:val="21"/>
          <w:highlight w:val="red"/>
        </w:rPr>
        <w:t>月</w:t>
      </w:r>
      <w:r w:rsidR="00882E24" w:rsidRPr="00F51846">
        <w:rPr>
          <w:rFonts w:ascii="宋体" w:eastAsia="宋体" w:hAnsi="宋体" w:hint="eastAsia"/>
          <w:szCs w:val="21"/>
          <w:highlight w:val="red"/>
        </w:rPr>
        <w:t>XX</w:t>
      </w:r>
      <w:r w:rsidR="000609EA" w:rsidRPr="00F51846">
        <w:rPr>
          <w:rFonts w:ascii="宋体" w:eastAsia="宋体" w:hAnsi="宋体" w:hint="eastAsia"/>
          <w:szCs w:val="21"/>
          <w:highlight w:val="red"/>
        </w:rPr>
        <w:t>日</w:t>
      </w:r>
      <w:r w:rsidR="000609EA" w:rsidRPr="004D2B76">
        <w:rPr>
          <w:rFonts w:ascii="宋体" w:eastAsia="宋体" w:hAnsi="宋体" w:hint="eastAsia"/>
          <w:szCs w:val="21"/>
          <w:highlight w:val="yellow"/>
        </w:rPr>
        <w:t>，</w:t>
      </w:r>
      <w:r w:rsidR="00FB4EB6" w:rsidRPr="004D2B76">
        <w:rPr>
          <w:rFonts w:ascii="宋体" w:eastAsia="宋体" w:hAnsi="宋体" w:hint="eastAsia"/>
          <w:szCs w:val="21"/>
          <w:highlight w:val="yellow"/>
        </w:rPr>
        <w:t>中国电机工程学会标准</w:t>
      </w:r>
      <w:r w:rsidR="00A9764E" w:rsidRPr="004D2B76">
        <w:rPr>
          <w:rFonts w:ascii="宋体" w:eastAsia="宋体" w:hAnsi="宋体" w:hint="eastAsia"/>
          <w:szCs w:val="21"/>
          <w:highlight w:val="yellow"/>
        </w:rPr>
        <w:t>组织</w:t>
      </w:r>
      <w:r w:rsidR="000609EA" w:rsidRPr="004D2B76">
        <w:rPr>
          <w:rFonts w:ascii="宋体" w:eastAsia="宋体" w:hAnsi="宋体" w:hint="eastAsia"/>
          <w:szCs w:val="21"/>
          <w:highlight w:val="yellow"/>
        </w:rPr>
        <w:t>相关专家对标准送审稿进行审查，与会专家对标准部分内容提出了修改意见。专家组认为该标准符合标准编制要求，同意根据专家意见修改后形成</w:t>
      </w:r>
      <w:r w:rsidR="000609EA" w:rsidRPr="004D2B76">
        <w:rPr>
          <w:rFonts w:ascii="宋体" w:eastAsia="宋体" w:hAnsi="宋体" w:hint="eastAsia"/>
          <w:szCs w:val="21"/>
          <w:highlight w:val="yellow"/>
        </w:rPr>
        <w:lastRenderedPageBreak/>
        <w:t>报批稿，</w:t>
      </w:r>
      <w:r w:rsidR="00A9764E" w:rsidRPr="004D2B76">
        <w:rPr>
          <w:rFonts w:ascii="宋体" w:eastAsia="宋体" w:hAnsi="宋体" w:hint="eastAsia"/>
          <w:szCs w:val="21"/>
          <w:highlight w:val="yellow"/>
        </w:rPr>
        <w:t>上报中国电机工程学会</w:t>
      </w:r>
      <w:r w:rsidR="000609EA" w:rsidRPr="004D2B76">
        <w:rPr>
          <w:rFonts w:ascii="宋体" w:eastAsia="宋体" w:hAnsi="宋体" w:hint="eastAsia"/>
          <w:szCs w:val="21"/>
          <w:highlight w:val="yellow"/>
        </w:rPr>
        <w:t>报批。</w:t>
      </w:r>
    </w:p>
    <w:p w14:paraId="67B4F075" w14:textId="77777777" w:rsidR="00CD40E4" w:rsidRPr="00221E61" w:rsidRDefault="00CD40E4" w:rsidP="00221E61">
      <w:pPr>
        <w:pStyle w:val="a3"/>
        <w:spacing w:line="300" w:lineRule="auto"/>
        <w:rPr>
          <w:rFonts w:ascii="宋体" w:eastAsia="宋体" w:hAnsi="宋体"/>
          <w:szCs w:val="21"/>
        </w:rPr>
      </w:pPr>
    </w:p>
    <w:p w14:paraId="74839705" w14:textId="6E05A984" w:rsidR="00AC6EBA" w:rsidRPr="00F64ABB" w:rsidRDefault="00F64ABB" w:rsidP="00F64ABB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F64ABB">
        <w:rPr>
          <w:rFonts w:ascii="黑体" w:eastAsia="黑体" w:hAnsi="黑体" w:hint="eastAsia"/>
          <w:sz w:val="28"/>
          <w:szCs w:val="28"/>
        </w:rPr>
        <w:t>、</w:t>
      </w:r>
      <w:r w:rsidR="00AC6EBA" w:rsidRPr="00F64ABB">
        <w:rPr>
          <w:rFonts w:ascii="黑体" w:eastAsia="黑体" w:hAnsi="黑体" w:hint="eastAsia"/>
          <w:sz w:val="28"/>
          <w:szCs w:val="28"/>
        </w:rPr>
        <w:t>标准结构和内容</w:t>
      </w:r>
    </w:p>
    <w:p w14:paraId="1616C1C0" w14:textId="77777777" w:rsidR="00CD7050" w:rsidRDefault="009166DB" w:rsidP="00CD7050">
      <w:pPr>
        <w:pStyle w:val="a3"/>
        <w:spacing w:line="300" w:lineRule="auto"/>
        <w:rPr>
          <w:rFonts w:ascii="宋体" w:eastAsia="宋体" w:hAnsi="宋体" w:cs="宋体"/>
          <w:kern w:val="0"/>
          <w:szCs w:val="21"/>
        </w:rPr>
      </w:pPr>
      <w:r w:rsidRPr="00012D2B">
        <w:rPr>
          <w:rFonts w:ascii="宋体" w:eastAsia="宋体" w:hAnsi="宋体" w:cs="宋体" w:hint="eastAsia"/>
          <w:kern w:val="0"/>
          <w:szCs w:val="21"/>
        </w:rPr>
        <w:t>本标准根据GB/T 1.1—2020《标准化工作导则  第1部分：标准化文件的结构和起草规则》的规定</w:t>
      </w:r>
      <w:r w:rsidR="001D4354" w:rsidRPr="00012D2B">
        <w:rPr>
          <w:rFonts w:ascii="宋体" w:eastAsia="宋体" w:hAnsi="宋体" w:cs="宋体" w:hint="eastAsia"/>
          <w:kern w:val="0"/>
          <w:szCs w:val="21"/>
        </w:rPr>
        <w:t>。标准的主要结构和内容如下：</w:t>
      </w:r>
    </w:p>
    <w:p w14:paraId="719115ED" w14:textId="39E965D8" w:rsidR="00BE6273" w:rsidRDefault="00CD7050" w:rsidP="00CD7050">
      <w:pPr>
        <w:pStyle w:val="a3"/>
        <w:spacing w:line="300" w:lineRule="auto"/>
        <w:rPr>
          <w:rFonts w:ascii="宋体" w:eastAsia="宋体" w:hAnsi="宋体" w:cs="宋体"/>
          <w:kern w:val="0"/>
          <w:szCs w:val="21"/>
        </w:rPr>
      </w:pPr>
      <w:r w:rsidRPr="00CD7050">
        <w:rPr>
          <w:rFonts w:ascii="宋体" w:eastAsia="宋体" w:hAnsi="宋体" w:cs="宋体" w:hint="eastAsia"/>
          <w:kern w:val="0"/>
          <w:szCs w:val="21"/>
        </w:rPr>
        <w:t>1</w:t>
      </w:r>
      <w:bookmarkStart w:id="19" w:name="_Hlk157634780"/>
      <w:r w:rsidRPr="00CD7050">
        <w:rPr>
          <w:rFonts w:ascii="宋体" w:eastAsia="宋体" w:hAnsi="宋体" w:cs="宋体" w:hint="eastAsia"/>
          <w:kern w:val="0"/>
          <w:szCs w:val="21"/>
        </w:rPr>
        <w:t>范围</w:t>
      </w:r>
      <w:bookmarkEnd w:id="19"/>
      <w:r w:rsidR="00012D2B" w:rsidRPr="00CD7050">
        <w:rPr>
          <w:rFonts w:ascii="宋体" w:eastAsia="宋体" w:hAnsi="宋体" w:cs="宋体" w:hint="eastAsia"/>
          <w:kern w:val="0"/>
          <w:szCs w:val="21"/>
        </w:rPr>
        <w:t>、</w:t>
      </w:r>
      <w:r w:rsidRPr="00CD7050">
        <w:rPr>
          <w:rFonts w:ascii="宋体" w:eastAsia="宋体" w:hAnsi="宋体" w:cs="宋体" w:hint="eastAsia"/>
          <w:kern w:val="0"/>
          <w:szCs w:val="21"/>
        </w:rPr>
        <w:t>2 规范性引用文件、3 术语和定义、4 技术原理、5 功能要求、6 技术要求、7试验方法、8标志、包装、运输</w:t>
      </w:r>
    </w:p>
    <w:p w14:paraId="0A630679" w14:textId="77777777" w:rsidR="00CD40E4" w:rsidRPr="00CD7050" w:rsidRDefault="00CD40E4" w:rsidP="00CD7050">
      <w:pPr>
        <w:pStyle w:val="a3"/>
        <w:spacing w:line="300" w:lineRule="auto"/>
        <w:rPr>
          <w:rFonts w:ascii="宋体" w:eastAsia="宋体" w:hAnsi="宋体" w:cs="宋体"/>
          <w:kern w:val="0"/>
          <w:szCs w:val="21"/>
        </w:rPr>
      </w:pPr>
    </w:p>
    <w:p w14:paraId="6603236D" w14:textId="0A53EADF" w:rsidR="00AC6EBA" w:rsidRPr="00F64ABB" w:rsidRDefault="00F64ABB" w:rsidP="00F64ABB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F64ABB">
        <w:rPr>
          <w:rFonts w:ascii="黑体" w:eastAsia="黑体" w:hAnsi="黑体" w:hint="eastAsia"/>
          <w:sz w:val="28"/>
          <w:szCs w:val="28"/>
        </w:rPr>
        <w:t>、</w:t>
      </w:r>
      <w:r w:rsidR="006B078D" w:rsidRPr="00F64ABB">
        <w:rPr>
          <w:rFonts w:ascii="黑体" w:eastAsia="黑体" w:hAnsi="黑体" w:hint="eastAsia"/>
          <w:sz w:val="28"/>
          <w:szCs w:val="28"/>
        </w:rPr>
        <w:t>重点</w:t>
      </w:r>
      <w:r w:rsidR="00AC6EBA" w:rsidRPr="00F64ABB">
        <w:rPr>
          <w:rFonts w:ascii="黑体" w:eastAsia="黑体" w:hAnsi="黑体" w:hint="eastAsia"/>
          <w:sz w:val="28"/>
          <w:szCs w:val="28"/>
        </w:rPr>
        <w:t>条文说明</w:t>
      </w:r>
    </w:p>
    <w:p w14:paraId="4AD769C1" w14:textId="45010062" w:rsidR="007B3E89" w:rsidRDefault="00CD7050" w:rsidP="007B3E89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范围</w:t>
      </w:r>
    </w:p>
    <w:p w14:paraId="07282E81" w14:textId="14E0F186" w:rsidR="00CD7050" w:rsidRPr="007B3E89" w:rsidRDefault="007B3E89" w:rsidP="007B3E89">
      <w:pPr>
        <w:pStyle w:val="a6"/>
        <w:spacing w:before="0" w:beforeAutospacing="0" w:after="0" w:afterAutospacing="0" w:line="300" w:lineRule="auto"/>
        <w:ind w:firstLineChars="200" w:firstLine="440"/>
        <w:rPr>
          <w:bCs/>
          <w:sz w:val="22"/>
          <w:szCs w:val="21"/>
        </w:rPr>
      </w:pPr>
      <w:r w:rsidRPr="007B3E89">
        <w:rPr>
          <w:rFonts w:hint="eastAsia"/>
          <w:bCs/>
          <w:sz w:val="22"/>
          <w:szCs w:val="21"/>
        </w:rPr>
        <w:t>规范规定了10kV预装式电动汽车充电站的术语和定义、应用环境、技术要求、试验方法及要求</w:t>
      </w:r>
      <w:r>
        <w:rPr>
          <w:rFonts w:hint="eastAsia"/>
          <w:bCs/>
          <w:sz w:val="22"/>
          <w:szCs w:val="21"/>
        </w:rPr>
        <w:t>；</w:t>
      </w:r>
      <w:r w:rsidRPr="007B3E89">
        <w:rPr>
          <w:rFonts w:hint="eastAsia"/>
          <w:bCs/>
          <w:sz w:val="22"/>
          <w:szCs w:val="21"/>
        </w:rPr>
        <w:t>适用</w:t>
      </w:r>
      <w:r>
        <w:rPr>
          <w:rFonts w:hint="eastAsia"/>
          <w:bCs/>
          <w:sz w:val="22"/>
          <w:szCs w:val="21"/>
        </w:rPr>
        <w:t>于</w:t>
      </w:r>
      <w:r w:rsidRPr="007B3E89">
        <w:rPr>
          <w:rFonts w:hint="eastAsia"/>
          <w:bCs/>
          <w:sz w:val="22"/>
          <w:szCs w:val="21"/>
        </w:rPr>
        <w:t>10kV预装式电动汽车充电站的建设</w:t>
      </w:r>
      <w:r>
        <w:rPr>
          <w:rFonts w:hint="eastAsia"/>
          <w:bCs/>
          <w:sz w:val="22"/>
          <w:szCs w:val="21"/>
        </w:rPr>
        <w:t>。</w:t>
      </w:r>
    </w:p>
    <w:p w14:paraId="2A4C58C5" w14:textId="77777777" w:rsidR="007B3E89" w:rsidRDefault="00CD7050" w:rsidP="007B3E89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术语和定义</w:t>
      </w:r>
    </w:p>
    <w:p w14:paraId="49676984" w14:textId="5155D160" w:rsidR="007B3E89" w:rsidRPr="007B3E89" w:rsidRDefault="007B3E89" w:rsidP="00273ADA">
      <w:pPr>
        <w:pStyle w:val="a6"/>
        <w:spacing w:before="0" w:beforeAutospacing="0" w:after="0" w:afterAutospacing="0" w:line="300" w:lineRule="auto"/>
        <w:ind w:firstLineChars="200" w:firstLine="440"/>
        <w:rPr>
          <w:bCs/>
          <w:sz w:val="22"/>
          <w:szCs w:val="21"/>
        </w:rPr>
      </w:pPr>
      <w:r w:rsidRPr="007B3E89">
        <w:rPr>
          <w:rFonts w:hint="eastAsia"/>
          <w:bCs/>
          <w:sz w:val="22"/>
          <w:szCs w:val="21"/>
        </w:rPr>
        <w:t>定义了10kV预装式电动汽车充电站、10kV充电机</w:t>
      </w:r>
      <w:r>
        <w:rPr>
          <w:rFonts w:hint="eastAsia"/>
          <w:bCs/>
          <w:sz w:val="22"/>
          <w:szCs w:val="21"/>
        </w:rPr>
        <w:t>、</w:t>
      </w:r>
      <w:r w:rsidRPr="007B3E89">
        <w:rPr>
          <w:rFonts w:hint="eastAsia"/>
          <w:bCs/>
          <w:sz w:val="22"/>
          <w:szCs w:val="21"/>
        </w:rPr>
        <w:t>变电单元</w:t>
      </w:r>
      <w:r>
        <w:rPr>
          <w:rFonts w:hint="eastAsia"/>
          <w:bCs/>
          <w:sz w:val="22"/>
          <w:szCs w:val="21"/>
        </w:rPr>
        <w:t>、</w:t>
      </w:r>
      <w:r w:rsidRPr="007B3E89">
        <w:rPr>
          <w:rFonts w:hint="eastAsia"/>
          <w:bCs/>
          <w:sz w:val="22"/>
          <w:szCs w:val="21"/>
        </w:rPr>
        <w:t>变流单元</w:t>
      </w:r>
      <w:r>
        <w:rPr>
          <w:rFonts w:hint="eastAsia"/>
          <w:bCs/>
          <w:sz w:val="22"/>
          <w:szCs w:val="21"/>
        </w:rPr>
        <w:t>、</w:t>
      </w:r>
      <w:r w:rsidRPr="007B3E89">
        <w:rPr>
          <w:rFonts w:hint="eastAsia"/>
          <w:bCs/>
          <w:sz w:val="22"/>
          <w:szCs w:val="21"/>
        </w:rPr>
        <w:t>功率分配/保护单元</w:t>
      </w:r>
      <w:r>
        <w:rPr>
          <w:rFonts w:hint="eastAsia"/>
          <w:bCs/>
          <w:sz w:val="22"/>
          <w:szCs w:val="21"/>
        </w:rPr>
        <w:t>和</w:t>
      </w:r>
      <w:r w:rsidRPr="007B3E89">
        <w:rPr>
          <w:rFonts w:hint="eastAsia"/>
          <w:bCs/>
          <w:sz w:val="22"/>
          <w:szCs w:val="21"/>
        </w:rPr>
        <w:t>充电终端</w:t>
      </w:r>
      <w:r>
        <w:rPr>
          <w:rFonts w:hint="eastAsia"/>
          <w:bCs/>
          <w:sz w:val="22"/>
          <w:szCs w:val="21"/>
        </w:rPr>
        <w:t>等设备和部件的名称和定义。</w:t>
      </w:r>
    </w:p>
    <w:p w14:paraId="47ECB5A8" w14:textId="43504D73" w:rsidR="00CD7050" w:rsidRDefault="00CD7050" w:rsidP="00143940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技术原理</w:t>
      </w:r>
    </w:p>
    <w:p w14:paraId="36CF21CC" w14:textId="4953C38E" w:rsidR="00143940" w:rsidRPr="00143940" w:rsidRDefault="00D926DC" w:rsidP="00D926DC">
      <w:pPr>
        <w:pStyle w:val="a6"/>
        <w:spacing w:before="0" w:beforeAutospacing="0" w:after="0" w:afterAutospacing="0" w:line="300" w:lineRule="auto"/>
        <w:ind w:firstLineChars="200" w:firstLine="440"/>
        <w:rPr>
          <w:bCs/>
          <w:sz w:val="22"/>
          <w:szCs w:val="21"/>
        </w:rPr>
      </w:pPr>
      <w:r>
        <w:rPr>
          <w:rFonts w:hint="eastAsia"/>
          <w:bCs/>
          <w:sz w:val="22"/>
          <w:szCs w:val="21"/>
        </w:rPr>
        <w:t>提出</w:t>
      </w:r>
      <w:r w:rsidR="00143940" w:rsidRPr="00143940">
        <w:rPr>
          <w:rFonts w:hint="eastAsia"/>
          <w:bCs/>
          <w:sz w:val="22"/>
          <w:szCs w:val="21"/>
        </w:rPr>
        <w:t>10kV预装式电动汽车充电站</w:t>
      </w:r>
      <w:r>
        <w:rPr>
          <w:rFonts w:hint="eastAsia"/>
          <w:bCs/>
          <w:sz w:val="22"/>
          <w:szCs w:val="21"/>
        </w:rPr>
        <w:t>的原理</w:t>
      </w:r>
      <w:r w:rsidR="00143940" w:rsidRPr="00143940">
        <w:rPr>
          <w:rFonts w:hint="eastAsia"/>
          <w:bCs/>
          <w:sz w:val="22"/>
          <w:szCs w:val="21"/>
        </w:rPr>
        <w:t>框图</w:t>
      </w:r>
      <w:r>
        <w:rPr>
          <w:rFonts w:hint="eastAsia"/>
          <w:bCs/>
          <w:sz w:val="22"/>
          <w:szCs w:val="21"/>
        </w:rPr>
        <w:t>和</w:t>
      </w:r>
      <w:r w:rsidR="00143940" w:rsidRPr="00143940">
        <w:rPr>
          <w:rFonts w:hint="eastAsia"/>
          <w:bCs/>
          <w:sz w:val="22"/>
          <w:szCs w:val="21"/>
        </w:rPr>
        <w:t>10kV充电机</w:t>
      </w:r>
      <w:r>
        <w:rPr>
          <w:rFonts w:hint="eastAsia"/>
          <w:bCs/>
          <w:sz w:val="22"/>
          <w:szCs w:val="21"/>
        </w:rPr>
        <w:t>的原理</w:t>
      </w:r>
      <w:r w:rsidR="00143940" w:rsidRPr="00143940">
        <w:rPr>
          <w:rFonts w:hint="eastAsia"/>
          <w:bCs/>
          <w:sz w:val="22"/>
          <w:szCs w:val="21"/>
        </w:rPr>
        <w:t>框图</w:t>
      </w:r>
      <w:r w:rsidR="003C2F91">
        <w:rPr>
          <w:rFonts w:hint="eastAsia"/>
          <w:bCs/>
          <w:sz w:val="22"/>
          <w:szCs w:val="21"/>
        </w:rPr>
        <w:t>，</w:t>
      </w:r>
      <w:r w:rsidR="003C2F91" w:rsidRPr="003C2F91">
        <w:rPr>
          <w:rFonts w:hint="eastAsia"/>
          <w:bCs/>
          <w:sz w:val="22"/>
          <w:szCs w:val="21"/>
        </w:rPr>
        <w:t>变电单元</w:t>
      </w:r>
      <w:r w:rsidR="003C2F91">
        <w:rPr>
          <w:rFonts w:hint="eastAsia"/>
          <w:bCs/>
          <w:sz w:val="22"/>
          <w:szCs w:val="21"/>
        </w:rPr>
        <w:t>、</w:t>
      </w:r>
      <w:r w:rsidR="003C2F91" w:rsidRPr="003C2F91">
        <w:rPr>
          <w:rFonts w:hint="eastAsia"/>
          <w:bCs/>
          <w:sz w:val="22"/>
          <w:szCs w:val="21"/>
        </w:rPr>
        <w:t>变流单元</w:t>
      </w:r>
      <w:r w:rsidR="003C2F91">
        <w:rPr>
          <w:rFonts w:hint="eastAsia"/>
          <w:bCs/>
          <w:sz w:val="22"/>
          <w:szCs w:val="21"/>
        </w:rPr>
        <w:t>、</w:t>
      </w:r>
      <w:r w:rsidR="003C2F91" w:rsidRPr="003C2F91">
        <w:rPr>
          <w:rFonts w:hint="eastAsia"/>
          <w:bCs/>
          <w:sz w:val="22"/>
          <w:szCs w:val="21"/>
        </w:rPr>
        <w:t>功率分配/保护单元</w:t>
      </w:r>
      <w:r w:rsidR="003C2F91">
        <w:rPr>
          <w:rFonts w:hint="eastAsia"/>
          <w:bCs/>
          <w:sz w:val="22"/>
          <w:szCs w:val="21"/>
        </w:rPr>
        <w:t>和</w:t>
      </w:r>
      <w:r w:rsidR="003C2F91" w:rsidRPr="003C2F91">
        <w:rPr>
          <w:rFonts w:hint="eastAsia"/>
          <w:bCs/>
          <w:sz w:val="22"/>
          <w:szCs w:val="21"/>
        </w:rPr>
        <w:t>充电终端</w:t>
      </w:r>
      <w:r w:rsidR="003C2F91">
        <w:rPr>
          <w:rFonts w:hint="eastAsia"/>
          <w:bCs/>
          <w:sz w:val="22"/>
          <w:szCs w:val="21"/>
        </w:rPr>
        <w:t>功能描述</w:t>
      </w:r>
      <w:r>
        <w:rPr>
          <w:rFonts w:hint="eastAsia"/>
          <w:bCs/>
          <w:sz w:val="22"/>
          <w:szCs w:val="21"/>
        </w:rPr>
        <w:t>。</w:t>
      </w:r>
    </w:p>
    <w:p w14:paraId="097F50CC" w14:textId="77777777" w:rsidR="003C2F91" w:rsidRDefault="00CD7050" w:rsidP="003C2F91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功能要求</w:t>
      </w:r>
    </w:p>
    <w:p w14:paraId="6EFBD591" w14:textId="17F3BA0F" w:rsidR="003C2F91" w:rsidRPr="003C2F91" w:rsidRDefault="003C2F91" w:rsidP="003C2F91">
      <w:pPr>
        <w:pStyle w:val="a6"/>
        <w:spacing w:before="0" w:beforeAutospacing="0" w:after="0" w:afterAutospacing="0" w:line="300" w:lineRule="auto"/>
        <w:ind w:firstLineChars="200" w:firstLine="440"/>
        <w:rPr>
          <w:b/>
          <w:sz w:val="22"/>
          <w:szCs w:val="21"/>
        </w:rPr>
      </w:pPr>
      <w:r w:rsidRPr="003C2F91">
        <w:rPr>
          <w:rFonts w:hint="eastAsia"/>
          <w:bCs/>
          <w:sz w:val="22"/>
          <w:szCs w:val="21"/>
        </w:rPr>
        <w:t>变电单元部分应符合GB/T 40823-2021《配电变电站用紧凑型成套设备(CEADS)》的要求</w:t>
      </w:r>
      <w:r>
        <w:rPr>
          <w:rFonts w:hint="eastAsia"/>
          <w:bCs/>
          <w:sz w:val="22"/>
          <w:szCs w:val="21"/>
        </w:rPr>
        <w:t>，</w:t>
      </w:r>
      <w:r w:rsidRPr="003C2F91">
        <w:rPr>
          <w:rFonts w:hint="eastAsia"/>
          <w:bCs/>
          <w:sz w:val="22"/>
          <w:szCs w:val="21"/>
        </w:rPr>
        <w:t>充电单元部分功能应符合NB/T 33001-2018《电动汽车非车载传导式充电机技术条件》第6章的要求</w:t>
      </w:r>
      <w:r w:rsidR="00145C05">
        <w:rPr>
          <w:rFonts w:hint="eastAsia"/>
          <w:bCs/>
          <w:sz w:val="22"/>
          <w:szCs w:val="21"/>
        </w:rPr>
        <w:t>，以及</w:t>
      </w:r>
      <w:r w:rsidR="00145C05" w:rsidRPr="00145C05">
        <w:rPr>
          <w:rFonts w:hint="eastAsia"/>
          <w:bCs/>
          <w:sz w:val="22"/>
          <w:szCs w:val="21"/>
        </w:rPr>
        <w:t>功率分配功能要求</w:t>
      </w:r>
      <w:r w:rsidR="00145C05">
        <w:rPr>
          <w:rFonts w:hint="eastAsia"/>
          <w:bCs/>
          <w:sz w:val="22"/>
          <w:szCs w:val="21"/>
        </w:rPr>
        <w:t>。</w:t>
      </w:r>
    </w:p>
    <w:p w14:paraId="577D9AD5" w14:textId="109AF0C0" w:rsidR="00CD7050" w:rsidRDefault="00CD7050" w:rsidP="00145C05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技术要求</w:t>
      </w:r>
    </w:p>
    <w:p w14:paraId="300D7DAC" w14:textId="44670D44" w:rsidR="00145C05" w:rsidRPr="007A50AB" w:rsidRDefault="00145C05" w:rsidP="007A50AB">
      <w:pPr>
        <w:pStyle w:val="a6"/>
        <w:spacing w:before="0" w:beforeAutospacing="0" w:after="0" w:afterAutospacing="0" w:line="300" w:lineRule="auto"/>
        <w:ind w:firstLineChars="200" w:firstLine="440"/>
        <w:rPr>
          <w:bCs/>
          <w:sz w:val="22"/>
          <w:szCs w:val="21"/>
        </w:rPr>
      </w:pPr>
      <w:r w:rsidRPr="007A50AB">
        <w:rPr>
          <w:rFonts w:hint="eastAsia"/>
          <w:bCs/>
          <w:sz w:val="22"/>
          <w:szCs w:val="21"/>
        </w:rPr>
        <w:t>对工作环境的条件、电源要求、输出要求、安全要求、</w:t>
      </w:r>
      <w:r w:rsidR="007A50AB" w:rsidRPr="007A50AB">
        <w:rPr>
          <w:rFonts w:hint="eastAsia"/>
          <w:bCs/>
          <w:sz w:val="22"/>
          <w:szCs w:val="21"/>
        </w:rPr>
        <w:t>噪声要求和设备的机械强度要求</w:t>
      </w:r>
      <w:r w:rsidR="007A50AB">
        <w:rPr>
          <w:rFonts w:hint="eastAsia"/>
          <w:bCs/>
          <w:sz w:val="22"/>
          <w:szCs w:val="21"/>
        </w:rPr>
        <w:t>。</w:t>
      </w:r>
    </w:p>
    <w:p w14:paraId="0F953014" w14:textId="69623984" w:rsidR="00E90607" w:rsidRDefault="00CD7050" w:rsidP="00E90607">
      <w:pPr>
        <w:pStyle w:val="a6"/>
        <w:numPr>
          <w:ilvl w:val="0"/>
          <w:numId w:val="5"/>
        </w:numPr>
        <w:spacing w:before="0" w:beforeAutospacing="0" w:after="0" w:afterAutospacing="0" w:line="30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关于</w:t>
      </w:r>
      <w:r w:rsidRPr="00CD7050">
        <w:rPr>
          <w:rFonts w:hint="eastAsia"/>
          <w:b/>
          <w:sz w:val="22"/>
          <w:szCs w:val="21"/>
        </w:rPr>
        <w:t>试验方法</w:t>
      </w:r>
    </w:p>
    <w:p w14:paraId="7936FEB7" w14:textId="62200FB5" w:rsidR="003E1CF0" w:rsidRPr="00E90607" w:rsidRDefault="00E90607" w:rsidP="00E90607">
      <w:pPr>
        <w:pStyle w:val="a6"/>
        <w:spacing w:before="0" w:beforeAutospacing="0" w:after="0" w:afterAutospacing="0" w:line="300" w:lineRule="auto"/>
        <w:ind w:firstLineChars="200" w:firstLine="420"/>
        <w:rPr>
          <w:b/>
          <w:sz w:val="22"/>
          <w:szCs w:val="21"/>
        </w:rPr>
      </w:pPr>
      <w:r w:rsidRPr="00E90607">
        <w:rPr>
          <w:rFonts w:hint="eastAsia"/>
          <w:sz w:val="21"/>
          <w:szCs w:val="21"/>
        </w:rPr>
        <w:t>试验方法</w:t>
      </w:r>
      <w:proofErr w:type="gramStart"/>
      <w:r w:rsidRPr="00E90607">
        <w:rPr>
          <w:rFonts w:hint="eastAsia"/>
          <w:sz w:val="21"/>
          <w:szCs w:val="21"/>
        </w:rPr>
        <w:t>按照</w:t>
      </w:r>
      <w:r>
        <w:rPr>
          <w:rFonts w:hint="eastAsia"/>
          <w:sz w:val="21"/>
          <w:szCs w:val="21"/>
        </w:rPr>
        <w:t>的</w:t>
      </w:r>
      <w:proofErr w:type="gramEnd"/>
      <w:r w:rsidRPr="00E90607">
        <w:rPr>
          <w:rFonts w:hint="eastAsia"/>
          <w:sz w:val="21"/>
          <w:szCs w:val="21"/>
        </w:rPr>
        <w:t>现行相关标准</w:t>
      </w:r>
      <w:r>
        <w:rPr>
          <w:rFonts w:hint="eastAsia"/>
          <w:b/>
          <w:sz w:val="22"/>
          <w:szCs w:val="21"/>
        </w:rPr>
        <w:t>为</w:t>
      </w:r>
      <w:r w:rsidRPr="00E90607">
        <w:rPr>
          <w:rFonts w:hint="eastAsia"/>
          <w:sz w:val="21"/>
          <w:szCs w:val="21"/>
        </w:rPr>
        <w:t>GB/T 40823-2021《配电变电站用紧凑型成套设备(CEADS)》第7章适用于变电单元</w:t>
      </w:r>
      <w:r>
        <w:rPr>
          <w:rFonts w:hint="eastAsia"/>
          <w:sz w:val="21"/>
          <w:szCs w:val="21"/>
        </w:rPr>
        <w:t>，以及</w:t>
      </w:r>
      <w:r w:rsidRPr="00E90607">
        <w:rPr>
          <w:rFonts w:hint="eastAsia"/>
          <w:sz w:val="21"/>
          <w:szCs w:val="21"/>
        </w:rPr>
        <w:t>NBT 33008.1-2018《电动汽车充电设备检验试验第1部分：非车载充电机》适用于充电单元。</w:t>
      </w:r>
      <w:r w:rsidR="006608D2" w:rsidRPr="009E0A20">
        <w:rPr>
          <w:rFonts w:hint="eastAsia"/>
          <w:sz w:val="21"/>
          <w:szCs w:val="21"/>
        </w:rPr>
        <w:t>。</w:t>
      </w:r>
      <w:r w:rsidR="006608D2" w:rsidRPr="00221E61">
        <w:rPr>
          <w:sz w:val="21"/>
          <w:szCs w:val="21"/>
        </w:rPr>
        <w:t xml:space="preserve"> </w:t>
      </w:r>
    </w:p>
    <w:p w14:paraId="6B96FBFB" w14:textId="77777777" w:rsidR="00E90607" w:rsidRDefault="00E90607" w:rsidP="00E67DE0">
      <w:pPr>
        <w:pStyle w:val="a6"/>
        <w:spacing w:before="0" w:beforeAutospacing="0" w:after="0" w:afterAutospacing="0"/>
        <w:jc w:val="right"/>
        <w:rPr>
          <w:sz w:val="21"/>
          <w:szCs w:val="21"/>
        </w:rPr>
      </w:pPr>
      <w:proofErr w:type="gramStart"/>
      <w:r w:rsidRPr="00E90607">
        <w:rPr>
          <w:rFonts w:hint="eastAsia"/>
          <w:sz w:val="21"/>
          <w:szCs w:val="21"/>
        </w:rPr>
        <w:t>北京创拓国际标准</w:t>
      </w:r>
      <w:proofErr w:type="gramEnd"/>
      <w:r w:rsidRPr="00E90607">
        <w:rPr>
          <w:rFonts w:hint="eastAsia"/>
          <w:sz w:val="21"/>
          <w:szCs w:val="21"/>
        </w:rPr>
        <w:t>技术研究院有限责任公司</w:t>
      </w:r>
    </w:p>
    <w:p w14:paraId="2BE576E7" w14:textId="1D0F35FD" w:rsidR="00E90607" w:rsidRDefault="00E90607" w:rsidP="00E67DE0">
      <w:pPr>
        <w:pStyle w:val="a6"/>
        <w:spacing w:before="0" w:beforeAutospacing="0" w:after="0" w:afterAutospacing="0"/>
        <w:jc w:val="right"/>
        <w:rPr>
          <w:sz w:val="21"/>
          <w:szCs w:val="21"/>
        </w:rPr>
      </w:pPr>
      <w:r w:rsidRPr="00E90607">
        <w:rPr>
          <w:rFonts w:hint="eastAsia"/>
          <w:sz w:val="21"/>
          <w:szCs w:val="21"/>
        </w:rPr>
        <w:t>南京国信能源有限公司</w:t>
      </w:r>
    </w:p>
    <w:p w14:paraId="4749DE06" w14:textId="46C6CB05" w:rsidR="00BE6273" w:rsidRPr="00CA19CC" w:rsidRDefault="00CA19CC" w:rsidP="00E67DE0">
      <w:pPr>
        <w:pStyle w:val="a6"/>
        <w:spacing w:before="0" w:beforeAutospacing="0" w:after="0" w:afterAutospacing="0"/>
        <w:jc w:val="right"/>
      </w:pPr>
      <w:r>
        <w:rPr>
          <w:rFonts w:hint="eastAsia"/>
          <w:sz w:val="22"/>
          <w:szCs w:val="22"/>
        </w:rPr>
        <w:t>20</w:t>
      </w:r>
      <w:r w:rsidR="00E67DE0">
        <w:rPr>
          <w:sz w:val="22"/>
          <w:szCs w:val="22"/>
        </w:rPr>
        <w:t>23</w:t>
      </w:r>
      <w:r>
        <w:rPr>
          <w:rFonts w:hint="eastAsia"/>
          <w:sz w:val="22"/>
          <w:szCs w:val="22"/>
        </w:rPr>
        <w:t>年</w:t>
      </w:r>
      <w:r w:rsidR="00E67DE0">
        <w:rPr>
          <w:sz w:val="22"/>
          <w:szCs w:val="22"/>
        </w:rPr>
        <w:t>1</w:t>
      </w:r>
      <w:r w:rsidR="003A48C3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F51846">
        <w:rPr>
          <w:sz w:val="22"/>
          <w:szCs w:val="22"/>
        </w:rPr>
        <w:t>31</w:t>
      </w:r>
      <w:r>
        <w:rPr>
          <w:rFonts w:hint="eastAsia"/>
          <w:sz w:val="22"/>
          <w:szCs w:val="22"/>
        </w:rPr>
        <w:t>日</w:t>
      </w:r>
    </w:p>
    <w:sectPr w:rsidR="00BE6273" w:rsidRPr="00CA19CC" w:rsidSect="006D3972">
      <w:footerReference w:type="default" r:id="rId8"/>
      <w:pgSz w:w="11906" w:h="16838"/>
      <w:pgMar w:top="1814" w:right="113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53C1" w14:textId="77777777" w:rsidR="006D3972" w:rsidRDefault="006D3972" w:rsidP="00903798">
      <w:r>
        <w:separator/>
      </w:r>
    </w:p>
  </w:endnote>
  <w:endnote w:type="continuationSeparator" w:id="0">
    <w:p w14:paraId="1BA8D8D4" w14:textId="77777777" w:rsidR="006D3972" w:rsidRDefault="006D3972" w:rsidP="0090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IPPN+SimSun-Identity-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014894"/>
      <w:docPartObj>
        <w:docPartGallery w:val="Page Numbers (Bottom of Page)"/>
        <w:docPartUnique/>
      </w:docPartObj>
    </w:sdtPr>
    <w:sdtContent>
      <w:p w14:paraId="75F832CC" w14:textId="77777777" w:rsidR="005E71C4" w:rsidRDefault="005E71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78D" w:rsidRPr="006B078D">
          <w:rPr>
            <w:noProof/>
            <w:lang w:val="zh-CN"/>
          </w:rPr>
          <w:t>3</w:t>
        </w:r>
        <w:r>
          <w:fldChar w:fldCharType="end"/>
        </w:r>
      </w:p>
    </w:sdtContent>
  </w:sdt>
  <w:p w14:paraId="4DC1AD53" w14:textId="77777777" w:rsidR="005E71C4" w:rsidRDefault="005E71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483" w14:textId="77777777" w:rsidR="006D3972" w:rsidRDefault="006D3972" w:rsidP="00903798">
      <w:r>
        <w:separator/>
      </w:r>
    </w:p>
  </w:footnote>
  <w:footnote w:type="continuationSeparator" w:id="0">
    <w:p w14:paraId="20A2CB42" w14:textId="77777777" w:rsidR="006D3972" w:rsidRDefault="006D3972" w:rsidP="0090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09E"/>
    <w:multiLevelType w:val="hybridMultilevel"/>
    <w:tmpl w:val="C9D45952"/>
    <w:lvl w:ilvl="0" w:tplc="36EA1A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841C8D"/>
    <w:multiLevelType w:val="hybridMultilevel"/>
    <w:tmpl w:val="028E7F2E"/>
    <w:lvl w:ilvl="0" w:tplc="87CE90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3C747FD"/>
    <w:multiLevelType w:val="hybridMultilevel"/>
    <w:tmpl w:val="98A46C52"/>
    <w:lvl w:ilvl="0" w:tplc="D7E04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7E374DB"/>
    <w:multiLevelType w:val="hybridMultilevel"/>
    <w:tmpl w:val="D4F8B71C"/>
    <w:lvl w:ilvl="0" w:tplc="F99ECBE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123496"/>
    <w:multiLevelType w:val="hybridMultilevel"/>
    <w:tmpl w:val="70447E86"/>
    <w:lvl w:ilvl="0" w:tplc="E3969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99E2044"/>
    <w:multiLevelType w:val="hybridMultilevel"/>
    <w:tmpl w:val="66203882"/>
    <w:lvl w:ilvl="0" w:tplc="1A2EC68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AF80889"/>
    <w:multiLevelType w:val="hybridMultilevel"/>
    <w:tmpl w:val="2BE40F7A"/>
    <w:lvl w:ilvl="0" w:tplc="F5E889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65149DC"/>
    <w:multiLevelType w:val="hybridMultilevel"/>
    <w:tmpl w:val="865E3BC4"/>
    <w:lvl w:ilvl="0" w:tplc="733E8BF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FBD1EBB"/>
    <w:multiLevelType w:val="hybridMultilevel"/>
    <w:tmpl w:val="2A4279E4"/>
    <w:lvl w:ilvl="0" w:tplc="38129C2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7DF2F6A"/>
    <w:multiLevelType w:val="hybridMultilevel"/>
    <w:tmpl w:val="29F4DE5E"/>
    <w:lvl w:ilvl="0" w:tplc="D854B9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404305">
    <w:abstractNumId w:val="3"/>
  </w:num>
  <w:num w:numId="2" w16cid:durableId="1702903433">
    <w:abstractNumId w:val="0"/>
  </w:num>
  <w:num w:numId="3" w16cid:durableId="156263634">
    <w:abstractNumId w:val="9"/>
  </w:num>
  <w:num w:numId="4" w16cid:durableId="1187643501">
    <w:abstractNumId w:val="4"/>
  </w:num>
  <w:num w:numId="5" w16cid:durableId="337080023">
    <w:abstractNumId w:val="2"/>
  </w:num>
  <w:num w:numId="6" w16cid:durableId="878250045">
    <w:abstractNumId w:val="1"/>
  </w:num>
  <w:num w:numId="7" w16cid:durableId="1173490125">
    <w:abstractNumId w:val="7"/>
  </w:num>
  <w:num w:numId="8" w16cid:durableId="1904942918">
    <w:abstractNumId w:val="6"/>
  </w:num>
  <w:num w:numId="9" w16cid:durableId="559637660">
    <w:abstractNumId w:val="5"/>
  </w:num>
  <w:num w:numId="10" w16cid:durableId="625085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A4"/>
    <w:rsid w:val="00012D2B"/>
    <w:rsid w:val="00027626"/>
    <w:rsid w:val="000410C4"/>
    <w:rsid w:val="000609EA"/>
    <w:rsid w:val="00063E96"/>
    <w:rsid w:val="00097BDD"/>
    <w:rsid w:val="000C1B64"/>
    <w:rsid w:val="000C385F"/>
    <w:rsid w:val="000E0FB5"/>
    <w:rsid w:val="000F0AF8"/>
    <w:rsid w:val="000F4AC9"/>
    <w:rsid w:val="001006DE"/>
    <w:rsid w:val="00107128"/>
    <w:rsid w:val="00110490"/>
    <w:rsid w:val="001235C6"/>
    <w:rsid w:val="00143940"/>
    <w:rsid w:val="00145C05"/>
    <w:rsid w:val="0015705A"/>
    <w:rsid w:val="001D4354"/>
    <w:rsid w:val="00202C0C"/>
    <w:rsid w:val="00204A97"/>
    <w:rsid w:val="00221E61"/>
    <w:rsid w:val="0023016E"/>
    <w:rsid w:val="00234348"/>
    <w:rsid w:val="002468C1"/>
    <w:rsid w:val="00273ADA"/>
    <w:rsid w:val="0028362B"/>
    <w:rsid w:val="00285F38"/>
    <w:rsid w:val="002905E2"/>
    <w:rsid w:val="002A189F"/>
    <w:rsid w:val="002C4E8D"/>
    <w:rsid w:val="002C574D"/>
    <w:rsid w:val="002D32DD"/>
    <w:rsid w:val="002D6BEC"/>
    <w:rsid w:val="002E4E42"/>
    <w:rsid w:val="003259D4"/>
    <w:rsid w:val="00330912"/>
    <w:rsid w:val="00353BB3"/>
    <w:rsid w:val="0035703B"/>
    <w:rsid w:val="00375325"/>
    <w:rsid w:val="00381A16"/>
    <w:rsid w:val="003A3A3C"/>
    <w:rsid w:val="003A48C3"/>
    <w:rsid w:val="003B4ECD"/>
    <w:rsid w:val="003C2F91"/>
    <w:rsid w:val="003E1CF0"/>
    <w:rsid w:val="003E6FC8"/>
    <w:rsid w:val="003F1C95"/>
    <w:rsid w:val="00414FE4"/>
    <w:rsid w:val="004D2B76"/>
    <w:rsid w:val="004E11FF"/>
    <w:rsid w:val="004F558E"/>
    <w:rsid w:val="00505623"/>
    <w:rsid w:val="00506D20"/>
    <w:rsid w:val="005423E3"/>
    <w:rsid w:val="005534E2"/>
    <w:rsid w:val="0057366E"/>
    <w:rsid w:val="00575FE9"/>
    <w:rsid w:val="005802E2"/>
    <w:rsid w:val="005C2E23"/>
    <w:rsid w:val="005C4818"/>
    <w:rsid w:val="005E28A4"/>
    <w:rsid w:val="005E71C4"/>
    <w:rsid w:val="00616EC1"/>
    <w:rsid w:val="00643752"/>
    <w:rsid w:val="00656C98"/>
    <w:rsid w:val="006608D2"/>
    <w:rsid w:val="006655F7"/>
    <w:rsid w:val="00675FDB"/>
    <w:rsid w:val="00676371"/>
    <w:rsid w:val="00690D34"/>
    <w:rsid w:val="00691C02"/>
    <w:rsid w:val="00693762"/>
    <w:rsid w:val="006B078D"/>
    <w:rsid w:val="006B1B5D"/>
    <w:rsid w:val="006D3972"/>
    <w:rsid w:val="006E6357"/>
    <w:rsid w:val="006F5617"/>
    <w:rsid w:val="007222A3"/>
    <w:rsid w:val="00735836"/>
    <w:rsid w:val="00775F1D"/>
    <w:rsid w:val="007765DA"/>
    <w:rsid w:val="00781D63"/>
    <w:rsid w:val="00794A46"/>
    <w:rsid w:val="00796343"/>
    <w:rsid w:val="007A2514"/>
    <w:rsid w:val="007A50AB"/>
    <w:rsid w:val="007B3E89"/>
    <w:rsid w:val="007D0130"/>
    <w:rsid w:val="00807C17"/>
    <w:rsid w:val="008143BA"/>
    <w:rsid w:val="00814DFB"/>
    <w:rsid w:val="00837E0B"/>
    <w:rsid w:val="0088157C"/>
    <w:rsid w:val="00882E24"/>
    <w:rsid w:val="008B1EA4"/>
    <w:rsid w:val="008C2089"/>
    <w:rsid w:val="00903798"/>
    <w:rsid w:val="009166DB"/>
    <w:rsid w:val="00917132"/>
    <w:rsid w:val="0093500F"/>
    <w:rsid w:val="00940E97"/>
    <w:rsid w:val="009771E6"/>
    <w:rsid w:val="009818B1"/>
    <w:rsid w:val="00984797"/>
    <w:rsid w:val="00992F1B"/>
    <w:rsid w:val="009D7339"/>
    <w:rsid w:val="009E0A20"/>
    <w:rsid w:val="009E2FFA"/>
    <w:rsid w:val="009F02E0"/>
    <w:rsid w:val="00A0397C"/>
    <w:rsid w:val="00A0471A"/>
    <w:rsid w:val="00A0792E"/>
    <w:rsid w:val="00A10C7C"/>
    <w:rsid w:val="00A130C6"/>
    <w:rsid w:val="00A27096"/>
    <w:rsid w:val="00A4052A"/>
    <w:rsid w:val="00A54ACF"/>
    <w:rsid w:val="00A568F1"/>
    <w:rsid w:val="00A70585"/>
    <w:rsid w:val="00A73E13"/>
    <w:rsid w:val="00A9764E"/>
    <w:rsid w:val="00AA5EA9"/>
    <w:rsid w:val="00AA7262"/>
    <w:rsid w:val="00AB3E87"/>
    <w:rsid w:val="00AC64DA"/>
    <w:rsid w:val="00AC6EBA"/>
    <w:rsid w:val="00AD3FCB"/>
    <w:rsid w:val="00B02A2B"/>
    <w:rsid w:val="00B10600"/>
    <w:rsid w:val="00B12344"/>
    <w:rsid w:val="00B17AF8"/>
    <w:rsid w:val="00B20E2E"/>
    <w:rsid w:val="00B327EB"/>
    <w:rsid w:val="00B64F2B"/>
    <w:rsid w:val="00B70DE0"/>
    <w:rsid w:val="00B769C5"/>
    <w:rsid w:val="00B843DE"/>
    <w:rsid w:val="00B90995"/>
    <w:rsid w:val="00B9400A"/>
    <w:rsid w:val="00BE6273"/>
    <w:rsid w:val="00C13A54"/>
    <w:rsid w:val="00C57C94"/>
    <w:rsid w:val="00C602E5"/>
    <w:rsid w:val="00C71A74"/>
    <w:rsid w:val="00C83500"/>
    <w:rsid w:val="00C90C59"/>
    <w:rsid w:val="00C945B1"/>
    <w:rsid w:val="00CA19CC"/>
    <w:rsid w:val="00CC3073"/>
    <w:rsid w:val="00CD40E4"/>
    <w:rsid w:val="00CD7050"/>
    <w:rsid w:val="00CD726F"/>
    <w:rsid w:val="00CE097E"/>
    <w:rsid w:val="00CF385D"/>
    <w:rsid w:val="00D01C32"/>
    <w:rsid w:val="00D31CC9"/>
    <w:rsid w:val="00D70034"/>
    <w:rsid w:val="00D926DC"/>
    <w:rsid w:val="00D97F9A"/>
    <w:rsid w:val="00DB6510"/>
    <w:rsid w:val="00DE127B"/>
    <w:rsid w:val="00E01C3F"/>
    <w:rsid w:val="00E07123"/>
    <w:rsid w:val="00E14115"/>
    <w:rsid w:val="00E67DE0"/>
    <w:rsid w:val="00E86C58"/>
    <w:rsid w:val="00E90607"/>
    <w:rsid w:val="00EE0652"/>
    <w:rsid w:val="00EE19E8"/>
    <w:rsid w:val="00EE5C4A"/>
    <w:rsid w:val="00EE5DC3"/>
    <w:rsid w:val="00EF23B6"/>
    <w:rsid w:val="00F47D41"/>
    <w:rsid w:val="00F51846"/>
    <w:rsid w:val="00F52CA9"/>
    <w:rsid w:val="00F570D9"/>
    <w:rsid w:val="00F64ABB"/>
    <w:rsid w:val="00F92919"/>
    <w:rsid w:val="00F93765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4A6B"/>
  <w15:docId w15:val="{430AAB88-82CC-4246-B54F-18244717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A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86C5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86C58"/>
  </w:style>
  <w:style w:type="paragraph" w:styleId="a6">
    <w:name w:val="Normal (Web)"/>
    <w:basedOn w:val="a"/>
    <w:uiPriority w:val="99"/>
    <w:unhideWhenUsed/>
    <w:rsid w:val="00CA1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379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3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6B10-1332-4D5C-87ED-A19078A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SimonZhao</dc:creator>
  <cp:lastModifiedBy>jianren xue</cp:lastModifiedBy>
  <cp:revision>46</cp:revision>
  <dcterms:created xsi:type="dcterms:W3CDTF">2024-01-31T02:35:00Z</dcterms:created>
  <dcterms:modified xsi:type="dcterms:W3CDTF">2024-02-01T02:02:00Z</dcterms:modified>
</cp:coreProperties>
</file>