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标准名称：电力变压器绕组变形频率响应法在线监测技术规范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高婷玉，1</w:t>
      </w:r>
      <w:r>
        <w:rPr>
          <w:rFonts w:ascii="黑体" w:hAnsi="黑体" w:eastAsia="黑体"/>
          <w:szCs w:val="21"/>
        </w:rPr>
        <w:t>8831292879</w:t>
      </w:r>
      <w:r>
        <w:rPr>
          <w:rFonts w:hint="eastAsia" w:ascii="黑体" w:hAnsi="黑体" w:eastAsia="黑体"/>
          <w:szCs w:val="21"/>
        </w:rPr>
        <w:t>，gaotingyu@epri.sgcc.com.cn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>
      <w:pPr>
        <w:jc w:val="left"/>
        <w:rPr>
          <w:rFonts w:ascii="Arial" w:hAnsi="Arial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460C5A3B"/>
    <w:rsid w:val="460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2024-03-08T09:16:00Z</dcterms:created>
  <dc:creator>yc melody</dc:creator>
  <cp:lastModifiedBy>yc melody</cp:lastModifiedBy>
  <dcterms:modified xsi:type="dcterms:W3CDTF">2024-03-08T09:16:09Z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AE3AA189FBDD4BF39C06BC8598C73501_11</vt:lpwstr>
  </property>
</Properties>
</file>