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eastAsia="仿宋"/>
          <w:bCs/>
          <w:color w:val="000000"/>
          <w:sz w:val="28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附件</w:t>
      </w:r>
    </w:p>
    <w:p>
      <w:pPr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de-DE" w:eastAsia="zh-CN"/>
        </w:rPr>
        <w:t>“中国日”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活动简明日程</w:t>
      </w:r>
    </w:p>
    <w:bookmarkEnd w:id="1"/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86"/>
        <w:gridCol w:w="5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5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5月31日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星期五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上午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主持人：范建斌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09:30-10:00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会议开幕致辞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主旨报告1：题目待定（CIGRE主席，Michel AUGONNET）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主旨报告2：中国新型电力系统建设实践（南方电网公司首席科学家/中国工程院院士，饶宏）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3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11:00-11:20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主旨报告3：题目待定（CIGRE TC主席Marcio SZECHTMAN）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11:20-11:40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主旨报告4：人工智能在智能电网中的应用（香港理工大学教授/加拿大工程院院士，钟志勇）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11:40-12:00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参会人员合影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12:00-14:00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5月31日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星期五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下午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主持人：许树楷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14:00-14:20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主旨报告5：大规模清洁能源规模化送出关键技术研究（南方电网科学研究院院长，蔡希鹏）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14:20-14:40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主旨报告6：题目待定（CIGRE指委会委员，Javier IGLESIAS）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14:40-15:00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主旨报告7：跃升数字生产力，助力新型电力系统绿色低碳发展（华为公司副总裁，孙福友）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15:00-15:20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主旨报告8：电力系统数字化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（国网智能电网研究院副院长，高昆仑）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15:20-15:40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15:40-16:00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主旨报告9：大规模电池储能关键技术研发与应用探索（比亚迪储能事业部副总裁，杨其友）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16:00-16:20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主旨报告10：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城市电网源网荷储互动技术的探索与实践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（深圳供电局战略级高级专家，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李艳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16:20-16:40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主旨报告11：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电力数字化智能化转型研究成果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（南网数字集团信息物理系统业务首席科学家，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胡师彦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5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闭幕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bookmarkEnd w:id="0"/>
    <w:p>
      <w:pPr>
        <w:pStyle w:val="2"/>
        <w:rPr>
          <w:rFonts w:hint="eastAsia" w:asciiTheme="minorEastAsia" w:hAnsiTheme="minorEastAsia" w:eastAsiaTheme="minorEastAsia" w:cs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3470EAA"/>
    <w:rsid w:val="5347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43" w:firstLineChars="200"/>
    </w:pPr>
    <w:rPr>
      <w:rFonts w:ascii="Arial" w:hAnsi="Arial" w:eastAsia="仿宋_GB2312"/>
      <w:color w:val="000000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2024-05-07T08:04:00Z</dcterms:created>
  <dc:creator>yc melody</dc:creator>
  <cp:lastModifiedBy>yc melody</cp:lastModifiedBy>
  <dcterms:modified xsi:type="dcterms:W3CDTF">2024-05-07T08:05:14Z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F9ACA1C5424D4B6C9264EB660E1EA265_11</vt:lpwstr>
  </property>
</Properties>
</file>