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right="420" w:rightChars="200" w:firstLine="0"/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附件1</w:t>
      </w:r>
    </w:p>
    <w:p>
      <w:pPr>
        <w:pStyle w:val="2"/>
        <w:numPr>
          <w:ilvl w:val="255"/>
          <w:numId w:val="0"/>
        </w:numPr>
        <w:snapToGrid w:val="0"/>
        <w:spacing w:line="360" w:lineRule="auto"/>
        <w:ind w:right="420" w:rightChars="200"/>
        <w:jc w:val="center"/>
        <w:rPr>
          <w:rFonts w:ascii="宋体" w:hAnsi="宋体" w:cs="宋体"/>
          <w:b/>
          <w:bCs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2"/>
          <w:sz w:val="44"/>
          <w:szCs w:val="44"/>
        </w:rPr>
        <w:t>培训课程安排（初步）</w:t>
      </w:r>
    </w:p>
    <w:bookmarkEnd w:id="0"/>
    <w:tbl>
      <w:tblPr>
        <w:tblStyle w:val="3"/>
        <w:tblW w:w="90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844"/>
        <w:gridCol w:w="5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35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  <w:t>时间</w:t>
            </w:r>
          </w:p>
        </w:tc>
        <w:tc>
          <w:tcPr>
            <w:tcW w:w="55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8月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（星期六）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09:00-09:10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开班仪式，中国电机工程学会领导致辞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09:10-09:20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能源行业风电标委会风电场并网管理分委会领导致辞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09: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0-1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0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ascii="仿宋" w:hAnsi="仿宋" w:eastAsia="仿宋" w:cs="仿宋"/>
                <w:lang w:bidi="ar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新能源并网控制技术发展历程及展望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0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0-12:00</w:t>
            </w:r>
          </w:p>
        </w:tc>
        <w:tc>
          <w:tcPr>
            <w:tcW w:w="55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最新版新能源并网技术标准解读：《风电场接入电力系统技术规定 第一部分、第二部分》《光伏发电站接入电力系统技术规定》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5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12:00-14:00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14:00-1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ascii="仿宋" w:hAnsi="仿宋" w:eastAsia="仿宋" w:cs="仿宋"/>
                <w:lang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新能源并网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系统阻抗建模技术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0-1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ascii="仿宋" w:hAnsi="仿宋" w:eastAsia="仿宋" w:cs="仿宋"/>
                <w:lang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新能源并网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宽频振荡分析方法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0-1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7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0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技术交流与讨论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8月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（星期日）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09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:00-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10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00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新能源并网宽频振荡抑制技术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10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6"/>
                <w:rFonts w:ascii="仿宋" w:hAnsi="仿宋" w:eastAsia="仿宋" w:cs="仿宋"/>
                <w:lang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0-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11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00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新能源并网电磁暂态建模与仿真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11: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0-12:00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振荡评估相关行业标准解读：《风电场阻抗特性评估技术规范》《光伏发电站阻抗特性评估技术规范》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12:00-14:00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14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0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0-1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ascii="仿宋" w:hAnsi="仿宋" w:eastAsia="仿宋" w:cs="仿宋"/>
                <w:lang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新能源并网宽频振荡案例分析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Style w:val="6"/>
                <w:rFonts w:hint="eastAsia" w:ascii="仿宋" w:hAnsi="仿宋" w:eastAsia="仿宋" w:cs="仿宋"/>
                <w:lang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ascii="仿宋" w:hAnsi="仿宋" w:eastAsia="仿宋" w:cs="仿宋"/>
                <w:lang w:bidi="ar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-16: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技术交流与讨论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0-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17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:</w:t>
            </w:r>
            <w:r>
              <w:rPr>
                <w:rStyle w:val="5"/>
                <w:rFonts w:hint="eastAsia" w:ascii="仿宋" w:hAnsi="仿宋" w:eastAsia="仿宋" w:cs="仿宋"/>
                <w:lang w:bidi="ar"/>
              </w:rPr>
              <w:t>0</w:t>
            </w:r>
            <w:r>
              <w:rPr>
                <w:rStyle w:val="6"/>
                <w:rFonts w:hint="eastAsia" w:ascii="仿宋" w:hAnsi="仿宋" w:eastAsia="仿宋" w:cs="仿宋"/>
                <w:lang w:bidi="ar"/>
              </w:rPr>
              <w:t>0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颁发培训证书</w:t>
            </w:r>
          </w:p>
        </w:tc>
      </w:tr>
    </w:tbl>
    <w:p>
      <w:pPr>
        <w:spacing w:line="360" w:lineRule="auto"/>
        <w:ind w:right="420" w:right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4AF5504"/>
    <w:rsid w:val="54A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560" w:lineRule="exact"/>
      <w:ind w:firstLine="624"/>
      <w:jc w:val="left"/>
      <w:textAlignment w:val="baseline"/>
    </w:pPr>
    <w:rPr>
      <w:kern w:val="0"/>
    </w:rPr>
  </w:style>
  <w:style w:type="character" w:customStyle="1" w:styleId="5">
    <w:name w:val="font11"/>
    <w:basedOn w:val="4"/>
    <w:qFormat/>
    <w:uiPriority w:val="0"/>
    <w:rPr>
      <w:rFonts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2024-07-11T09:09:00Z</dcterms:created>
  <dc:creator>yc melody</dc:creator>
  <cp:lastModifiedBy>yc melody</cp:lastModifiedBy>
  <dcterms:modified xsi:type="dcterms:W3CDTF">2024-07-11T09:09:35Z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626A0ED7C6064709BD9E064B49E31A07_11</vt:lpwstr>
  </property>
</Properties>
</file>