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C1F1FA" w14:textId="77777777" w:rsidR="00D56751" w:rsidRDefault="00D56751">
      <w:pPr>
        <w:widowControl/>
        <w:tabs>
          <w:tab w:val="center" w:pos="4201"/>
          <w:tab w:val="right" w:leader="dot" w:pos="9298"/>
        </w:tabs>
        <w:autoSpaceDE w:val="0"/>
        <w:autoSpaceDN w:val="0"/>
        <w:spacing w:after="0" w:line="240" w:lineRule="auto"/>
        <w:jc w:val="both"/>
        <w:rPr>
          <w:rFonts w:ascii="宋体" w:eastAsia="宋体" w:hAnsi="Times New Roman" w:cs="Times New Roman"/>
          <w:kern w:val="0"/>
          <w:sz w:val="21"/>
          <w:szCs w:val="20"/>
          <w14:ligatures w14:val="none"/>
        </w:rPr>
      </w:pPr>
    </w:p>
    <w:p w14:paraId="616CC8AD" w14:textId="77777777" w:rsidR="00D56751" w:rsidRDefault="00D56751">
      <w:pPr>
        <w:widowControl/>
        <w:tabs>
          <w:tab w:val="center" w:pos="4201"/>
          <w:tab w:val="right" w:leader="dot" w:pos="9298"/>
        </w:tabs>
        <w:autoSpaceDE w:val="0"/>
        <w:autoSpaceDN w:val="0"/>
        <w:spacing w:after="0" w:line="240" w:lineRule="auto"/>
        <w:jc w:val="both"/>
        <w:rPr>
          <w:rFonts w:ascii="宋体" w:eastAsia="宋体" w:hAnsi="Times New Roman" w:cs="Times New Roman"/>
          <w:kern w:val="0"/>
          <w:sz w:val="21"/>
          <w:szCs w:val="20"/>
          <w14:ligatures w14:val="none"/>
        </w:rPr>
      </w:pPr>
    </w:p>
    <w:p w14:paraId="255B9248" w14:textId="77777777" w:rsidR="00D56751" w:rsidRDefault="00D56751">
      <w:pPr>
        <w:widowControl/>
        <w:tabs>
          <w:tab w:val="center" w:pos="4201"/>
          <w:tab w:val="right" w:leader="dot" w:pos="9298"/>
        </w:tabs>
        <w:autoSpaceDE w:val="0"/>
        <w:autoSpaceDN w:val="0"/>
        <w:spacing w:after="0" w:line="240" w:lineRule="auto"/>
        <w:jc w:val="both"/>
        <w:rPr>
          <w:rFonts w:ascii="宋体" w:eastAsia="宋体" w:hAnsi="Times New Roman" w:cs="Times New Roman"/>
          <w:kern w:val="0"/>
          <w:sz w:val="21"/>
          <w:szCs w:val="20"/>
          <w14:ligatures w14:val="none"/>
        </w:rPr>
      </w:pPr>
    </w:p>
    <w:p w14:paraId="45078A2E" w14:textId="77777777" w:rsidR="00D56751" w:rsidRDefault="00D56751">
      <w:pPr>
        <w:widowControl/>
        <w:tabs>
          <w:tab w:val="center" w:pos="4201"/>
          <w:tab w:val="right" w:leader="dot" w:pos="9298"/>
        </w:tabs>
        <w:autoSpaceDE w:val="0"/>
        <w:autoSpaceDN w:val="0"/>
        <w:spacing w:after="0" w:line="240" w:lineRule="auto"/>
        <w:jc w:val="both"/>
        <w:rPr>
          <w:rFonts w:ascii="宋体" w:eastAsia="宋体" w:hAnsi="Times New Roman" w:cs="Times New Roman"/>
          <w:kern w:val="0"/>
          <w:sz w:val="21"/>
          <w:szCs w:val="20"/>
          <w14:ligatures w14:val="none"/>
        </w:rPr>
      </w:pPr>
    </w:p>
    <w:p w14:paraId="4D4CDF20" w14:textId="77777777" w:rsidR="00D56751" w:rsidRDefault="00D56751">
      <w:pPr>
        <w:widowControl/>
        <w:tabs>
          <w:tab w:val="center" w:pos="4201"/>
          <w:tab w:val="right" w:leader="dot" w:pos="9298"/>
        </w:tabs>
        <w:autoSpaceDE w:val="0"/>
        <w:autoSpaceDN w:val="0"/>
        <w:spacing w:after="0" w:line="240" w:lineRule="auto"/>
        <w:jc w:val="both"/>
        <w:rPr>
          <w:rFonts w:ascii="宋体" w:eastAsia="宋体" w:hAnsi="Times New Roman" w:cs="Times New Roman"/>
          <w:kern w:val="0"/>
          <w:sz w:val="21"/>
          <w:szCs w:val="20"/>
          <w14:ligatures w14:val="none"/>
        </w:rPr>
      </w:pPr>
    </w:p>
    <w:p w14:paraId="1918B55B" w14:textId="77777777" w:rsidR="00D56751" w:rsidRDefault="00D56751">
      <w:pPr>
        <w:widowControl/>
        <w:tabs>
          <w:tab w:val="center" w:pos="4201"/>
          <w:tab w:val="right" w:leader="dot" w:pos="9298"/>
        </w:tabs>
        <w:autoSpaceDE w:val="0"/>
        <w:autoSpaceDN w:val="0"/>
        <w:spacing w:after="0" w:line="240" w:lineRule="auto"/>
        <w:jc w:val="both"/>
        <w:rPr>
          <w:rFonts w:ascii="宋体" w:eastAsia="宋体" w:hAnsi="Times New Roman" w:cs="Times New Roman"/>
          <w:kern w:val="0"/>
          <w:sz w:val="21"/>
          <w:szCs w:val="20"/>
          <w14:ligatures w14:val="none"/>
        </w:rPr>
      </w:pPr>
    </w:p>
    <w:p w14:paraId="63F218A8" w14:textId="77777777" w:rsidR="00D56751" w:rsidRDefault="00D56751">
      <w:pPr>
        <w:widowControl/>
        <w:tabs>
          <w:tab w:val="center" w:pos="4201"/>
          <w:tab w:val="right" w:leader="dot" w:pos="9298"/>
        </w:tabs>
        <w:autoSpaceDE w:val="0"/>
        <w:autoSpaceDN w:val="0"/>
        <w:spacing w:after="0" w:line="240" w:lineRule="auto"/>
        <w:jc w:val="both"/>
        <w:rPr>
          <w:rFonts w:ascii="宋体" w:eastAsia="宋体" w:hAnsi="Times New Roman" w:cs="Times New Roman"/>
          <w:kern w:val="0"/>
          <w:sz w:val="21"/>
          <w:szCs w:val="20"/>
          <w14:ligatures w14:val="none"/>
        </w:rPr>
      </w:pPr>
    </w:p>
    <w:p w14:paraId="59A8D280" w14:textId="77777777" w:rsidR="00D56751" w:rsidRDefault="00D56751">
      <w:pPr>
        <w:widowControl/>
        <w:tabs>
          <w:tab w:val="center" w:pos="4201"/>
          <w:tab w:val="right" w:leader="dot" w:pos="9298"/>
        </w:tabs>
        <w:autoSpaceDE w:val="0"/>
        <w:autoSpaceDN w:val="0"/>
        <w:spacing w:after="0" w:line="240" w:lineRule="auto"/>
        <w:jc w:val="both"/>
        <w:rPr>
          <w:rFonts w:ascii="宋体" w:eastAsia="宋体" w:hAnsi="Times New Roman" w:cs="Times New Roman"/>
          <w:kern w:val="0"/>
          <w:sz w:val="21"/>
          <w:szCs w:val="20"/>
          <w14:ligatures w14:val="none"/>
        </w:rPr>
      </w:pPr>
    </w:p>
    <w:p w14:paraId="3CA060CD" w14:textId="77777777" w:rsidR="00D56751" w:rsidRDefault="00D56751">
      <w:pPr>
        <w:widowControl/>
        <w:tabs>
          <w:tab w:val="center" w:pos="4201"/>
          <w:tab w:val="right" w:leader="dot" w:pos="9298"/>
        </w:tabs>
        <w:autoSpaceDE w:val="0"/>
        <w:autoSpaceDN w:val="0"/>
        <w:spacing w:after="0" w:line="240" w:lineRule="auto"/>
        <w:jc w:val="both"/>
        <w:rPr>
          <w:rFonts w:ascii="宋体" w:eastAsia="宋体" w:hAnsi="Times New Roman" w:cs="Times New Roman"/>
          <w:kern w:val="0"/>
          <w:sz w:val="21"/>
          <w:szCs w:val="20"/>
          <w14:ligatures w14:val="none"/>
        </w:rPr>
      </w:pPr>
    </w:p>
    <w:p w14:paraId="6FAE6C51" w14:textId="77777777" w:rsidR="00D56751" w:rsidRDefault="00D56751">
      <w:pPr>
        <w:widowControl/>
        <w:tabs>
          <w:tab w:val="center" w:pos="4201"/>
          <w:tab w:val="right" w:leader="dot" w:pos="9298"/>
        </w:tabs>
        <w:autoSpaceDE w:val="0"/>
        <w:autoSpaceDN w:val="0"/>
        <w:spacing w:after="0" w:line="240" w:lineRule="auto"/>
        <w:jc w:val="both"/>
        <w:rPr>
          <w:rFonts w:ascii="宋体" w:eastAsia="宋体" w:hAnsi="Times New Roman" w:cs="Times New Roman"/>
          <w:kern w:val="0"/>
          <w:sz w:val="21"/>
          <w:szCs w:val="20"/>
          <w14:ligatures w14:val="none"/>
        </w:rPr>
      </w:pPr>
    </w:p>
    <w:p w14:paraId="117E4315" w14:textId="692869D8" w:rsidR="00D56751" w:rsidRDefault="00000000">
      <w:pPr>
        <w:widowControl/>
        <w:tabs>
          <w:tab w:val="center" w:pos="4201"/>
          <w:tab w:val="right" w:leader="dot" w:pos="9298"/>
        </w:tabs>
        <w:autoSpaceDE w:val="0"/>
        <w:autoSpaceDN w:val="0"/>
        <w:spacing w:after="0" w:line="240" w:lineRule="auto"/>
        <w:jc w:val="center"/>
        <w:rPr>
          <w:rFonts w:ascii="宋体" w:eastAsia="宋体" w:hAnsi="Times New Roman" w:cs="Times New Roman"/>
          <w:kern w:val="0"/>
          <w:sz w:val="21"/>
          <w:szCs w:val="20"/>
          <w14:ligatures w14:val="none"/>
        </w:rPr>
      </w:pPr>
      <w:r>
        <w:rPr>
          <w:rFonts w:ascii="黑体" w:eastAsia="黑体" w:hAnsi="Times New Roman" w:cs="Times New Roman" w:hint="eastAsia"/>
          <w:kern w:val="0"/>
          <w:sz w:val="44"/>
          <w:szCs w:val="44"/>
          <w14:ligatures w14:val="none"/>
        </w:rPr>
        <w:t>电解</w:t>
      </w:r>
      <w:r w:rsidR="0075330B">
        <w:rPr>
          <w:rFonts w:ascii="黑体" w:eastAsia="黑体" w:hAnsi="Times New Roman" w:cs="Times New Roman" w:hint="eastAsia"/>
          <w:kern w:val="0"/>
          <w:sz w:val="44"/>
          <w:szCs w:val="44"/>
          <w14:ligatures w14:val="none"/>
        </w:rPr>
        <w:t>水</w:t>
      </w:r>
      <w:r>
        <w:rPr>
          <w:rFonts w:ascii="黑体" w:eastAsia="黑体" w:hAnsi="Times New Roman" w:cs="Times New Roman" w:hint="eastAsia"/>
          <w:kern w:val="0"/>
          <w:sz w:val="44"/>
          <w:szCs w:val="44"/>
          <w14:ligatures w14:val="none"/>
        </w:rPr>
        <w:t>制氢系统运行维护规程</w:t>
      </w:r>
    </w:p>
    <w:p w14:paraId="33E04696" w14:textId="77777777" w:rsidR="00D56751" w:rsidRDefault="00D56751">
      <w:pPr>
        <w:widowControl/>
        <w:tabs>
          <w:tab w:val="center" w:pos="4201"/>
          <w:tab w:val="right" w:leader="dot" w:pos="9298"/>
        </w:tabs>
        <w:autoSpaceDE w:val="0"/>
        <w:autoSpaceDN w:val="0"/>
        <w:spacing w:after="0" w:line="240" w:lineRule="auto"/>
        <w:ind w:firstLineChars="200" w:firstLine="420"/>
        <w:jc w:val="both"/>
        <w:rPr>
          <w:rFonts w:ascii="宋体" w:eastAsia="宋体" w:hAnsi="Times New Roman" w:cs="Times New Roman"/>
          <w:kern w:val="0"/>
          <w:sz w:val="21"/>
          <w:szCs w:val="20"/>
          <w14:ligatures w14:val="none"/>
        </w:rPr>
      </w:pPr>
    </w:p>
    <w:p w14:paraId="3E00A6AF" w14:textId="77777777" w:rsidR="00D56751" w:rsidRDefault="00000000">
      <w:pPr>
        <w:widowControl/>
        <w:spacing w:beforeLines="100" w:before="312" w:afterLines="100" w:after="312" w:line="240" w:lineRule="auto"/>
        <w:jc w:val="center"/>
        <w:outlineLvl w:val="1"/>
        <w:rPr>
          <w:rFonts w:ascii="黑体" w:eastAsia="黑体" w:hAnsi="Times New Roman" w:cs="Times New Roman"/>
          <w:kern w:val="0"/>
          <w:sz w:val="28"/>
          <w:szCs w:val="28"/>
          <w14:ligatures w14:val="none"/>
        </w:rPr>
      </w:pPr>
      <w:bookmarkStart w:id="0" w:name="_Toc298937368"/>
      <w:bookmarkStart w:id="1" w:name="_Toc298937333"/>
      <w:bookmarkStart w:id="2" w:name="_Toc298937430"/>
      <w:bookmarkStart w:id="3" w:name="_Toc320020914"/>
      <w:bookmarkStart w:id="4" w:name="_Toc309996019"/>
      <w:bookmarkStart w:id="5" w:name="_Toc298937473"/>
      <w:bookmarkStart w:id="6" w:name="_Toc298937620"/>
      <w:bookmarkStart w:id="7" w:name="_Toc310002657"/>
      <w:bookmarkStart w:id="8" w:name="_Toc309995598"/>
      <w:bookmarkStart w:id="9" w:name="_Toc309993200"/>
      <w:bookmarkStart w:id="10" w:name="_Toc304825020"/>
      <w:bookmarkStart w:id="11" w:name="_Toc304825093"/>
      <w:bookmarkStart w:id="12" w:name="_Toc309995410"/>
      <w:bookmarkStart w:id="13" w:name="_Toc304828086"/>
      <w:bookmarkStart w:id="14" w:name="_Toc318613715"/>
      <w:bookmarkStart w:id="15" w:name="_Toc298937560"/>
      <w:bookmarkStart w:id="16" w:name="_Toc304824981"/>
      <w:bookmarkStart w:id="17" w:name="_Toc309994571"/>
      <w:bookmarkStart w:id="18" w:name="_Toc298938646"/>
      <w:bookmarkStart w:id="19" w:name="_Toc309997060"/>
      <w:bookmarkStart w:id="20" w:name="_Toc304402675"/>
      <w:bookmarkStart w:id="21" w:name="_Toc298938794"/>
      <w:bookmarkStart w:id="22" w:name="_Toc309995492"/>
      <w:r>
        <w:rPr>
          <w:rFonts w:ascii="黑体" w:eastAsia="黑体" w:hAnsi="Times New Roman" w:cs="Times New Roman" w:hint="eastAsia"/>
          <w:kern w:val="0"/>
          <w:sz w:val="28"/>
          <w:szCs w:val="28"/>
          <w14:ligatures w14:val="none"/>
        </w:rPr>
        <w:t>编 </w:t>
      </w:r>
      <w:r>
        <w:rPr>
          <w:rFonts w:ascii="黑体" w:eastAsia="黑体" w:hAnsi="黑体" w:cs="黑体" w:hint="eastAsia"/>
          <w:kern w:val="0"/>
          <w:sz w:val="28"/>
          <w:szCs w:val="28"/>
          <w14:ligatures w14:val="none"/>
        </w:rPr>
        <w:t>制</w:t>
      </w:r>
      <w:r>
        <w:rPr>
          <w:rFonts w:ascii="黑体" w:eastAsia="黑体" w:hAnsi="Times New Roman" w:cs="Times New Roman" w:hint="eastAsia"/>
          <w:kern w:val="0"/>
          <w:sz w:val="28"/>
          <w:szCs w:val="28"/>
          <w14:ligatures w14:val="none"/>
        </w:rPr>
        <w:t> </w:t>
      </w:r>
      <w:r>
        <w:rPr>
          <w:rFonts w:ascii="黑体" w:eastAsia="黑体" w:hAnsi="黑体" w:cs="黑体" w:hint="eastAsia"/>
          <w:kern w:val="0"/>
          <w:sz w:val="28"/>
          <w:szCs w:val="28"/>
          <w14:ligatures w14:val="none"/>
        </w:rPr>
        <w:t>说</w:t>
      </w:r>
      <w:bookmarkEnd w:id="0"/>
      <w:bookmarkEnd w:id="1"/>
      <w:r>
        <w:rPr>
          <w:rFonts w:ascii="黑体" w:eastAsia="黑体" w:hAnsi="Times New Roman" w:cs="Times New Roman" w:hint="eastAsia"/>
          <w:kern w:val="0"/>
          <w:sz w:val="28"/>
          <w:szCs w:val="28"/>
          <w14:ligatures w14:val="none"/>
        </w:rPr>
        <w:t> </w:t>
      </w:r>
      <w:r>
        <w:rPr>
          <w:rFonts w:ascii="黑体" w:eastAsia="黑体" w:hAnsi="黑体" w:cs="黑体" w:hint="eastAsia"/>
          <w:kern w:val="0"/>
          <w:sz w:val="28"/>
          <w:szCs w:val="28"/>
          <w14:ligatures w14:val="none"/>
        </w:rPr>
        <w:t>明</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3A075846" w14:textId="77777777" w:rsidR="00D56751" w:rsidRDefault="00D56751">
      <w:pPr>
        <w:widowControl/>
        <w:tabs>
          <w:tab w:val="center" w:pos="4201"/>
          <w:tab w:val="right" w:leader="dot" w:pos="9298"/>
        </w:tabs>
        <w:autoSpaceDE w:val="0"/>
        <w:autoSpaceDN w:val="0"/>
        <w:spacing w:after="0" w:line="240" w:lineRule="auto"/>
        <w:ind w:firstLineChars="200" w:firstLine="560"/>
        <w:jc w:val="center"/>
        <w:rPr>
          <w:rFonts w:ascii="黑体" w:eastAsia="黑体" w:hAnsi="Times New Roman" w:cs="Times New Roman"/>
          <w:kern w:val="0"/>
          <w:sz w:val="28"/>
          <w:szCs w:val="28"/>
          <w14:ligatures w14:val="none"/>
        </w:rPr>
      </w:pPr>
    </w:p>
    <w:p w14:paraId="46D240F5" w14:textId="77777777" w:rsidR="00D56751" w:rsidRDefault="00D56751">
      <w:pPr>
        <w:widowControl/>
        <w:tabs>
          <w:tab w:val="center" w:pos="4201"/>
          <w:tab w:val="right" w:leader="dot" w:pos="9298"/>
        </w:tabs>
        <w:autoSpaceDE w:val="0"/>
        <w:autoSpaceDN w:val="0"/>
        <w:spacing w:after="0" w:line="240" w:lineRule="auto"/>
        <w:ind w:firstLineChars="200" w:firstLine="560"/>
        <w:jc w:val="center"/>
        <w:rPr>
          <w:rFonts w:ascii="黑体" w:eastAsia="黑体" w:hAnsi="Times New Roman" w:cs="Times New Roman"/>
          <w:kern w:val="0"/>
          <w:sz w:val="28"/>
          <w:szCs w:val="28"/>
          <w14:ligatures w14:val="none"/>
        </w:rPr>
      </w:pPr>
    </w:p>
    <w:p w14:paraId="0B12D471" w14:textId="77777777" w:rsidR="00D56751" w:rsidRDefault="00D56751">
      <w:pPr>
        <w:widowControl/>
        <w:tabs>
          <w:tab w:val="center" w:pos="4201"/>
          <w:tab w:val="right" w:leader="dot" w:pos="9298"/>
        </w:tabs>
        <w:autoSpaceDE w:val="0"/>
        <w:autoSpaceDN w:val="0"/>
        <w:spacing w:after="0" w:line="240" w:lineRule="auto"/>
        <w:ind w:firstLineChars="200" w:firstLine="420"/>
        <w:jc w:val="both"/>
        <w:rPr>
          <w:rFonts w:ascii="宋体" w:eastAsia="宋体" w:hAnsi="Times New Roman" w:cs="Times New Roman"/>
          <w:kern w:val="0"/>
          <w:sz w:val="21"/>
          <w:szCs w:val="20"/>
          <w14:ligatures w14:val="none"/>
        </w:rPr>
        <w:sectPr w:rsidR="00D56751">
          <w:headerReference w:type="even" r:id="rId8"/>
          <w:headerReference w:type="default" r:id="rId9"/>
          <w:footerReference w:type="default" r:id="rId10"/>
          <w:pgSz w:w="11906" w:h="16838"/>
          <w:pgMar w:top="567" w:right="1134" w:bottom="1134" w:left="1417" w:header="1418" w:footer="1134" w:gutter="0"/>
          <w:pgNumType w:start="1"/>
          <w:cols w:space="720"/>
          <w:formProt w:val="0"/>
          <w:docGrid w:type="lines" w:linePitch="312"/>
        </w:sectPr>
      </w:pPr>
    </w:p>
    <w:p w14:paraId="6C6CB9EE" w14:textId="77777777" w:rsidR="00D56751" w:rsidRDefault="00000000">
      <w:pPr>
        <w:keepNext/>
        <w:pageBreakBefore/>
        <w:widowControl/>
        <w:shd w:val="clear" w:color="FFFFFF" w:fill="FFFFFF"/>
        <w:spacing w:before="640" w:after="560" w:line="460" w:lineRule="exact"/>
        <w:jc w:val="center"/>
        <w:outlineLvl w:val="0"/>
        <w:rPr>
          <w:rFonts w:ascii="黑体" w:eastAsia="黑体" w:hAnsi="Times New Roman" w:cs="Times New Roman"/>
          <w:kern w:val="0"/>
          <w:sz w:val="32"/>
          <w:szCs w:val="20"/>
          <w14:ligatures w14:val="none"/>
        </w:rPr>
      </w:pPr>
      <w:bookmarkStart w:id="23" w:name="_Toc309992160"/>
      <w:bookmarkStart w:id="24" w:name="_Toc513731109"/>
      <w:bookmarkStart w:id="25" w:name="_Toc513731021"/>
      <w:bookmarkStart w:id="26" w:name="_Toc8598"/>
      <w:r>
        <w:rPr>
          <w:rFonts w:ascii="黑体" w:eastAsia="黑体" w:hAnsi="Times New Roman" w:cs="Times New Roman" w:hint="eastAsia"/>
          <w:kern w:val="0"/>
          <w:sz w:val="32"/>
          <w:szCs w:val="20"/>
          <w14:ligatures w14:val="none"/>
        </w:rPr>
        <w:lastRenderedPageBreak/>
        <w:t>目次</w:t>
      </w:r>
      <w:bookmarkEnd w:id="23"/>
      <w:bookmarkEnd w:id="24"/>
      <w:bookmarkEnd w:id="25"/>
      <w:bookmarkEnd w:id="26"/>
    </w:p>
    <w:p w14:paraId="2225D939" w14:textId="77777777" w:rsidR="00D56751" w:rsidRDefault="00000000">
      <w:pPr>
        <w:pStyle w:val="TOC1"/>
        <w:tabs>
          <w:tab w:val="right" w:leader="dot" w:pos="9355"/>
        </w:tabs>
      </w:pPr>
      <w:r>
        <w:rPr>
          <w:rFonts w:ascii="宋体" w:eastAsia="宋体" w:hAnsi="宋体" w:cs="Times New Roman"/>
          <w:sz w:val="21"/>
          <w:szCs w:val="21"/>
          <w14:ligatures w14:val="none"/>
        </w:rPr>
        <w:fldChar w:fldCharType="begin"/>
      </w:r>
      <w:r>
        <w:rPr>
          <w:rFonts w:ascii="宋体" w:eastAsia="宋体" w:hAnsi="宋体" w:cs="Times New Roman"/>
          <w:sz w:val="21"/>
          <w:szCs w:val="21"/>
          <w14:ligatures w14:val="none"/>
        </w:rPr>
        <w:instrText xml:space="preserve"> </w:instrText>
      </w:r>
      <w:r>
        <w:rPr>
          <w:rFonts w:ascii="宋体" w:eastAsia="宋体" w:hAnsi="宋体" w:cs="Times New Roman" w:hint="eastAsia"/>
          <w:sz w:val="21"/>
          <w:szCs w:val="21"/>
          <w14:ligatures w14:val="none"/>
        </w:rPr>
        <w:instrText>TOC \o "1-1" \h \z \u</w:instrText>
      </w:r>
      <w:r>
        <w:rPr>
          <w:rFonts w:ascii="宋体" w:eastAsia="宋体" w:hAnsi="宋体" w:cs="Times New Roman"/>
          <w:sz w:val="21"/>
          <w:szCs w:val="21"/>
          <w14:ligatures w14:val="none"/>
        </w:rPr>
        <w:instrText xml:space="preserve"> </w:instrText>
      </w:r>
      <w:r>
        <w:rPr>
          <w:rFonts w:ascii="宋体" w:eastAsia="宋体" w:hAnsi="宋体" w:cs="Times New Roman"/>
          <w:sz w:val="21"/>
          <w:szCs w:val="21"/>
          <w14:ligatures w14:val="none"/>
        </w:rPr>
        <w:fldChar w:fldCharType="separate"/>
      </w:r>
    </w:p>
    <w:p w14:paraId="210B19A1" w14:textId="77777777" w:rsidR="00D56751" w:rsidRDefault="00000000">
      <w:pPr>
        <w:pStyle w:val="TOC1"/>
        <w:tabs>
          <w:tab w:val="right" w:leader="dot" w:pos="9355"/>
        </w:tabs>
        <w:spacing w:beforeLines="25" w:before="78" w:afterLines="25" w:after="78" w:line="240" w:lineRule="auto"/>
        <w:rPr>
          <w:rFonts w:ascii="宋体" w:eastAsia="宋体" w:hAnsi="宋体" w:cs="宋体"/>
          <w:sz w:val="21"/>
          <w:szCs w:val="21"/>
        </w:rPr>
      </w:pPr>
      <w:hyperlink w:anchor="_Toc14720" w:history="1">
        <w:r>
          <w:rPr>
            <w:rFonts w:ascii="宋体" w:eastAsia="宋体" w:hAnsi="宋体" w:cs="宋体" w:hint="eastAsia"/>
            <w:kern w:val="44"/>
            <w:sz w:val="21"/>
            <w:szCs w:val="21"/>
            <w14:ligatures w14:val="none"/>
          </w:rPr>
          <w:t>1 编制背景</w:t>
        </w:r>
        <w:r>
          <w:rPr>
            <w:rFonts w:ascii="宋体" w:eastAsia="宋体" w:hAnsi="宋体" w:cs="宋体" w:hint="eastAsia"/>
            <w:sz w:val="21"/>
            <w:szCs w:val="21"/>
          </w:rPr>
          <w:tab/>
        </w: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PAGEREF _Toc14720 \h </w:instrText>
        </w:r>
        <w:r>
          <w:rPr>
            <w:rFonts w:ascii="宋体" w:eastAsia="宋体" w:hAnsi="宋体" w:cs="宋体" w:hint="eastAsia"/>
            <w:sz w:val="21"/>
            <w:szCs w:val="21"/>
          </w:rPr>
        </w:r>
        <w:r>
          <w:rPr>
            <w:rFonts w:ascii="宋体" w:eastAsia="宋体" w:hAnsi="宋体" w:cs="宋体" w:hint="eastAsia"/>
            <w:sz w:val="21"/>
            <w:szCs w:val="21"/>
          </w:rPr>
          <w:fldChar w:fldCharType="separate"/>
        </w:r>
        <w:r>
          <w:rPr>
            <w:rFonts w:ascii="宋体" w:eastAsia="宋体" w:hAnsi="宋体" w:cs="宋体" w:hint="eastAsia"/>
            <w:sz w:val="21"/>
            <w:szCs w:val="21"/>
          </w:rPr>
          <w:t>3</w:t>
        </w:r>
        <w:r>
          <w:rPr>
            <w:rFonts w:ascii="宋体" w:eastAsia="宋体" w:hAnsi="宋体" w:cs="宋体" w:hint="eastAsia"/>
            <w:sz w:val="21"/>
            <w:szCs w:val="21"/>
          </w:rPr>
          <w:fldChar w:fldCharType="end"/>
        </w:r>
      </w:hyperlink>
    </w:p>
    <w:p w14:paraId="41E2F8A0" w14:textId="77777777" w:rsidR="00D56751" w:rsidRDefault="00000000">
      <w:pPr>
        <w:pStyle w:val="TOC1"/>
        <w:tabs>
          <w:tab w:val="right" w:leader="dot" w:pos="9355"/>
        </w:tabs>
        <w:spacing w:beforeLines="25" w:before="78" w:afterLines="25" w:after="78" w:line="240" w:lineRule="auto"/>
        <w:rPr>
          <w:rFonts w:ascii="宋体" w:eastAsia="宋体" w:hAnsi="宋体" w:cs="宋体"/>
          <w:sz w:val="21"/>
          <w:szCs w:val="21"/>
        </w:rPr>
      </w:pPr>
      <w:hyperlink w:anchor="_Toc8007" w:history="1">
        <w:r>
          <w:rPr>
            <w:rFonts w:ascii="宋体" w:eastAsia="宋体" w:hAnsi="宋体" w:cs="宋体" w:hint="eastAsia"/>
            <w:kern w:val="44"/>
            <w:sz w:val="21"/>
            <w:szCs w:val="21"/>
            <w14:ligatures w14:val="none"/>
          </w:rPr>
          <w:t>2 编制主要原则</w:t>
        </w:r>
        <w:r>
          <w:rPr>
            <w:rFonts w:ascii="宋体" w:eastAsia="宋体" w:hAnsi="宋体" w:cs="宋体" w:hint="eastAsia"/>
            <w:sz w:val="21"/>
            <w:szCs w:val="21"/>
          </w:rPr>
          <w:tab/>
        </w: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PAGEREF _Toc8007 \h </w:instrText>
        </w:r>
        <w:r>
          <w:rPr>
            <w:rFonts w:ascii="宋体" w:eastAsia="宋体" w:hAnsi="宋体" w:cs="宋体" w:hint="eastAsia"/>
            <w:sz w:val="21"/>
            <w:szCs w:val="21"/>
          </w:rPr>
        </w:r>
        <w:r>
          <w:rPr>
            <w:rFonts w:ascii="宋体" w:eastAsia="宋体" w:hAnsi="宋体" w:cs="宋体" w:hint="eastAsia"/>
            <w:sz w:val="21"/>
            <w:szCs w:val="21"/>
          </w:rPr>
          <w:fldChar w:fldCharType="separate"/>
        </w:r>
        <w:r>
          <w:rPr>
            <w:rFonts w:ascii="宋体" w:eastAsia="宋体" w:hAnsi="宋体" w:cs="宋体" w:hint="eastAsia"/>
            <w:sz w:val="21"/>
            <w:szCs w:val="21"/>
          </w:rPr>
          <w:t>3</w:t>
        </w:r>
        <w:r>
          <w:rPr>
            <w:rFonts w:ascii="宋体" w:eastAsia="宋体" w:hAnsi="宋体" w:cs="宋体" w:hint="eastAsia"/>
            <w:sz w:val="21"/>
            <w:szCs w:val="21"/>
          </w:rPr>
          <w:fldChar w:fldCharType="end"/>
        </w:r>
      </w:hyperlink>
    </w:p>
    <w:p w14:paraId="3B68E260" w14:textId="77777777" w:rsidR="00D56751" w:rsidRDefault="00000000">
      <w:pPr>
        <w:pStyle w:val="TOC1"/>
        <w:tabs>
          <w:tab w:val="right" w:leader="dot" w:pos="9355"/>
        </w:tabs>
        <w:spacing w:beforeLines="25" w:before="78" w:afterLines="25" w:after="78" w:line="240" w:lineRule="auto"/>
        <w:rPr>
          <w:rFonts w:ascii="宋体" w:eastAsia="宋体" w:hAnsi="宋体" w:cs="宋体"/>
          <w:sz w:val="21"/>
          <w:szCs w:val="21"/>
        </w:rPr>
      </w:pPr>
      <w:hyperlink w:anchor="_Toc12690" w:history="1">
        <w:r>
          <w:rPr>
            <w:rFonts w:ascii="宋体" w:eastAsia="宋体" w:hAnsi="宋体" w:cs="宋体" w:hint="eastAsia"/>
            <w:kern w:val="44"/>
            <w:sz w:val="21"/>
            <w:szCs w:val="21"/>
            <w14:ligatures w14:val="none"/>
          </w:rPr>
          <w:t>3 主要工作过程</w:t>
        </w:r>
        <w:r>
          <w:rPr>
            <w:rFonts w:ascii="宋体" w:eastAsia="宋体" w:hAnsi="宋体" w:cs="宋体" w:hint="eastAsia"/>
            <w:sz w:val="21"/>
            <w:szCs w:val="21"/>
          </w:rPr>
          <w:tab/>
        </w: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PAGEREF _Toc12690 \h </w:instrText>
        </w:r>
        <w:r>
          <w:rPr>
            <w:rFonts w:ascii="宋体" w:eastAsia="宋体" w:hAnsi="宋体" w:cs="宋体" w:hint="eastAsia"/>
            <w:sz w:val="21"/>
            <w:szCs w:val="21"/>
          </w:rPr>
        </w:r>
        <w:r>
          <w:rPr>
            <w:rFonts w:ascii="宋体" w:eastAsia="宋体" w:hAnsi="宋体" w:cs="宋体" w:hint="eastAsia"/>
            <w:sz w:val="21"/>
            <w:szCs w:val="21"/>
          </w:rPr>
          <w:fldChar w:fldCharType="separate"/>
        </w:r>
        <w:r>
          <w:rPr>
            <w:rFonts w:ascii="宋体" w:eastAsia="宋体" w:hAnsi="宋体" w:cs="宋体" w:hint="eastAsia"/>
            <w:sz w:val="21"/>
            <w:szCs w:val="21"/>
          </w:rPr>
          <w:t>3</w:t>
        </w:r>
        <w:r>
          <w:rPr>
            <w:rFonts w:ascii="宋体" w:eastAsia="宋体" w:hAnsi="宋体" w:cs="宋体" w:hint="eastAsia"/>
            <w:sz w:val="21"/>
            <w:szCs w:val="21"/>
          </w:rPr>
          <w:fldChar w:fldCharType="end"/>
        </w:r>
      </w:hyperlink>
    </w:p>
    <w:p w14:paraId="41C144F5" w14:textId="77777777" w:rsidR="00D56751" w:rsidRDefault="00000000">
      <w:pPr>
        <w:pStyle w:val="TOC1"/>
        <w:tabs>
          <w:tab w:val="right" w:leader="dot" w:pos="9355"/>
        </w:tabs>
        <w:spacing w:beforeLines="25" w:before="78" w:afterLines="25" w:after="78" w:line="240" w:lineRule="auto"/>
        <w:rPr>
          <w:rFonts w:ascii="宋体" w:eastAsia="宋体" w:hAnsi="宋体" w:cs="宋体"/>
          <w:sz w:val="21"/>
          <w:szCs w:val="21"/>
        </w:rPr>
      </w:pPr>
      <w:hyperlink w:anchor="_Toc2879" w:history="1">
        <w:r>
          <w:rPr>
            <w:rFonts w:ascii="宋体" w:eastAsia="宋体" w:hAnsi="宋体" w:cs="宋体" w:hint="eastAsia"/>
            <w:kern w:val="44"/>
            <w:sz w:val="21"/>
            <w:szCs w:val="21"/>
            <w14:ligatures w14:val="none"/>
          </w:rPr>
          <w:t>4 标准结构和内容说明</w:t>
        </w:r>
        <w:r>
          <w:rPr>
            <w:rFonts w:ascii="宋体" w:eastAsia="宋体" w:hAnsi="宋体" w:cs="宋体" w:hint="eastAsia"/>
            <w:sz w:val="21"/>
            <w:szCs w:val="21"/>
          </w:rPr>
          <w:tab/>
        </w: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PAGEREF _Toc2879 \h </w:instrText>
        </w:r>
        <w:r>
          <w:rPr>
            <w:rFonts w:ascii="宋体" w:eastAsia="宋体" w:hAnsi="宋体" w:cs="宋体" w:hint="eastAsia"/>
            <w:sz w:val="21"/>
            <w:szCs w:val="21"/>
          </w:rPr>
        </w:r>
        <w:r>
          <w:rPr>
            <w:rFonts w:ascii="宋体" w:eastAsia="宋体" w:hAnsi="宋体" w:cs="宋体" w:hint="eastAsia"/>
            <w:sz w:val="21"/>
            <w:szCs w:val="21"/>
          </w:rPr>
          <w:fldChar w:fldCharType="separate"/>
        </w:r>
        <w:r>
          <w:rPr>
            <w:rFonts w:ascii="宋体" w:eastAsia="宋体" w:hAnsi="宋体" w:cs="宋体" w:hint="eastAsia"/>
            <w:sz w:val="21"/>
            <w:szCs w:val="21"/>
          </w:rPr>
          <w:t>4</w:t>
        </w:r>
        <w:r>
          <w:rPr>
            <w:rFonts w:ascii="宋体" w:eastAsia="宋体" w:hAnsi="宋体" w:cs="宋体" w:hint="eastAsia"/>
            <w:sz w:val="21"/>
            <w:szCs w:val="21"/>
          </w:rPr>
          <w:fldChar w:fldCharType="end"/>
        </w:r>
      </w:hyperlink>
    </w:p>
    <w:p w14:paraId="2E7F3ACE" w14:textId="77777777" w:rsidR="00D56751" w:rsidRDefault="00000000">
      <w:pPr>
        <w:pStyle w:val="TOC1"/>
        <w:tabs>
          <w:tab w:val="right" w:leader="dot" w:pos="9355"/>
        </w:tabs>
        <w:spacing w:beforeLines="25" w:before="78" w:afterLines="25" w:after="78" w:line="240" w:lineRule="auto"/>
        <w:rPr>
          <w:rFonts w:ascii="宋体" w:eastAsia="宋体" w:hAnsi="宋体" w:cs="宋体"/>
          <w:sz w:val="21"/>
          <w:szCs w:val="21"/>
        </w:rPr>
      </w:pPr>
      <w:hyperlink w:anchor="_Toc31290" w:history="1">
        <w:r>
          <w:rPr>
            <w:rFonts w:ascii="宋体" w:eastAsia="宋体" w:hAnsi="宋体" w:cs="宋体" w:hint="eastAsia"/>
            <w:kern w:val="44"/>
            <w:sz w:val="21"/>
            <w:szCs w:val="21"/>
            <w14:ligatures w14:val="none"/>
          </w:rPr>
          <w:t>5相关标准对比说明</w:t>
        </w:r>
        <w:r>
          <w:rPr>
            <w:rFonts w:ascii="宋体" w:eastAsia="宋体" w:hAnsi="宋体" w:cs="宋体" w:hint="eastAsia"/>
            <w:sz w:val="21"/>
            <w:szCs w:val="21"/>
          </w:rPr>
          <w:tab/>
        </w: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PAGEREF _Toc31290 \h </w:instrText>
        </w:r>
        <w:r>
          <w:rPr>
            <w:rFonts w:ascii="宋体" w:eastAsia="宋体" w:hAnsi="宋体" w:cs="宋体" w:hint="eastAsia"/>
            <w:sz w:val="21"/>
            <w:szCs w:val="21"/>
          </w:rPr>
        </w:r>
        <w:r>
          <w:rPr>
            <w:rFonts w:ascii="宋体" w:eastAsia="宋体" w:hAnsi="宋体" w:cs="宋体" w:hint="eastAsia"/>
            <w:sz w:val="21"/>
            <w:szCs w:val="21"/>
          </w:rPr>
          <w:fldChar w:fldCharType="separate"/>
        </w:r>
        <w:r>
          <w:rPr>
            <w:rFonts w:ascii="宋体" w:eastAsia="宋体" w:hAnsi="宋体" w:cs="宋体" w:hint="eastAsia"/>
            <w:sz w:val="21"/>
            <w:szCs w:val="21"/>
          </w:rPr>
          <w:t>4</w:t>
        </w:r>
        <w:r>
          <w:rPr>
            <w:rFonts w:ascii="宋体" w:eastAsia="宋体" w:hAnsi="宋体" w:cs="宋体" w:hint="eastAsia"/>
            <w:sz w:val="21"/>
            <w:szCs w:val="21"/>
          </w:rPr>
          <w:fldChar w:fldCharType="end"/>
        </w:r>
      </w:hyperlink>
    </w:p>
    <w:p w14:paraId="61FFB578" w14:textId="77777777" w:rsidR="00D56751" w:rsidRDefault="00000000">
      <w:pPr>
        <w:pStyle w:val="TOC1"/>
        <w:tabs>
          <w:tab w:val="right" w:leader="dot" w:pos="9355"/>
        </w:tabs>
        <w:spacing w:beforeLines="25" w:before="78" w:afterLines="25" w:after="78" w:line="240" w:lineRule="auto"/>
        <w:rPr>
          <w:rFonts w:ascii="宋体" w:eastAsia="宋体" w:hAnsi="宋体" w:cs="宋体"/>
          <w:sz w:val="21"/>
          <w:szCs w:val="21"/>
        </w:rPr>
      </w:pPr>
      <w:hyperlink w:anchor="_Toc28726" w:history="1">
        <w:r>
          <w:rPr>
            <w:rFonts w:ascii="宋体" w:eastAsia="宋体" w:hAnsi="宋体" w:cs="宋体" w:hint="eastAsia"/>
            <w:kern w:val="44"/>
            <w:sz w:val="21"/>
            <w:szCs w:val="21"/>
            <w14:ligatures w14:val="none"/>
          </w:rPr>
          <w:t>6标准实施措施说明</w:t>
        </w:r>
        <w:r>
          <w:rPr>
            <w:rFonts w:ascii="宋体" w:eastAsia="宋体" w:hAnsi="宋体" w:cs="宋体" w:hint="eastAsia"/>
            <w:sz w:val="21"/>
            <w:szCs w:val="21"/>
          </w:rPr>
          <w:tab/>
        </w: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PAGEREF _Toc28726 \h </w:instrText>
        </w:r>
        <w:r>
          <w:rPr>
            <w:rFonts w:ascii="宋体" w:eastAsia="宋体" w:hAnsi="宋体" w:cs="宋体" w:hint="eastAsia"/>
            <w:sz w:val="21"/>
            <w:szCs w:val="21"/>
          </w:rPr>
        </w:r>
        <w:r>
          <w:rPr>
            <w:rFonts w:ascii="宋体" w:eastAsia="宋体" w:hAnsi="宋体" w:cs="宋体" w:hint="eastAsia"/>
            <w:sz w:val="21"/>
            <w:szCs w:val="21"/>
          </w:rPr>
          <w:fldChar w:fldCharType="separate"/>
        </w:r>
        <w:r>
          <w:rPr>
            <w:rFonts w:ascii="宋体" w:eastAsia="宋体" w:hAnsi="宋体" w:cs="宋体" w:hint="eastAsia"/>
            <w:sz w:val="21"/>
            <w:szCs w:val="21"/>
          </w:rPr>
          <w:t>5</w:t>
        </w:r>
        <w:r>
          <w:rPr>
            <w:rFonts w:ascii="宋体" w:eastAsia="宋体" w:hAnsi="宋体" w:cs="宋体" w:hint="eastAsia"/>
            <w:sz w:val="21"/>
            <w:szCs w:val="21"/>
          </w:rPr>
          <w:fldChar w:fldCharType="end"/>
        </w:r>
      </w:hyperlink>
    </w:p>
    <w:p w14:paraId="29E1A51F" w14:textId="77777777" w:rsidR="00D56751" w:rsidRDefault="00000000">
      <w:pPr>
        <w:widowControl/>
        <w:tabs>
          <w:tab w:val="center" w:pos="4201"/>
          <w:tab w:val="right" w:leader="dot" w:pos="9298"/>
        </w:tabs>
        <w:autoSpaceDE w:val="0"/>
        <w:autoSpaceDN w:val="0"/>
        <w:spacing w:after="0" w:line="240" w:lineRule="auto"/>
        <w:ind w:firstLineChars="200" w:firstLine="440"/>
        <w:jc w:val="both"/>
        <w:rPr>
          <w:rFonts w:ascii="宋体" w:eastAsia="宋体" w:hAnsi="宋体" w:cs="Times New Roman"/>
          <w:kern w:val="0"/>
          <w:sz w:val="21"/>
          <w:szCs w:val="21"/>
          <w14:ligatures w14:val="none"/>
        </w:rPr>
      </w:pPr>
      <w:r>
        <w:rPr>
          <w:rFonts w:ascii="宋体" w:eastAsia="宋体" w:hAnsi="宋体" w:cs="Times New Roman"/>
          <w:kern w:val="0"/>
          <w:szCs w:val="21"/>
          <w14:ligatures w14:val="none"/>
        </w:rPr>
        <w:fldChar w:fldCharType="end"/>
      </w:r>
    </w:p>
    <w:p w14:paraId="508858A6" w14:textId="77777777" w:rsidR="00D56751" w:rsidRDefault="00D56751">
      <w:pPr>
        <w:widowControl/>
        <w:tabs>
          <w:tab w:val="center" w:pos="4201"/>
          <w:tab w:val="right" w:leader="dot" w:pos="9298"/>
        </w:tabs>
        <w:autoSpaceDE w:val="0"/>
        <w:autoSpaceDN w:val="0"/>
        <w:spacing w:after="0" w:line="240" w:lineRule="auto"/>
        <w:ind w:firstLineChars="200" w:firstLine="420"/>
        <w:jc w:val="both"/>
        <w:rPr>
          <w:rFonts w:ascii="宋体" w:eastAsia="宋体" w:hAnsi="宋体" w:cs="Times New Roman"/>
          <w:kern w:val="0"/>
          <w:sz w:val="21"/>
          <w:szCs w:val="21"/>
          <w14:ligatures w14:val="none"/>
        </w:rPr>
      </w:pPr>
    </w:p>
    <w:p w14:paraId="19BDAF99" w14:textId="77777777" w:rsidR="00D56751" w:rsidRDefault="00D56751">
      <w:pPr>
        <w:widowControl/>
        <w:tabs>
          <w:tab w:val="center" w:pos="4201"/>
          <w:tab w:val="right" w:leader="dot" w:pos="9298"/>
        </w:tabs>
        <w:autoSpaceDE w:val="0"/>
        <w:autoSpaceDN w:val="0"/>
        <w:spacing w:after="0" w:line="240" w:lineRule="auto"/>
        <w:ind w:firstLineChars="200" w:firstLine="420"/>
        <w:jc w:val="both"/>
        <w:rPr>
          <w:rFonts w:ascii="宋体" w:eastAsia="宋体" w:hAnsi="宋体" w:cs="Times New Roman"/>
          <w:kern w:val="0"/>
          <w:sz w:val="21"/>
          <w:szCs w:val="21"/>
          <w14:ligatures w14:val="none"/>
        </w:rPr>
      </w:pPr>
    </w:p>
    <w:p w14:paraId="1D064B83" w14:textId="77777777" w:rsidR="00D56751" w:rsidRDefault="00D56751">
      <w:pPr>
        <w:widowControl/>
        <w:tabs>
          <w:tab w:val="center" w:pos="4201"/>
          <w:tab w:val="right" w:leader="dot" w:pos="9298"/>
        </w:tabs>
        <w:autoSpaceDE w:val="0"/>
        <w:autoSpaceDN w:val="0"/>
        <w:spacing w:after="0" w:line="240" w:lineRule="auto"/>
        <w:ind w:firstLineChars="200" w:firstLine="420"/>
        <w:jc w:val="both"/>
        <w:rPr>
          <w:rFonts w:ascii="宋体" w:eastAsia="宋体" w:hAnsi="宋体" w:cs="Times New Roman"/>
          <w:kern w:val="0"/>
          <w:sz w:val="21"/>
          <w:szCs w:val="21"/>
          <w14:ligatures w14:val="none"/>
        </w:rPr>
      </w:pPr>
    </w:p>
    <w:p w14:paraId="158BACA5" w14:textId="77777777" w:rsidR="00D56751" w:rsidRDefault="00D56751">
      <w:pPr>
        <w:widowControl/>
        <w:tabs>
          <w:tab w:val="center" w:pos="4201"/>
          <w:tab w:val="right" w:leader="dot" w:pos="9298"/>
        </w:tabs>
        <w:autoSpaceDE w:val="0"/>
        <w:autoSpaceDN w:val="0"/>
        <w:spacing w:after="0" w:line="240" w:lineRule="auto"/>
        <w:ind w:firstLineChars="200" w:firstLine="420"/>
        <w:jc w:val="both"/>
        <w:rPr>
          <w:rFonts w:ascii="宋体" w:eastAsia="宋体" w:hAnsi="宋体" w:cs="Times New Roman"/>
          <w:kern w:val="0"/>
          <w:sz w:val="21"/>
          <w:szCs w:val="21"/>
          <w14:ligatures w14:val="none"/>
        </w:rPr>
        <w:sectPr w:rsidR="00D56751">
          <w:headerReference w:type="default" r:id="rId11"/>
          <w:footerReference w:type="default" r:id="rId12"/>
          <w:pgSz w:w="11906" w:h="16838"/>
          <w:pgMar w:top="567" w:right="1134" w:bottom="1134" w:left="1417" w:header="1418" w:footer="1134" w:gutter="0"/>
          <w:cols w:space="720"/>
          <w:formProt w:val="0"/>
          <w:docGrid w:type="lines" w:linePitch="312"/>
        </w:sectPr>
      </w:pPr>
    </w:p>
    <w:p w14:paraId="2A6AF76E" w14:textId="77777777" w:rsidR="00D56751" w:rsidRDefault="00000000">
      <w:pPr>
        <w:keepNext/>
        <w:keepLines/>
        <w:spacing w:beforeLines="100" w:before="312" w:afterLines="100" w:after="312" w:line="240" w:lineRule="auto"/>
        <w:jc w:val="both"/>
        <w:outlineLvl w:val="0"/>
        <w:rPr>
          <w:rFonts w:ascii="宋体" w:eastAsia="黑体" w:hAnsi="宋体" w:cs="Times New Roman"/>
          <w:kern w:val="44"/>
          <w:sz w:val="21"/>
          <w:szCs w:val="21"/>
          <w14:ligatures w14:val="none"/>
        </w:rPr>
      </w:pPr>
      <w:bookmarkStart w:id="27" w:name="_Toc14720"/>
      <w:r>
        <w:rPr>
          <w:rFonts w:ascii="宋体" w:eastAsia="黑体" w:hAnsi="宋体" w:cs="Times New Roman" w:hint="eastAsia"/>
          <w:kern w:val="44"/>
          <w:sz w:val="21"/>
          <w:szCs w:val="21"/>
          <w14:ligatures w14:val="none"/>
        </w:rPr>
        <w:lastRenderedPageBreak/>
        <w:t xml:space="preserve">1 </w:t>
      </w:r>
      <w:r>
        <w:rPr>
          <w:rFonts w:ascii="宋体" w:eastAsia="黑体" w:hAnsi="宋体" w:cs="Times New Roman" w:hint="eastAsia"/>
          <w:kern w:val="44"/>
          <w:sz w:val="21"/>
          <w:szCs w:val="21"/>
          <w14:ligatures w14:val="none"/>
        </w:rPr>
        <w:t>编制背景</w:t>
      </w:r>
      <w:bookmarkEnd w:id="27"/>
    </w:p>
    <w:p w14:paraId="64A3075B" w14:textId="77777777" w:rsidR="00D56751" w:rsidRDefault="00000000">
      <w:pPr>
        <w:widowControl/>
        <w:tabs>
          <w:tab w:val="center" w:pos="4201"/>
          <w:tab w:val="right" w:leader="dot" w:pos="9298"/>
        </w:tabs>
        <w:autoSpaceDE w:val="0"/>
        <w:autoSpaceDN w:val="0"/>
        <w:spacing w:after="0" w:line="240" w:lineRule="auto"/>
        <w:ind w:firstLineChars="200" w:firstLine="420"/>
        <w:jc w:val="both"/>
        <w:rPr>
          <w:rFonts w:ascii="宋体" w:eastAsia="宋体" w:hAnsi="Times New Roman" w:cs="Times New Roman"/>
          <w:kern w:val="0"/>
          <w:sz w:val="21"/>
          <w:szCs w:val="20"/>
          <w14:ligatures w14:val="none"/>
        </w:rPr>
      </w:pPr>
      <w:r>
        <w:rPr>
          <w:rFonts w:ascii="宋体" w:eastAsia="宋体" w:hAnsi="Times New Roman" w:cs="Times New Roman" w:hint="eastAsia"/>
          <w:kern w:val="0"/>
          <w:sz w:val="21"/>
          <w:szCs w:val="20"/>
          <w14:ligatures w14:val="none"/>
        </w:rPr>
        <w:t>本标准是根据电机氢能专函（2023）5号文，</w:t>
      </w:r>
      <w:r>
        <w:rPr>
          <w:rFonts w:ascii="宋体" w:eastAsia="宋体" w:hAnsi="Times New Roman" w:cs="Times New Roman"/>
          <w:kern w:val="0"/>
          <w:sz w:val="21"/>
          <w:szCs w:val="20"/>
          <w14:ligatures w14:val="none"/>
        </w:rPr>
        <w:t>“</w:t>
      </w:r>
      <w:r>
        <w:rPr>
          <w:rFonts w:ascii="宋体" w:eastAsia="宋体" w:hAnsi="Times New Roman" w:cs="Times New Roman"/>
          <w:kern w:val="0"/>
          <w:sz w:val="21"/>
          <w:szCs w:val="20"/>
          <w14:ligatures w14:val="none"/>
        </w:rPr>
        <w:t>关于下达20</w:t>
      </w:r>
      <w:r>
        <w:rPr>
          <w:rFonts w:ascii="宋体" w:eastAsia="宋体" w:hAnsi="Times New Roman" w:cs="Times New Roman" w:hint="eastAsia"/>
          <w:kern w:val="0"/>
          <w:sz w:val="21"/>
          <w:szCs w:val="20"/>
          <w14:ligatures w14:val="none"/>
        </w:rPr>
        <w:t>13</w:t>
      </w:r>
      <w:r>
        <w:rPr>
          <w:rFonts w:ascii="宋体" w:eastAsia="宋体" w:hAnsi="Times New Roman" w:cs="Times New Roman"/>
          <w:kern w:val="0"/>
          <w:sz w:val="21"/>
          <w:szCs w:val="20"/>
          <w14:ligatures w14:val="none"/>
        </w:rPr>
        <w:t>年制订、修订标准计划项目的通知</w:t>
      </w:r>
      <w:r>
        <w:rPr>
          <w:rFonts w:ascii="宋体" w:eastAsia="宋体" w:hAnsi="Times New Roman" w:cs="Times New Roman"/>
          <w:kern w:val="0"/>
          <w:sz w:val="21"/>
          <w:szCs w:val="20"/>
          <w14:ligatures w14:val="none"/>
        </w:rPr>
        <w:t>”</w:t>
      </w:r>
      <w:r>
        <w:rPr>
          <w:rFonts w:ascii="宋体" w:eastAsia="宋体" w:hAnsi="Times New Roman" w:cs="Times New Roman"/>
          <w:kern w:val="0"/>
          <w:sz w:val="21"/>
          <w:szCs w:val="20"/>
          <w14:ligatures w14:val="none"/>
        </w:rPr>
        <w:t>下达</w:t>
      </w:r>
      <w:r>
        <w:rPr>
          <w:rFonts w:ascii="宋体" w:eastAsia="宋体" w:hAnsi="Times New Roman" w:cs="Times New Roman" w:hint="eastAsia"/>
          <w:kern w:val="0"/>
          <w:sz w:val="21"/>
          <w:szCs w:val="20"/>
          <w14:ligatures w14:val="none"/>
        </w:rPr>
        <w:t>的制定</w:t>
      </w:r>
      <w:r>
        <w:rPr>
          <w:rFonts w:ascii="宋体" w:eastAsia="宋体" w:hAnsi="Times New Roman" w:cs="Times New Roman"/>
          <w:kern w:val="0"/>
          <w:sz w:val="21"/>
          <w:szCs w:val="20"/>
          <w14:ligatures w14:val="none"/>
        </w:rPr>
        <w:t>任务</w:t>
      </w:r>
      <w:r>
        <w:rPr>
          <w:rFonts w:ascii="宋体" w:eastAsia="宋体" w:hAnsi="Times New Roman" w:cs="Times New Roman" w:hint="eastAsia"/>
          <w:kern w:val="0"/>
          <w:sz w:val="21"/>
          <w:szCs w:val="20"/>
          <w14:ligatures w14:val="none"/>
        </w:rPr>
        <w:t>，项目序号3对“水电解制氢系统运行维护规程”进行制定的</w:t>
      </w:r>
      <w:r>
        <w:rPr>
          <w:rFonts w:ascii="宋体" w:eastAsia="宋体" w:hAnsi="Times New Roman" w:cs="Times New Roman"/>
          <w:kern w:val="0"/>
          <w:sz w:val="21"/>
          <w:szCs w:val="20"/>
          <w14:ligatures w14:val="none"/>
        </w:rPr>
        <w:t>。</w:t>
      </w:r>
      <w:r>
        <w:rPr>
          <w:rFonts w:ascii="宋体" w:eastAsia="宋体" w:hAnsi="Times New Roman" w:cs="Times New Roman" w:hint="eastAsia"/>
          <w:kern w:val="0"/>
          <w:sz w:val="21"/>
          <w:szCs w:val="20"/>
          <w14:ligatures w14:val="none"/>
        </w:rPr>
        <w:t>由国网智能电网研究院有限公司</w:t>
      </w:r>
      <w:r>
        <w:rPr>
          <w:rFonts w:ascii="宋体" w:eastAsia="宋体" w:hAnsi="Times New Roman" w:cs="Times New Roman"/>
          <w:kern w:val="0"/>
          <w:sz w:val="21"/>
          <w:szCs w:val="20"/>
          <w14:ligatures w14:val="none"/>
        </w:rPr>
        <w:t>负责起草。</w:t>
      </w:r>
    </w:p>
    <w:p w14:paraId="5D5E2A70" w14:textId="77777777" w:rsidR="00D56751" w:rsidRDefault="00000000">
      <w:pPr>
        <w:widowControl/>
        <w:tabs>
          <w:tab w:val="center" w:pos="4201"/>
          <w:tab w:val="right" w:leader="dot" w:pos="9298"/>
        </w:tabs>
        <w:autoSpaceDE w:val="0"/>
        <w:autoSpaceDN w:val="0"/>
        <w:spacing w:after="0" w:line="240" w:lineRule="auto"/>
        <w:ind w:firstLineChars="200" w:firstLine="420"/>
        <w:jc w:val="both"/>
        <w:rPr>
          <w:rFonts w:ascii="宋体" w:eastAsia="宋体" w:hAnsi="Times New Roman" w:cs="Times New Roman"/>
          <w:kern w:val="0"/>
          <w:sz w:val="21"/>
          <w:szCs w:val="20"/>
          <w14:ligatures w14:val="none"/>
        </w:rPr>
      </w:pPr>
      <w:r>
        <w:rPr>
          <w:rFonts w:ascii="宋体" w:eastAsia="宋体" w:hAnsi="Times New Roman" w:cs="Times New Roman" w:hint="eastAsia"/>
          <w:kern w:val="0"/>
          <w:sz w:val="21"/>
          <w:szCs w:val="20"/>
          <w14:ligatures w14:val="none"/>
        </w:rPr>
        <w:t>氢能是实现碳达峰碳中和愿景目标的重要途径。氢能清洁、高效、安全、可持续，既是重要的化工原料又是重要的能源载体，可广泛用于化工、交通、冶金等领域，应用前景广阔，通过可再生能源制取的绿氢，可作为能源互联转化的重要媒介，推动能源清洁高效利用，促进大规模深度脱碳，是实现碳达峰碳中和愿景目标的重要途径。</w:t>
      </w:r>
    </w:p>
    <w:p w14:paraId="008EF89D" w14:textId="77777777" w:rsidR="00D56751" w:rsidRDefault="00000000">
      <w:pPr>
        <w:widowControl/>
        <w:tabs>
          <w:tab w:val="center" w:pos="4201"/>
          <w:tab w:val="right" w:leader="dot" w:pos="9298"/>
        </w:tabs>
        <w:autoSpaceDE w:val="0"/>
        <w:autoSpaceDN w:val="0"/>
        <w:spacing w:after="0" w:line="240" w:lineRule="auto"/>
        <w:ind w:firstLineChars="200" w:firstLine="420"/>
        <w:jc w:val="both"/>
        <w:rPr>
          <w:rFonts w:ascii="宋体" w:eastAsia="宋体" w:hAnsi="Times New Roman" w:cs="Times New Roman"/>
          <w:kern w:val="0"/>
          <w:sz w:val="21"/>
          <w:szCs w:val="20"/>
          <w14:ligatures w14:val="none"/>
        </w:rPr>
      </w:pPr>
      <w:r>
        <w:rPr>
          <w:rFonts w:ascii="宋体" w:eastAsia="宋体" w:hAnsi="Times New Roman" w:cs="Times New Roman" w:hint="eastAsia"/>
          <w:kern w:val="0"/>
          <w:sz w:val="21"/>
          <w:szCs w:val="20"/>
          <w14:ligatures w14:val="none"/>
        </w:rPr>
        <w:t>在“双碳”目标下，新能源装机规模大幅提升、规模化可调资源匮乏，氢能是极具潜力的长时储能技术，规模巨大的制氢设备可作为可交互、可调控资源，支撑电网安全稳定运行。据《中国氢能源及燃料电池产业白皮书2020》预测，2030年电解制氢装机将达80GW，利用可再生能源电力制氢可促进富余可再生能源消纳，平抑可再生能源的长周期波动性和间歇性，实现最大程度能量储存和转移利用，同时作为规模化可控负荷，其灵活调节能力和规模化效应，为电网削峰填谷、调峰调频提供新的技术手段。</w:t>
      </w:r>
    </w:p>
    <w:p w14:paraId="07E43E0F" w14:textId="77777777" w:rsidR="00D56751" w:rsidRDefault="00000000">
      <w:pPr>
        <w:widowControl/>
        <w:tabs>
          <w:tab w:val="center" w:pos="4201"/>
          <w:tab w:val="right" w:leader="dot" w:pos="9298"/>
        </w:tabs>
        <w:autoSpaceDE w:val="0"/>
        <w:autoSpaceDN w:val="0"/>
        <w:spacing w:after="0" w:line="240" w:lineRule="auto"/>
        <w:ind w:firstLineChars="200" w:firstLine="420"/>
        <w:jc w:val="both"/>
        <w:rPr>
          <w:rFonts w:ascii="宋体" w:eastAsia="宋体" w:hAnsi="Times New Roman" w:cs="Times New Roman"/>
          <w:kern w:val="0"/>
          <w:sz w:val="21"/>
          <w:szCs w:val="20"/>
          <w14:ligatures w14:val="none"/>
        </w:rPr>
      </w:pPr>
      <w:r>
        <w:rPr>
          <w:rFonts w:ascii="宋体" w:eastAsia="宋体" w:hAnsi="Times New Roman" w:cs="Times New Roman" w:hint="eastAsia"/>
          <w:kern w:val="0"/>
          <w:sz w:val="21"/>
          <w:szCs w:val="20"/>
          <w14:ligatures w14:val="none"/>
        </w:rPr>
        <w:t>将规模巨大的电解制氢作为可调资源，通过跨能源领域的氢能需求预测及调控，可将其转化为电网区域性跨时空调度资源与长周期电力供需平衡手段，在新能源消纳、应急保供等多场景发挥应用，保障未来新能源为主体的新型电力系统的安全稳定运行。</w:t>
      </w:r>
    </w:p>
    <w:p w14:paraId="5A2D8091" w14:textId="77777777" w:rsidR="00D56751" w:rsidRDefault="00000000">
      <w:pPr>
        <w:widowControl/>
        <w:tabs>
          <w:tab w:val="center" w:pos="4201"/>
          <w:tab w:val="right" w:leader="dot" w:pos="9298"/>
        </w:tabs>
        <w:autoSpaceDE w:val="0"/>
        <w:autoSpaceDN w:val="0"/>
        <w:spacing w:after="0" w:line="240" w:lineRule="auto"/>
        <w:ind w:firstLineChars="200" w:firstLine="420"/>
        <w:jc w:val="both"/>
        <w:rPr>
          <w:rFonts w:ascii="宋体" w:eastAsia="宋体" w:hAnsi="Times New Roman" w:cs="Times New Roman"/>
          <w:kern w:val="0"/>
          <w:sz w:val="21"/>
          <w:szCs w:val="20"/>
          <w14:ligatures w14:val="none"/>
        </w:rPr>
      </w:pPr>
      <w:r>
        <w:rPr>
          <w:rFonts w:ascii="宋体" w:eastAsia="宋体" w:hAnsi="Times New Roman" w:cs="Times New Roman" w:hint="eastAsia"/>
          <w:kern w:val="0"/>
          <w:sz w:val="21"/>
          <w:szCs w:val="20"/>
          <w14:ligatures w14:val="none"/>
        </w:rPr>
        <w:t>而电解制氢是一个精密的化工系统，输入水和电，产出气和热；水、热、电、气、力多能流和质流相互交织，宏观能质传输和微观电化学反应同步进行，过程异常复杂，需要规范运行保证系统安全稳定运行。同时，制氢系统运行过程中遇到问题及时处理，同时需要定期开展转动设备、阀门、仪表、压力容器等校验、检查、更换以及维护。运行维护相关标准可以指导制氢系统运行，提升其可靠性。</w:t>
      </w:r>
    </w:p>
    <w:p w14:paraId="1EAA2C15" w14:textId="77777777" w:rsidR="00D56751" w:rsidRDefault="00000000">
      <w:pPr>
        <w:widowControl/>
        <w:tabs>
          <w:tab w:val="center" w:pos="4201"/>
          <w:tab w:val="right" w:leader="dot" w:pos="9298"/>
        </w:tabs>
        <w:autoSpaceDE w:val="0"/>
        <w:autoSpaceDN w:val="0"/>
        <w:spacing w:after="0" w:line="240" w:lineRule="auto"/>
        <w:ind w:firstLineChars="200" w:firstLine="420"/>
        <w:jc w:val="both"/>
        <w:rPr>
          <w:rFonts w:ascii="宋体" w:eastAsia="宋体" w:hAnsi="Times New Roman" w:cs="Times New Roman"/>
          <w:kern w:val="0"/>
          <w:sz w:val="21"/>
          <w:szCs w:val="20"/>
          <w14:ligatures w14:val="none"/>
        </w:rPr>
      </w:pPr>
      <w:r>
        <w:rPr>
          <w:rFonts w:ascii="宋体" w:eastAsia="宋体" w:hAnsi="Times New Roman" w:cs="Times New Roman" w:hint="eastAsia"/>
          <w:kern w:val="0"/>
          <w:sz w:val="21"/>
          <w:szCs w:val="20"/>
          <w14:ligatures w14:val="none"/>
        </w:rPr>
        <w:t>目前，国内现有电解制氢技术的标准主要集中在适用条件、范围以及制氢系统本体技术要求，尚未制定制氢系统的运行维护相关标准。电解制氢作为灵活可调负荷，可以用于新型电力系统源、网、荷侧。制氢系统面临复杂运行工况，亟需面向电力系统开展制氢运行维护规范，指导制氢系统在电力系统不同场景下的运行，强化安全风险的管理，提升制氢系统的可靠性，本标准可填补电解制氢系统运维相关标准的缺失，让行业针对制氢系统的运行和维护有标准可依，稳固产业运行，夯实行业需求，本标准可以应用于电力系统氢储能电站、新能源及可再生能源系统水电解制氢、氢能综合利用示范工程及氢电耦合直流微网示范工程等典型场景的水电解制氢系统，还可以应用于风、光等新能源发电区以氢为中间载体的氢-氨-烃等综合氢能利用示范区。</w:t>
      </w:r>
    </w:p>
    <w:p w14:paraId="0169E4EB" w14:textId="77777777" w:rsidR="00D56751" w:rsidRDefault="00000000">
      <w:pPr>
        <w:keepNext/>
        <w:keepLines/>
        <w:spacing w:beforeLines="100" w:before="312" w:afterLines="100" w:after="312" w:line="240" w:lineRule="auto"/>
        <w:jc w:val="both"/>
        <w:outlineLvl w:val="0"/>
        <w:rPr>
          <w:rFonts w:ascii="宋体" w:eastAsia="黑体" w:hAnsi="宋体" w:cs="Times New Roman"/>
          <w:kern w:val="44"/>
          <w:sz w:val="21"/>
          <w:szCs w:val="21"/>
          <w14:ligatures w14:val="none"/>
        </w:rPr>
      </w:pPr>
      <w:bookmarkStart w:id="28" w:name="_Toc8007"/>
      <w:r>
        <w:rPr>
          <w:rFonts w:ascii="宋体" w:eastAsia="黑体" w:hAnsi="宋体" w:cs="Times New Roman" w:hint="eastAsia"/>
          <w:kern w:val="44"/>
          <w:sz w:val="21"/>
          <w:szCs w:val="21"/>
          <w14:ligatures w14:val="none"/>
        </w:rPr>
        <w:t xml:space="preserve">2 </w:t>
      </w:r>
      <w:r>
        <w:rPr>
          <w:rFonts w:ascii="宋体" w:eastAsia="黑体" w:hAnsi="宋体" w:cs="Times New Roman" w:hint="eastAsia"/>
          <w:kern w:val="44"/>
          <w:sz w:val="21"/>
          <w:szCs w:val="21"/>
          <w14:ligatures w14:val="none"/>
        </w:rPr>
        <w:t>编制主要原则</w:t>
      </w:r>
      <w:bookmarkEnd w:id="28"/>
    </w:p>
    <w:p w14:paraId="567FC331" w14:textId="77777777" w:rsidR="00D56751" w:rsidRDefault="00000000">
      <w:pPr>
        <w:widowControl/>
        <w:tabs>
          <w:tab w:val="center" w:pos="4201"/>
          <w:tab w:val="right" w:leader="dot" w:pos="9298"/>
        </w:tabs>
        <w:autoSpaceDE w:val="0"/>
        <w:autoSpaceDN w:val="0"/>
        <w:spacing w:after="0" w:line="240" w:lineRule="auto"/>
        <w:ind w:firstLineChars="200" w:firstLine="420"/>
        <w:jc w:val="both"/>
        <w:rPr>
          <w:rFonts w:ascii="宋体" w:eastAsia="宋体" w:hAnsi="Times New Roman" w:cs="Times New Roman"/>
          <w:kern w:val="0"/>
          <w:sz w:val="21"/>
          <w:szCs w:val="20"/>
          <w14:ligatures w14:val="none"/>
        </w:rPr>
      </w:pPr>
      <w:r>
        <w:rPr>
          <w:rFonts w:ascii="宋体" w:eastAsia="宋体" w:hAnsi="Times New Roman" w:cs="Times New Roman" w:hint="eastAsia"/>
          <w:kern w:val="0"/>
          <w:sz w:val="21"/>
          <w:szCs w:val="20"/>
          <w14:ligatures w14:val="none"/>
        </w:rPr>
        <w:t>本次标准在起草过程中，遵循“统一性、协调性、适用性、一致性和规范性”的原则，按照《GB/T 1.1—2020 标准化工作导则第1部分：标准化文件的结构和起草规则》的规定编制，并与相关标准协调统一。</w:t>
      </w:r>
    </w:p>
    <w:p w14:paraId="7E701500" w14:textId="77777777" w:rsidR="00D56751" w:rsidRDefault="00000000">
      <w:pPr>
        <w:keepNext/>
        <w:keepLines/>
        <w:spacing w:beforeLines="100" w:before="312" w:afterLines="100" w:after="312" w:line="240" w:lineRule="auto"/>
        <w:jc w:val="both"/>
        <w:outlineLvl w:val="0"/>
        <w:rPr>
          <w:rFonts w:ascii="宋体" w:eastAsia="黑体" w:hAnsi="宋体" w:cs="Times New Roman"/>
          <w:kern w:val="44"/>
          <w:sz w:val="21"/>
          <w:szCs w:val="21"/>
          <w14:ligatures w14:val="none"/>
        </w:rPr>
      </w:pPr>
      <w:bookmarkStart w:id="29" w:name="_Toc12690"/>
      <w:r>
        <w:rPr>
          <w:rFonts w:ascii="宋体" w:eastAsia="黑体" w:hAnsi="宋体" w:cs="Times New Roman" w:hint="eastAsia"/>
          <w:kern w:val="44"/>
          <w:sz w:val="21"/>
          <w:szCs w:val="21"/>
          <w14:ligatures w14:val="none"/>
        </w:rPr>
        <w:t xml:space="preserve">3 </w:t>
      </w:r>
      <w:r>
        <w:rPr>
          <w:rFonts w:ascii="宋体" w:eastAsia="黑体" w:hAnsi="宋体" w:cs="Times New Roman" w:hint="eastAsia"/>
          <w:kern w:val="44"/>
          <w:sz w:val="21"/>
          <w:szCs w:val="21"/>
          <w14:ligatures w14:val="none"/>
        </w:rPr>
        <w:t>主要工作过程</w:t>
      </w:r>
      <w:bookmarkEnd w:id="29"/>
    </w:p>
    <w:p w14:paraId="2CE2A360" w14:textId="77777777" w:rsidR="00D56751" w:rsidRDefault="00000000">
      <w:pPr>
        <w:spacing w:after="0" w:line="240" w:lineRule="auto"/>
        <w:ind w:firstLineChars="200" w:firstLine="420"/>
        <w:jc w:val="both"/>
        <w:rPr>
          <w:rFonts w:ascii="Calibri" w:eastAsia="宋体" w:hAnsi="Calibri" w:cs="Times New Roman"/>
          <w:sz w:val="21"/>
          <w:szCs w:val="22"/>
          <w14:ligatures w14:val="none"/>
        </w:rPr>
      </w:pPr>
      <w:r>
        <w:rPr>
          <w:rFonts w:ascii="Calibri" w:eastAsia="宋体" w:hAnsi="Calibri" w:cs="Times New Roman" w:hint="eastAsia"/>
          <w:sz w:val="21"/>
          <w:szCs w:val="22"/>
          <w14:ligatures w14:val="none"/>
        </w:rPr>
        <w:t>（</w:t>
      </w:r>
      <w:r>
        <w:rPr>
          <w:rFonts w:ascii="Calibri" w:eastAsia="宋体" w:hAnsi="Calibri" w:cs="Times New Roman" w:hint="eastAsia"/>
          <w:sz w:val="21"/>
          <w:szCs w:val="22"/>
          <w14:ligatures w14:val="none"/>
        </w:rPr>
        <w:t>1</w:t>
      </w:r>
      <w:r>
        <w:rPr>
          <w:rFonts w:ascii="Calibri" w:eastAsia="宋体" w:hAnsi="Calibri" w:cs="Times New Roman" w:hint="eastAsia"/>
          <w:sz w:val="21"/>
          <w:szCs w:val="22"/>
          <w14:ligatures w14:val="none"/>
        </w:rPr>
        <w:t>）</w:t>
      </w:r>
      <w:r>
        <w:rPr>
          <w:rFonts w:ascii="Calibri" w:eastAsia="宋体" w:hAnsi="Calibri" w:cs="Times New Roman" w:hint="eastAsia"/>
          <w:sz w:val="21"/>
          <w:szCs w:val="22"/>
          <w14:ligatures w14:val="none"/>
        </w:rPr>
        <w:t>2023</w:t>
      </w:r>
      <w:r>
        <w:rPr>
          <w:rFonts w:ascii="Calibri" w:eastAsia="宋体" w:hAnsi="Calibri" w:cs="Times New Roman" w:hint="eastAsia"/>
          <w:sz w:val="21"/>
          <w:szCs w:val="22"/>
          <w14:ligatures w14:val="none"/>
        </w:rPr>
        <w:t>年</w:t>
      </w:r>
      <w:r>
        <w:rPr>
          <w:rFonts w:ascii="Calibri" w:eastAsia="宋体" w:hAnsi="Calibri" w:cs="Times New Roman" w:hint="eastAsia"/>
          <w:sz w:val="21"/>
          <w:szCs w:val="22"/>
          <w14:ligatures w14:val="none"/>
        </w:rPr>
        <w:t>8</w:t>
      </w:r>
      <w:r>
        <w:rPr>
          <w:rFonts w:ascii="Calibri" w:eastAsia="宋体" w:hAnsi="Calibri" w:cs="Times New Roman" w:hint="eastAsia"/>
          <w:sz w:val="21"/>
          <w:szCs w:val="22"/>
          <w14:ligatures w14:val="none"/>
        </w:rPr>
        <w:t>月，项目主要承担单位国网智能电网研究院有限公司组织会议，对本标准计划进行了初步讨论和设计，初步讨论了《水电解制氢系统运行维护规程》大纲拟包含的</w:t>
      </w:r>
      <w:r>
        <w:rPr>
          <w:rFonts w:ascii="Calibri" w:eastAsia="宋体" w:hAnsi="Calibri" w:cs="Times New Roman" w:hint="eastAsia"/>
          <w:sz w:val="21"/>
          <w:szCs w:val="22"/>
          <w14:ligatures w14:val="none"/>
        </w:rPr>
        <w:lastRenderedPageBreak/>
        <w:t>内容，确定各章节编制单位和负责人员。</w:t>
      </w:r>
    </w:p>
    <w:p w14:paraId="0DA275D1" w14:textId="77777777" w:rsidR="00D56751" w:rsidRDefault="00000000">
      <w:pPr>
        <w:spacing w:after="0" w:line="240" w:lineRule="auto"/>
        <w:ind w:firstLineChars="200" w:firstLine="420"/>
        <w:jc w:val="both"/>
        <w:rPr>
          <w:rFonts w:ascii="Calibri" w:eastAsia="宋体" w:hAnsi="Calibri" w:cs="Times New Roman"/>
          <w:sz w:val="21"/>
          <w:szCs w:val="22"/>
          <w14:ligatures w14:val="none"/>
        </w:rPr>
      </w:pPr>
      <w:r>
        <w:rPr>
          <w:rFonts w:ascii="Calibri" w:eastAsia="宋体" w:hAnsi="Calibri" w:cs="Times New Roman" w:hint="eastAsia"/>
          <w:sz w:val="21"/>
          <w:szCs w:val="22"/>
          <w14:ligatures w14:val="none"/>
        </w:rPr>
        <w:t>（</w:t>
      </w:r>
      <w:r>
        <w:rPr>
          <w:rFonts w:ascii="Calibri" w:eastAsia="宋体" w:hAnsi="Calibri" w:cs="Times New Roman" w:hint="eastAsia"/>
          <w:sz w:val="21"/>
          <w:szCs w:val="22"/>
          <w14:ligatures w14:val="none"/>
        </w:rPr>
        <w:t>2</w:t>
      </w:r>
      <w:r>
        <w:rPr>
          <w:rFonts w:ascii="Calibri" w:eastAsia="宋体" w:hAnsi="Calibri" w:cs="Times New Roman" w:hint="eastAsia"/>
          <w:sz w:val="21"/>
          <w:szCs w:val="22"/>
          <w14:ligatures w14:val="none"/>
        </w:rPr>
        <w:t>）</w:t>
      </w:r>
      <w:r>
        <w:rPr>
          <w:rFonts w:ascii="Calibri" w:eastAsia="宋体" w:hAnsi="Calibri" w:cs="Times New Roman" w:hint="eastAsia"/>
          <w:sz w:val="21"/>
          <w:szCs w:val="22"/>
          <w14:ligatures w14:val="none"/>
        </w:rPr>
        <w:t>2022</w:t>
      </w:r>
      <w:r>
        <w:rPr>
          <w:rFonts w:ascii="Calibri" w:eastAsia="宋体" w:hAnsi="Calibri" w:cs="Times New Roman" w:hint="eastAsia"/>
          <w:sz w:val="21"/>
          <w:szCs w:val="22"/>
          <w14:ligatures w14:val="none"/>
        </w:rPr>
        <w:t>年</w:t>
      </w:r>
      <w:r>
        <w:rPr>
          <w:rFonts w:ascii="Calibri" w:eastAsia="宋体" w:hAnsi="Calibri" w:cs="Times New Roman" w:hint="eastAsia"/>
          <w:sz w:val="21"/>
          <w:szCs w:val="22"/>
          <w14:ligatures w14:val="none"/>
        </w:rPr>
        <w:t>9</w:t>
      </w:r>
      <w:r>
        <w:rPr>
          <w:rFonts w:ascii="Calibri" w:eastAsia="宋体" w:hAnsi="Calibri" w:cs="Times New Roman" w:hint="eastAsia"/>
          <w:sz w:val="21"/>
          <w:szCs w:val="22"/>
          <w14:ligatures w14:val="none"/>
        </w:rPr>
        <w:t>月形成标准草案。</w:t>
      </w:r>
    </w:p>
    <w:p w14:paraId="2C8E8188" w14:textId="77777777" w:rsidR="00D56751" w:rsidRDefault="00000000">
      <w:pPr>
        <w:spacing w:after="0" w:line="240" w:lineRule="auto"/>
        <w:ind w:firstLineChars="200" w:firstLine="420"/>
        <w:jc w:val="both"/>
        <w:rPr>
          <w:rFonts w:ascii="Calibri" w:eastAsia="宋体" w:hAnsi="Calibri" w:cs="Times New Roman"/>
          <w:sz w:val="21"/>
          <w:szCs w:val="22"/>
          <w14:ligatures w14:val="none"/>
        </w:rPr>
      </w:pPr>
      <w:r>
        <w:rPr>
          <w:rFonts w:ascii="Calibri" w:eastAsia="宋体" w:hAnsi="Calibri" w:cs="Times New Roman" w:hint="eastAsia"/>
          <w:sz w:val="21"/>
          <w:szCs w:val="22"/>
          <w14:ligatures w14:val="none"/>
        </w:rPr>
        <w:t>（</w:t>
      </w:r>
      <w:r>
        <w:rPr>
          <w:rFonts w:ascii="Calibri" w:eastAsia="宋体" w:hAnsi="Calibri" w:cs="Times New Roman" w:hint="eastAsia"/>
          <w:sz w:val="21"/>
          <w:szCs w:val="22"/>
          <w14:ligatures w14:val="none"/>
        </w:rPr>
        <w:t>3</w:t>
      </w:r>
      <w:r>
        <w:rPr>
          <w:rFonts w:ascii="Calibri" w:eastAsia="宋体" w:hAnsi="Calibri" w:cs="Times New Roman" w:hint="eastAsia"/>
          <w:sz w:val="21"/>
          <w:szCs w:val="22"/>
          <w14:ligatures w14:val="none"/>
        </w:rPr>
        <w:t>）</w:t>
      </w:r>
      <w:r>
        <w:rPr>
          <w:rFonts w:ascii="Calibri" w:eastAsia="宋体" w:hAnsi="Calibri" w:cs="Times New Roman" w:hint="eastAsia"/>
          <w:sz w:val="21"/>
          <w:szCs w:val="22"/>
          <w14:ligatures w14:val="none"/>
        </w:rPr>
        <w:t>2023</w:t>
      </w:r>
      <w:r>
        <w:rPr>
          <w:rFonts w:ascii="Calibri" w:eastAsia="宋体" w:hAnsi="Calibri" w:cs="Times New Roman" w:hint="eastAsia"/>
          <w:sz w:val="21"/>
          <w:szCs w:val="22"/>
          <w14:ligatures w14:val="none"/>
        </w:rPr>
        <w:t>年</w:t>
      </w:r>
      <w:r>
        <w:rPr>
          <w:rFonts w:ascii="Calibri" w:eastAsia="宋体" w:hAnsi="Calibri" w:cs="Times New Roman" w:hint="eastAsia"/>
          <w:sz w:val="21"/>
          <w:szCs w:val="22"/>
          <w14:ligatures w14:val="none"/>
        </w:rPr>
        <w:t>11</w:t>
      </w:r>
      <w:r>
        <w:rPr>
          <w:rFonts w:ascii="Calibri" w:eastAsia="宋体" w:hAnsi="Calibri" w:cs="Times New Roman" w:hint="eastAsia"/>
          <w:sz w:val="21"/>
          <w:szCs w:val="22"/>
          <w14:ligatures w14:val="none"/>
        </w:rPr>
        <w:t>月，本标准通过中国电机工程学会立项审查，批准立项。</w:t>
      </w:r>
    </w:p>
    <w:p w14:paraId="720C177E" w14:textId="77777777" w:rsidR="00D56751" w:rsidRDefault="00000000">
      <w:pPr>
        <w:spacing w:after="0" w:line="240" w:lineRule="auto"/>
        <w:ind w:firstLineChars="200" w:firstLine="420"/>
        <w:jc w:val="both"/>
        <w:rPr>
          <w:rFonts w:ascii="Calibri" w:eastAsia="宋体" w:hAnsi="Calibri" w:cs="Times New Roman"/>
          <w:sz w:val="21"/>
          <w:szCs w:val="22"/>
          <w14:ligatures w14:val="none"/>
        </w:rPr>
      </w:pPr>
      <w:r>
        <w:rPr>
          <w:rFonts w:ascii="Calibri" w:eastAsia="宋体" w:hAnsi="Calibri" w:cs="Times New Roman" w:hint="eastAsia"/>
          <w:sz w:val="21"/>
          <w:szCs w:val="22"/>
          <w14:ligatures w14:val="none"/>
        </w:rPr>
        <w:t>（</w:t>
      </w:r>
      <w:r>
        <w:rPr>
          <w:rFonts w:ascii="Calibri" w:eastAsia="宋体" w:hAnsi="Calibri" w:cs="Times New Roman" w:hint="eastAsia"/>
          <w:sz w:val="21"/>
          <w:szCs w:val="22"/>
          <w14:ligatures w14:val="none"/>
        </w:rPr>
        <w:t>4</w:t>
      </w:r>
      <w:r>
        <w:rPr>
          <w:rFonts w:ascii="Calibri" w:eastAsia="宋体" w:hAnsi="Calibri" w:cs="Times New Roman" w:hint="eastAsia"/>
          <w:sz w:val="21"/>
          <w:szCs w:val="22"/>
          <w14:ligatures w14:val="none"/>
        </w:rPr>
        <w:t>）</w:t>
      </w:r>
      <w:r>
        <w:rPr>
          <w:rFonts w:ascii="Calibri" w:eastAsia="宋体" w:hAnsi="Calibri" w:cs="Times New Roman" w:hint="eastAsia"/>
          <w:sz w:val="21"/>
          <w:szCs w:val="22"/>
          <w14:ligatures w14:val="none"/>
        </w:rPr>
        <w:t>2024</w:t>
      </w:r>
      <w:r>
        <w:rPr>
          <w:rFonts w:ascii="Calibri" w:eastAsia="宋体" w:hAnsi="Calibri" w:cs="Times New Roman" w:hint="eastAsia"/>
          <w:sz w:val="21"/>
          <w:szCs w:val="22"/>
          <w14:ligatures w14:val="none"/>
        </w:rPr>
        <w:t>年</w:t>
      </w:r>
      <w:r>
        <w:rPr>
          <w:rFonts w:ascii="Calibri" w:eastAsia="宋体" w:hAnsi="Calibri" w:cs="Times New Roman" w:hint="eastAsia"/>
          <w:sz w:val="21"/>
          <w:szCs w:val="22"/>
          <w14:ligatures w14:val="none"/>
        </w:rPr>
        <w:t>2</w:t>
      </w:r>
      <w:r>
        <w:rPr>
          <w:rFonts w:ascii="Calibri" w:eastAsia="宋体" w:hAnsi="Calibri" w:cs="Times New Roman" w:hint="eastAsia"/>
          <w:sz w:val="21"/>
          <w:szCs w:val="22"/>
          <w14:ligatures w14:val="none"/>
        </w:rPr>
        <w:t>月，国网智能电网研究院有限公司组织标准参编单位对《水电解制氢系统运行维护规程》初稿草案全文进行了讨论，明确了标准的内容和范围，提出了制订原则，确定了项目组成员单位及任务分工。</w:t>
      </w:r>
    </w:p>
    <w:p w14:paraId="54EE3BDA" w14:textId="77777777" w:rsidR="00D56751" w:rsidRDefault="00000000">
      <w:pPr>
        <w:spacing w:after="0" w:line="240" w:lineRule="auto"/>
        <w:ind w:firstLineChars="200" w:firstLine="420"/>
        <w:jc w:val="both"/>
        <w:rPr>
          <w:rFonts w:ascii="Calibri" w:eastAsia="宋体" w:hAnsi="Calibri" w:cs="Times New Roman"/>
          <w:sz w:val="21"/>
          <w:szCs w:val="22"/>
          <w14:ligatures w14:val="none"/>
        </w:rPr>
      </w:pPr>
      <w:r>
        <w:rPr>
          <w:rFonts w:ascii="Calibri" w:eastAsia="宋体" w:hAnsi="Calibri" w:cs="Times New Roman" w:hint="eastAsia"/>
          <w:sz w:val="21"/>
          <w:szCs w:val="22"/>
          <w14:ligatures w14:val="none"/>
        </w:rPr>
        <w:t>（</w:t>
      </w:r>
      <w:r>
        <w:rPr>
          <w:rFonts w:ascii="Calibri" w:eastAsia="宋体" w:hAnsi="Calibri" w:cs="Times New Roman" w:hint="eastAsia"/>
          <w:sz w:val="21"/>
          <w:szCs w:val="22"/>
          <w14:ligatures w14:val="none"/>
        </w:rPr>
        <w:t>5</w:t>
      </w:r>
      <w:r>
        <w:rPr>
          <w:rFonts w:ascii="Calibri" w:eastAsia="宋体" w:hAnsi="Calibri" w:cs="Times New Roman" w:hint="eastAsia"/>
          <w:sz w:val="21"/>
          <w:szCs w:val="22"/>
          <w14:ligatures w14:val="none"/>
        </w:rPr>
        <w:t>）</w:t>
      </w:r>
      <w:r>
        <w:rPr>
          <w:rFonts w:ascii="Calibri" w:eastAsia="宋体" w:hAnsi="Calibri" w:cs="Times New Roman" w:hint="eastAsia"/>
          <w:sz w:val="21"/>
          <w:szCs w:val="22"/>
          <w14:ligatures w14:val="none"/>
        </w:rPr>
        <w:t>2024</w:t>
      </w:r>
      <w:r>
        <w:rPr>
          <w:rFonts w:ascii="Calibri" w:eastAsia="宋体" w:hAnsi="Calibri" w:cs="Times New Roman" w:hint="eastAsia"/>
          <w:sz w:val="21"/>
          <w:szCs w:val="22"/>
          <w14:ligatures w14:val="none"/>
        </w:rPr>
        <w:t>年</w:t>
      </w:r>
      <w:r>
        <w:rPr>
          <w:rFonts w:ascii="Calibri" w:eastAsia="宋体" w:hAnsi="Calibri" w:cs="Times New Roman" w:hint="eastAsia"/>
          <w:sz w:val="21"/>
          <w:szCs w:val="22"/>
          <w14:ligatures w14:val="none"/>
        </w:rPr>
        <w:t>5</w:t>
      </w:r>
      <w:r>
        <w:rPr>
          <w:rFonts w:ascii="Calibri" w:eastAsia="宋体" w:hAnsi="Calibri" w:cs="Times New Roman" w:hint="eastAsia"/>
          <w:sz w:val="21"/>
          <w:szCs w:val="22"/>
          <w14:ligatures w14:val="none"/>
        </w:rPr>
        <w:t>月，国网智能电网研究院有限公司召开标准草案讨论会议，组织参编单位对标准草案进行讨论，形成标准第二稿。</w:t>
      </w:r>
    </w:p>
    <w:p w14:paraId="527AF66E" w14:textId="77777777" w:rsidR="00D56751" w:rsidRDefault="00000000">
      <w:pPr>
        <w:keepNext/>
        <w:keepLines/>
        <w:spacing w:beforeLines="100" w:before="312" w:afterLines="100" w:after="312" w:line="240" w:lineRule="auto"/>
        <w:jc w:val="both"/>
        <w:outlineLvl w:val="0"/>
        <w:rPr>
          <w:rFonts w:ascii="Times New Roman" w:eastAsia="黑体" w:hAnsi="Times New Roman" w:cs="Times New Roman"/>
          <w:kern w:val="44"/>
          <w:sz w:val="21"/>
          <w:szCs w:val="44"/>
          <w14:ligatures w14:val="none"/>
        </w:rPr>
      </w:pPr>
      <w:bookmarkStart w:id="30" w:name="_Toc2879"/>
      <w:r>
        <w:rPr>
          <w:rFonts w:ascii="宋体" w:eastAsia="黑体" w:hAnsi="宋体" w:cs="Times New Roman" w:hint="eastAsia"/>
          <w:kern w:val="44"/>
          <w:sz w:val="21"/>
          <w:szCs w:val="21"/>
          <w14:ligatures w14:val="none"/>
        </w:rPr>
        <w:t>4</w:t>
      </w:r>
      <w:r>
        <w:rPr>
          <w:rFonts w:ascii="Times New Roman" w:eastAsia="黑体" w:hAnsi="Times New Roman" w:cs="Times New Roman" w:hint="eastAsia"/>
          <w:kern w:val="44"/>
          <w:sz w:val="21"/>
          <w:szCs w:val="44"/>
          <w14:ligatures w14:val="none"/>
        </w:rPr>
        <w:t xml:space="preserve"> </w:t>
      </w:r>
      <w:r>
        <w:rPr>
          <w:rFonts w:ascii="Times New Roman" w:eastAsia="黑体" w:hAnsi="Times New Roman" w:cs="Times New Roman" w:hint="eastAsia"/>
          <w:kern w:val="44"/>
          <w:sz w:val="21"/>
          <w:szCs w:val="44"/>
          <w14:ligatures w14:val="none"/>
        </w:rPr>
        <w:t>标准结构和内容说明</w:t>
      </w:r>
      <w:bookmarkEnd w:id="30"/>
    </w:p>
    <w:p w14:paraId="524CCACD" w14:textId="77777777" w:rsidR="00D56751" w:rsidRDefault="00000000">
      <w:pPr>
        <w:spacing w:after="0" w:line="240" w:lineRule="auto"/>
        <w:ind w:firstLine="420"/>
        <w:jc w:val="both"/>
        <w:rPr>
          <w:rFonts w:ascii="Calibri" w:eastAsia="宋体" w:hAnsi="Calibri" w:cs="Times New Roman"/>
          <w:sz w:val="21"/>
          <w:szCs w:val="22"/>
          <w14:ligatures w14:val="none"/>
        </w:rPr>
      </w:pPr>
      <w:r>
        <w:rPr>
          <w:rFonts w:ascii="Calibri" w:eastAsia="宋体" w:hAnsi="Calibri" w:cs="Times New Roman" w:hint="eastAsia"/>
          <w:sz w:val="21"/>
          <w:szCs w:val="22"/>
          <w14:ligatures w14:val="none"/>
        </w:rPr>
        <w:t>本标准针对水电解制氢系统在正常运行、异常运行、故障以及停机存放过程中，对设备运行状态、检查事项、人员操作、维护流程等给出了相应的规范，本标准内容包括范围、规范性引用文件、术语定义、基本要求、正常运行、异常运行及故障、维护、附录，具体包括以下内容：</w:t>
      </w:r>
    </w:p>
    <w:p w14:paraId="670D0970" w14:textId="77777777" w:rsidR="00D56751" w:rsidRDefault="00000000">
      <w:pPr>
        <w:numPr>
          <w:ilvl w:val="0"/>
          <w:numId w:val="1"/>
        </w:numPr>
        <w:spacing w:after="0" w:line="240" w:lineRule="auto"/>
        <w:ind w:firstLineChars="200" w:firstLine="420"/>
        <w:jc w:val="both"/>
        <w:rPr>
          <w:rFonts w:ascii="Calibri" w:eastAsia="宋体" w:hAnsi="Calibri" w:cs="Times New Roman"/>
          <w:sz w:val="21"/>
          <w:szCs w:val="22"/>
          <w14:ligatures w14:val="none"/>
        </w:rPr>
      </w:pPr>
      <w:r>
        <w:rPr>
          <w:rFonts w:ascii="Calibri" w:eastAsia="宋体" w:hAnsi="Calibri" w:cs="Times New Roman" w:hint="eastAsia"/>
          <w:sz w:val="21"/>
          <w:szCs w:val="22"/>
          <w14:ligatures w14:val="none"/>
        </w:rPr>
        <w:t>范围</w:t>
      </w:r>
    </w:p>
    <w:p w14:paraId="7A300E43" w14:textId="77777777" w:rsidR="00D56751" w:rsidRDefault="00000000">
      <w:pPr>
        <w:spacing w:after="0" w:line="240" w:lineRule="auto"/>
        <w:ind w:firstLineChars="200" w:firstLine="420"/>
        <w:jc w:val="both"/>
        <w:rPr>
          <w:rFonts w:ascii="Calibri" w:eastAsia="宋体" w:hAnsi="Calibri" w:cs="Times New Roman"/>
          <w:sz w:val="21"/>
          <w:szCs w:val="22"/>
          <w14:ligatures w14:val="none"/>
        </w:rPr>
      </w:pPr>
      <w:r>
        <w:rPr>
          <w:rFonts w:ascii="Calibri" w:eastAsia="宋体" w:hAnsi="Calibri" w:cs="Times New Roman" w:hint="eastAsia"/>
          <w:sz w:val="21"/>
          <w:szCs w:val="22"/>
          <w14:ligatures w14:val="none"/>
        </w:rPr>
        <w:t>明确了本标准的技术内容和适用范围。</w:t>
      </w:r>
    </w:p>
    <w:p w14:paraId="20A014DB" w14:textId="77777777" w:rsidR="00D56751" w:rsidRDefault="00000000">
      <w:pPr>
        <w:numPr>
          <w:ilvl w:val="0"/>
          <w:numId w:val="1"/>
        </w:numPr>
        <w:spacing w:after="0" w:line="240" w:lineRule="auto"/>
        <w:ind w:firstLine="420"/>
        <w:jc w:val="both"/>
        <w:rPr>
          <w:rFonts w:ascii="Calibri" w:eastAsia="宋体" w:hAnsi="Calibri" w:cs="Times New Roman"/>
          <w:sz w:val="21"/>
          <w:szCs w:val="22"/>
          <w14:ligatures w14:val="none"/>
        </w:rPr>
      </w:pPr>
      <w:r>
        <w:rPr>
          <w:rFonts w:ascii="Calibri" w:eastAsia="宋体" w:hAnsi="Calibri" w:cs="Times New Roman" w:hint="eastAsia"/>
          <w:sz w:val="21"/>
          <w:szCs w:val="22"/>
          <w14:ligatures w14:val="none"/>
        </w:rPr>
        <w:t>规范性引用文件</w:t>
      </w:r>
    </w:p>
    <w:p w14:paraId="384CDA6B" w14:textId="77777777" w:rsidR="00D56751" w:rsidRDefault="00000000">
      <w:pPr>
        <w:spacing w:after="0" w:line="240" w:lineRule="auto"/>
        <w:ind w:firstLineChars="200" w:firstLine="420"/>
        <w:jc w:val="both"/>
        <w:rPr>
          <w:rFonts w:ascii="Calibri" w:eastAsia="宋体" w:hAnsi="Calibri" w:cs="Times New Roman"/>
          <w:sz w:val="21"/>
          <w:szCs w:val="22"/>
          <w14:ligatures w14:val="none"/>
        </w:rPr>
      </w:pPr>
      <w:r>
        <w:rPr>
          <w:rFonts w:ascii="Calibri" w:eastAsia="宋体" w:hAnsi="Calibri" w:cs="Times New Roman"/>
          <w:sz w:val="21"/>
          <w:szCs w:val="22"/>
          <w14:ligatures w14:val="none"/>
        </w:rPr>
        <w:t>包含本标准涉及的标准文件。</w:t>
      </w:r>
    </w:p>
    <w:p w14:paraId="776411EF" w14:textId="77777777" w:rsidR="00D56751" w:rsidRDefault="00000000">
      <w:pPr>
        <w:numPr>
          <w:ilvl w:val="0"/>
          <w:numId w:val="1"/>
        </w:numPr>
        <w:spacing w:after="0" w:line="240" w:lineRule="auto"/>
        <w:ind w:firstLine="420"/>
        <w:jc w:val="both"/>
        <w:rPr>
          <w:rFonts w:ascii="Calibri" w:eastAsia="宋体" w:hAnsi="Calibri" w:cs="Times New Roman"/>
          <w:sz w:val="21"/>
          <w:szCs w:val="22"/>
          <w14:ligatures w14:val="none"/>
        </w:rPr>
      </w:pPr>
      <w:r>
        <w:rPr>
          <w:rFonts w:ascii="Calibri" w:eastAsia="宋体" w:hAnsi="Calibri" w:cs="Times New Roman" w:hint="eastAsia"/>
          <w:sz w:val="21"/>
          <w:szCs w:val="22"/>
          <w14:ligatures w14:val="none"/>
        </w:rPr>
        <w:t>术语定义</w:t>
      </w:r>
    </w:p>
    <w:p w14:paraId="55110093" w14:textId="77777777" w:rsidR="00D56751" w:rsidRDefault="00000000">
      <w:pPr>
        <w:spacing w:after="0" w:line="240" w:lineRule="auto"/>
        <w:ind w:firstLineChars="200" w:firstLine="420"/>
        <w:jc w:val="both"/>
        <w:rPr>
          <w:rFonts w:ascii="Calibri" w:eastAsia="宋体" w:hAnsi="Calibri" w:cs="Times New Roman"/>
          <w:sz w:val="21"/>
          <w:szCs w:val="22"/>
          <w14:ligatures w14:val="none"/>
        </w:rPr>
      </w:pPr>
      <w:r>
        <w:rPr>
          <w:rFonts w:ascii="Calibri" w:eastAsia="宋体" w:hAnsi="Calibri" w:cs="Times New Roman"/>
          <w:sz w:val="21"/>
          <w:szCs w:val="22"/>
          <w14:ligatures w14:val="none"/>
        </w:rPr>
        <w:t>包含水电解制氢系统、单池的定义。</w:t>
      </w:r>
    </w:p>
    <w:p w14:paraId="084FDFE5" w14:textId="77777777" w:rsidR="00D56751" w:rsidRDefault="00000000">
      <w:pPr>
        <w:numPr>
          <w:ilvl w:val="0"/>
          <w:numId w:val="1"/>
        </w:numPr>
        <w:spacing w:after="0" w:line="240" w:lineRule="auto"/>
        <w:ind w:firstLine="420"/>
        <w:jc w:val="both"/>
        <w:rPr>
          <w:rFonts w:ascii="Calibri" w:eastAsia="宋体" w:hAnsi="Calibri" w:cs="Times New Roman"/>
          <w:sz w:val="21"/>
          <w:szCs w:val="22"/>
          <w14:ligatures w14:val="none"/>
        </w:rPr>
      </w:pPr>
      <w:r>
        <w:rPr>
          <w:rFonts w:ascii="Calibri" w:eastAsia="宋体" w:hAnsi="Calibri" w:cs="Times New Roman" w:hint="eastAsia"/>
          <w:sz w:val="21"/>
          <w:szCs w:val="22"/>
          <w14:ligatures w14:val="none"/>
        </w:rPr>
        <w:t>基本要求</w:t>
      </w:r>
    </w:p>
    <w:p w14:paraId="7B4D1B85" w14:textId="77777777" w:rsidR="00D56751" w:rsidRDefault="00000000">
      <w:pPr>
        <w:spacing w:after="0" w:line="240" w:lineRule="auto"/>
        <w:ind w:firstLineChars="200" w:firstLine="420"/>
        <w:jc w:val="both"/>
        <w:rPr>
          <w:rFonts w:ascii="Calibri" w:eastAsia="宋体" w:hAnsi="Calibri" w:cs="Times New Roman"/>
          <w:sz w:val="21"/>
          <w:szCs w:val="22"/>
          <w14:ligatures w14:val="none"/>
        </w:rPr>
      </w:pPr>
      <w:r>
        <w:rPr>
          <w:rFonts w:ascii="Calibri" w:eastAsia="宋体" w:hAnsi="Calibri" w:cs="Times New Roman" w:hint="eastAsia"/>
          <w:sz w:val="21"/>
          <w:szCs w:val="22"/>
          <w14:ligatures w14:val="none"/>
        </w:rPr>
        <w:t>包含制氢系统在投运前、运行中与故障后应遵循的操作规章制度，以及制氢系统设备参数与运行条件应遵循相关规定。</w:t>
      </w:r>
    </w:p>
    <w:p w14:paraId="5825BA85" w14:textId="77777777" w:rsidR="00D56751" w:rsidRDefault="00000000">
      <w:pPr>
        <w:numPr>
          <w:ilvl w:val="0"/>
          <w:numId w:val="1"/>
        </w:numPr>
        <w:spacing w:after="0" w:line="240" w:lineRule="auto"/>
        <w:ind w:firstLine="420"/>
        <w:jc w:val="both"/>
        <w:rPr>
          <w:rFonts w:ascii="Calibri" w:eastAsia="宋体" w:hAnsi="Calibri" w:cs="Times New Roman"/>
          <w:sz w:val="21"/>
          <w:szCs w:val="22"/>
          <w14:ligatures w14:val="none"/>
        </w:rPr>
      </w:pPr>
      <w:r>
        <w:rPr>
          <w:rFonts w:ascii="Calibri" w:eastAsia="宋体" w:hAnsi="Calibri" w:cs="Times New Roman" w:hint="eastAsia"/>
          <w:sz w:val="21"/>
          <w:szCs w:val="22"/>
          <w14:ligatures w14:val="none"/>
        </w:rPr>
        <w:t>正常运行</w:t>
      </w:r>
    </w:p>
    <w:p w14:paraId="3A716E3D" w14:textId="77777777" w:rsidR="00D56751" w:rsidRDefault="00000000">
      <w:pPr>
        <w:spacing w:after="0" w:line="240" w:lineRule="auto"/>
        <w:ind w:firstLineChars="200" w:firstLine="420"/>
        <w:jc w:val="both"/>
        <w:rPr>
          <w:rFonts w:ascii="Calibri" w:eastAsia="宋体" w:hAnsi="Calibri" w:cs="Times New Roman"/>
          <w:sz w:val="21"/>
          <w:szCs w:val="22"/>
          <w14:ligatures w14:val="none"/>
        </w:rPr>
      </w:pPr>
      <w:r>
        <w:rPr>
          <w:rFonts w:ascii="Calibri" w:eastAsia="宋体" w:hAnsi="Calibri" w:cs="Times New Roman" w:hint="eastAsia"/>
          <w:sz w:val="21"/>
          <w:szCs w:val="22"/>
          <w14:ligatures w14:val="none"/>
        </w:rPr>
        <w:t>包含制氢系统在正常运行过程中的一般规定、运行监视、运行操作、巡视检查等内容。</w:t>
      </w:r>
    </w:p>
    <w:p w14:paraId="2C9EDF8C" w14:textId="77777777" w:rsidR="00D56751" w:rsidRDefault="00000000">
      <w:pPr>
        <w:numPr>
          <w:ilvl w:val="0"/>
          <w:numId w:val="1"/>
        </w:numPr>
        <w:spacing w:after="0" w:line="240" w:lineRule="auto"/>
        <w:ind w:firstLine="420"/>
        <w:jc w:val="both"/>
        <w:rPr>
          <w:rFonts w:ascii="Calibri" w:eastAsia="宋体" w:hAnsi="Calibri" w:cs="Times New Roman"/>
          <w:sz w:val="21"/>
          <w:szCs w:val="22"/>
          <w14:ligatures w14:val="none"/>
        </w:rPr>
      </w:pPr>
      <w:r>
        <w:rPr>
          <w:rFonts w:ascii="Calibri" w:eastAsia="宋体" w:hAnsi="Calibri" w:cs="Times New Roman" w:hint="eastAsia"/>
          <w:sz w:val="21"/>
          <w:szCs w:val="22"/>
          <w14:ligatures w14:val="none"/>
        </w:rPr>
        <w:t>异常运行及故障</w:t>
      </w:r>
    </w:p>
    <w:p w14:paraId="65F2B8FA" w14:textId="77777777" w:rsidR="00D56751" w:rsidRDefault="00000000">
      <w:pPr>
        <w:spacing w:after="0" w:line="240" w:lineRule="auto"/>
        <w:ind w:firstLineChars="200" w:firstLine="420"/>
        <w:jc w:val="both"/>
        <w:rPr>
          <w:rFonts w:ascii="Calibri" w:eastAsia="宋体" w:hAnsi="Calibri" w:cs="Times New Roman"/>
          <w:sz w:val="21"/>
          <w:szCs w:val="22"/>
          <w14:ligatures w14:val="none"/>
        </w:rPr>
      </w:pPr>
      <w:r>
        <w:rPr>
          <w:rFonts w:ascii="Calibri" w:eastAsia="宋体" w:hAnsi="Calibri" w:cs="Times New Roman" w:hint="eastAsia"/>
          <w:sz w:val="21"/>
          <w:szCs w:val="22"/>
          <w14:ligatures w14:val="none"/>
        </w:rPr>
        <w:t>包括制氢系统在异常运行时对故障处理与操作的要求、对操作人员监视、报备、应急处理的要求等。</w:t>
      </w:r>
    </w:p>
    <w:p w14:paraId="2BAF34B9" w14:textId="77777777" w:rsidR="00D56751" w:rsidRDefault="00000000">
      <w:pPr>
        <w:numPr>
          <w:ilvl w:val="0"/>
          <w:numId w:val="1"/>
        </w:numPr>
        <w:spacing w:after="0" w:line="240" w:lineRule="auto"/>
        <w:ind w:firstLine="420"/>
        <w:jc w:val="both"/>
        <w:rPr>
          <w:rFonts w:ascii="Calibri" w:eastAsia="宋体" w:hAnsi="Calibri" w:cs="Times New Roman"/>
          <w:sz w:val="21"/>
          <w:szCs w:val="22"/>
          <w14:ligatures w14:val="none"/>
        </w:rPr>
      </w:pPr>
      <w:r>
        <w:rPr>
          <w:rFonts w:ascii="Calibri" w:eastAsia="宋体" w:hAnsi="Calibri" w:cs="Times New Roman" w:hint="eastAsia"/>
          <w:sz w:val="21"/>
          <w:szCs w:val="22"/>
          <w14:ligatures w14:val="none"/>
        </w:rPr>
        <w:t>维护</w:t>
      </w:r>
    </w:p>
    <w:p w14:paraId="7B86783E" w14:textId="77777777" w:rsidR="00D56751" w:rsidRDefault="00000000">
      <w:pPr>
        <w:spacing w:after="0" w:line="240" w:lineRule="auto"/>
        <w:ind w:firstLineChars="200" w:firstLine="420"/>
        <w:jc w:val="both"/>
        <w:rPr>
          <w:rFonts w:ascii="Calibri" w:eastAsia="宋体" w:hAnsi="Calibri" w:cs="Times New Roman"/>
          <w:sz w:val="21"/>
          <w:szCs w:val="22"/>
          <w14:ligatures w14:val="none"/>
        </w:rPr>
      </w:pPr>
      <w:r>
        <w:rPr>
          <w:rFonts w:ascii="Calibri" w:eastAsia="宋体" w:hAnsi="Calibri" w:cs="Times New Roman" w:hint="eastAsia"/>
          <w:sz w:val="21"/>
          <w:szCs w:val="22"/>
          <w14:ligatures w14:val="none"/>
        </w:rPr>
        <w:t>包括制氢系统设备的清扫、定期检查、定期校准、防护措施等。</w:t>
      </w:r>
    </w:p>
    <w:p w14:paraId="70BFD6F6" w14:textId="77777777" w:rsidR="00D56751" w:rsidRDefault="00000000">
      <w:pPr>
        <w:numPr>
          <w:ilvl w:val="0"/>
          <w:numId w:val="1"/>
        </w:numPr>
        <w:spacing w:after="0" w:line="240" w:lineRule="auto"/>
        <w:ind w:firstLine="420"/>
        <w:jc w:val="both"/>
        <w:rPr>
          <w:rFonts w:ascii="Calibri" w:eastAsia="宋体" w:hAnsi="Calibri" w:cs="Times New Roman"/>
          <w:sz w:val="21"/>
          <w:szCs w:val="22"/>
          <w14:ligatures w14:val="none"/>
        </w:rPr>
      </w:pPr>
      <w:r>
        <w:rPr>
          <w:rFonts w:ascii="Calibri" w:eastAsia="宋体" w:hAnsi="Calibri" w:cs="Times New Roman" w:hint="eastAsia"/>
          <w:sz w:val="21"/>
          <w:szCs w:val="22"/>
          <w14:ligatures w14:val="none"/>
        </w:rPr>
        <w:t>附录</w:t>
      </w:r>
    </w:p>
    <w:p w14:paraId="0AA67FB3" w14:textId="77777777" w:rsidR="00D56751" w:rsidRDefault="00000000">
      <w:pPr>
        <w:widowControl/>
        <w:tabs>
          <w:tab w:val="center" w:pos="4201"/>
          <w:tab w:val="right" w:leader="dot" w:pos="9298"/>
        </w:tabs>
        <w:autoSpaceDE w:val="0"/>
        <w:autoSpaceDN w:val="0"/>
        <w:spacing w:after="0" w:line="240" w:lineRule="auto"/>
        <w:ind w:firstLineChars="200" w:firstLine="420"/>
        <w:jc w:val="both"/>
        <w:rPr>
          <w:rFonts w:ascii="宋体" w:eastAsia="宋体" w:hAnsi="Times New Roman" w:cs="Times New Roman"/>
          <w:kern w:val="0"/>
          <w:sz w:val="21"/>
          <w:szCs w:val="20"/>
          <w14:ligatures w14:val="none"/>
        </w:rPr>
      </w:pPr>
      <w:r>
        <w:rPr>
          <w:rFonts w:ascii="宋体" w:eastAsia="宋体" w:hAnsi="Times New Roman" w:cs="Times New Roman" w:hint="eastAsia"/>
          <w:kern w:val="0"/>
          <w:sz w:val="21"/>
          <w:szCs w:val="20"/>
          <w14:ligatures w14:val="none"/>
        </w:rPr>
        <w:t>包括附录A制氢系统巡视检查项目及要求、附录B制氢系统典型异常及处理、附录C制氢系统典型故障及处理、附录D制氢系统维护项目及要求。</w:t>
      </w:r>
    </w:p>
    <w:p w14:paraId="307DB1E5" w14:textId="77777777" w:rsidR="00D56751" w:rsidRDefault="00000000">
      <w:pPr>
        <w:keepNext/>
        <w:keepLines/>
        <w:spacing w:beforeLines="100" w:before="312" w:afterLines="100" w:after="312" w:line="240" w:lineRule="auto"/>
        <w:jc w:val="both"/>
        <w:outlineLvl w:val="0"/>
        <w:rPr>
          <w:rFonts w:ascii="Times New Roman" w:eastAsia="黑体" w:hAnsi="Times New Roman" w:cs="Times New Roman"/>
          <w:kern w:val="44"/>
          <w:sz w:val="21"/>
          <w:szCs w:val="44"/>
          <w14:ligatures w14:val="none"/>
        </w:rPr>
      </w:pPr>
      <w:bookmarkStart w:id="31" w:name="_Toc31290"/>
      <w:r>
        <w:rPr>
          <w:rFonts w:ascii="宋体" w:eastAsia="黑体" w:hAnsi="宋体" w:cs="Times New Roman" w:hint="eastAsia"/>
          <w:kern w:val="44"/>
          <w:sz w:val="21"/>
          <w:szCs w:val="21"/>
          <w14:ligatures w14:val="none"/>
        </w:rPr>
        <w:t>5</w:t>
      </w:r>
      <w:r>
        <w:rPr>
          <w:rFonts w:ascii="宋体" w:eastAsia="黑体" w:hAnsi="宋体" w:cs="Times New Roman" w:hint="eastAsia"/>
          <w:kern w:val="44"/>
          <w:sz w:val="21"/>
          <w:szCs w:val="21"/>
          <w14:ligatures w14:val="none"/>
        </w:rPr>
        <w:t>相关</w:t>
      </w:r>
      <w:r>
        <w:rPr>
          <w:rFonts w:ascii="Times New Roman" w:eastAsia="黑体" w:hAnsi="Times New Roman" w:cs="Times New Roman" w:hint="eastAsia"/>
          <w:kern w:val="44"/>
          <w:sz w:val="21"/>
          <w:szCs w:val="44"/>
          <w14:ligatures w14:val="none"/>
        </w:rPr>
        <w:t>标准对比说明</w:t>
      </w:r>
      <w:bookmarkEnd w:id="31"/>
    </w:p>
    <w:p w14:paraId="611E7D0D" w14:textId="77777777" w:rsidR="00D56751" w:rsidRDefault="00000000">
      <w:pPr>
        <w:widowControl/>
        <w:tabs>
          <w:tab w:val="center" w:pos="4201"/>
          <w:tab w:val="right" w:leader="dot" w:pos="9298"/>
        </w:tabs>
        <w:autoSpaceDE w:val="0"/>
        <w:autoSpaceDN w:val="0"/>
        <w:spacing w:after="0" w:line="240" w:lineRule="auto"/>
        <w:ind w:firstLineChars="200" w:firstLine="420"/>
        <w:jc w:val="both"/>
        <w:rPr>
          <w:rFonts w:ascii="宋体" w:eastAsia="宋体" w:hAnsi="Times New Roman" w:cs="Times New Roman"/>
          <w:kern w:val="0"/>
          <w:sz w:val="21"/>
          <w:szCs w:val="20"/>
          <w14:ligatures w14:val="none"/>
        </w:rPr>
      </w:pPr>
      <w:r>
        <w:rPr>
          <w:rFonts w:ascii="宋体" w:eastAsia="宋体" w:hAnsi="Times New Roman" w:cs="Times New Roman" w:hint="eastAsia"/>
          <w:kern w:val="0"/>
          <w:sz w:val="21"/>
          <w:szCs w:val="20"/>
          <w14:ligatures w14:val="none"/>
        </w:rPr>
        <w:t>本标准首次提出水电解制氢系统的正常运行、异常运行及故障处理、维护等过程的技术要求，提高设备效率。减少运维风险降低成本，有利于规范行业的高质量发展。本标准与现行法律、法规协调一致，遵照氢系统安全要求与规范，在法律法规规定的范围内开展运行维护规程标准编制。本标准GB 50177-2005 《氢气站设计规范》、GB 50150 《电气装置安装工程 电气设备交接试验标准》、GB 26860 《电力安全工作规程》等标准协调一致。</w:t>
      </w:r>
    </w:p>
    <w:p w14:paraId="69B033E9" w14:textId="77777777" w:rsidR="00D56751" w:rsidRDefault="00000000">
      <w:pPr>
        <w:widowControl/>
        <w:tabs>
          <w:tab w:val="center" w:pos="4201"/>
          <w:tab w:val="right" w:leader="dot" w:pos="9298"/>
        </w:tabs>
        <w:autoSpaceDE w:val="0"/>
        <w:autoSpaceDN w:val="0"/>
        <w:spacing w:after="0" w:line="240" w:lineRule="auto"/>
        <w:ind w:firstLineChars="200" w:firstLine="422"/>
        <w:jc w:val="both"/>
        <w:rPr>
          <w:rFonts w:ascii="宋体" w:eastAsia="宋体" w:hAnsi="Times New Roman" w:cs="Times New Roman"/>
          <w:kern w:val="0"/>
          <w:sz w:val="21"/>
          <w:szCs w:val="20"/>
          <w14:ligatures w14:val="none"/>
        </w:rPr>
      </w:pPr>
      <w:r>
        <w:rPr>
          <w:rFonts w:ascii="宋体" w:eastAsia="宋体" w:hAnsi="Times New Roman" w:cs="Times New Roman" w:hint="eastAsia"/>
          <w:b/>
          <w:bCs/>
          <w:kern w:val="0"/>
          <w:sz w:val="21"/>
          <w:szCs w:val="20"/>
          <w14:ligatures w14:val="none"/>
        </w:rPr>
        <w:t>国际标准情况：</w:t>
      </w:r>
      <w:r>
        <w:rPr>
          <w:rFonts w:ascii="Times New Roman" w:eastAsia="宋体" w:hAnsi="Times New Roman" w:cs="Times New Roman"/>
          <w:kern w:val="0"/>
          <w:sz w:val="21"/>
          <w:szCs w:val="20"/>
          <w14:ligatures w14:val="none"/>
        </w:rPr>
        <w:t>国际现有标准为技术要求、技术条件类标准，如</w:t>
      </w:r>
      <w:r>
        <w:rPr>
          <w:rFonts w:ascii="Times New Roman" w:eastAsia="宋体" w:hAnsi="Times New Roman" w:cs="Times New Roman"/>
          <w:kern w:val="0"/>
          <w:sz w:val="21"/>
          <w:szCs w:val="20"/>
          <w14:ligatures w14:val="none"/>
        </w:rPr>
        <w:t>ISO 22734-2019-1</w:t>
      </w:r>
      <w:r>
        <w:rPr>
          <w:rFonts w:ascii="Times New Roman" w:eastAsia="宋体" w:hAnsi="Times New Roman" w:cs="Times New Roman"/>
          <w:kern w:val="0"/>
          <w:sz w:val="21"/>
          <w:szCs w:val="20"/>
          <w14:ligatures w14:val="none"/>
        </w:rPr>
        <w:t>《</w:t>
      </w:r>
      <w:r>
        <w:rPr>
          <w:rFonts w:ascii="Times New Roman" w:eastAsia="宋体" w:hAnsi="Times New Roman" w:cs="Times New Roman"/>
          <w:kern w:val="0"/>
          <w:sz w:val="21"/>
          <w:szCs w:val="20"/>
          <w14:ligatures w14:val="none"/>
        </w:rPr>
        <w:t xml:space="preserve">Hydrogen generators using water electrolysis — Industrial, commercial, and residential </w:t>
      </w:r>
      <w:r>
        <w:rPr>
          <w:rFonts w:ascii="Times New Roman" w:eastAsia="宋体" w:hAnsi="Times New Roman" w:cs="Times New Roman"/>
          <w:kern w:val="0"/>
          <w:sz w:val="21"/>
          <w:szCs w:val="20"/>
          <w14:ligatures w14:val="none"/>
        </w:rPr>
        <w:lastRenderedPageBreak/>
        <w:t>applications — Part 1: General requirements, test protocols and safety requirements</w:t>
      </w:r>
      <w:r>
        <w:rPr>
          <w:rFonts w:ascii="Times New Roman" w:eastAsia="宋体" w:hAnsi="Times New Roman" w:cs="Times New Roman"/>
          <w:kern w:val="0"/>
          <w:sz w:val="21"/>
          <w:szCs w:val="20"/>
          <w14:ligatures w14:val="none"/>
        </w:rPr>
        <w:t>》</w:t>
      </w:r>
      <w:r>
        <w:rPr>
          <w:rFonts w:ascii="Times New Roman" w:eastAsia="宋体" w:hAnsi="Times New Roman" w:cs="Times New Roman" w:hint="eastAsia"/>
          <w:kern w:val="0"/>
          <w:sz w:val="21"/>
          <w:szCs w:val="20"/>
          <w14:ligatures w14:val="none"/>
        </w:rPr>
        <w:t>、</w:t>
      </w:r>
      <w:r>
        <w:rPr>
          <w:rFonts w:ascii="Times New Roman" w:eastAsia="宋体" w:hAnsi="Times New Roman" w:cs="Times New Roman" w:hint="eastAsia"/>
          <w:kern w:val="0"/>
          <w:sz w:val="21"/>
          <w:szCs w:val="20"/>
          <w14:ligatures w14:val="none"/>
        </w:rPr>
        <w:t xml:space="preserve">ISO 22734-2019-2 </w:t>
      </w:r>
      <w:r>
        <w:rPr>
          <w:rFonts w:ascii="Times New Roman" w:eastAsia="宋体" w:hAnsi="Times New Roman" w:cs="Times New Roman"/>
          <w:kern w:val="0"/>
          <w:sz w:val="21"/>
          <w:szCs w:val="20"/>
          <w14:ligatures w14:val="none"/>
        </w:rPr>
        <w:t>《</w:t>
      </w:r>
      <w:r>
        <w:rPr>
          <w:rFonts w:ascii="Times New Roman" w:eastAsia="宋体" w:hAnsi="Times New Roman" w:cs="Times New Roman" w:hint="eastAsia"/>
          <w:kern w:val="0"/>
          <w:sz w:val="21"/>
          <w:szCs w:val="20"/>
          <w14:ligatures w14:val="none"/>
        </w:rPr>
        <w:t xml:space="preserve">Hydrogen generators using water electrolysis </w:t>
      </w:r>
      <w:r>
        <w:rPr>
          <w:rFonts w:ascii="Times New Roman" w:eastAsia="宋体" w:hAnsi="Times New Roman" w:cs="Times New Roman" w:hint="eastAsia"/>
          <w:kern w:val="0"/>
          <w:sz w:val="21"/>
          <w:szCs w:val="20"/>
          <w14:ligatures w14:val="none"/>
        </w:rPr>
        <w:t>—</w:t>
      </w:r>
      <w:r>
        <w:rPr>
          <w:rFonts w:ascii="Times New Roman" w:eastAsia="宋体" w:hAnsi="Times New Roman" w:cs="Times New Roman" w:hint="eastAsia"/>
          <w:kern w:val="0"/>
          <w:sz w:val="21"/>
          <w:szCs w:val="20"/>
          <w14:ligatures w14:val="none"/>
        </w:rPr>
        <w:t xml:space="preserve"> Part 2: Testing guidance for performing electricity grid service</w:t>
      </w:r>
      <w:r>
        <w:rPr>
          <w:rFonts w:ascii="Times New Roman" w:eastAsia="宋体" w:hAnsi="Times New Roman" w:cs="Times New Roman"/>
          <w:kern w:val="0"/>
          <w:sz w:val="21"/>
          <w:szCs w:val="20"/>
          <w14:ligatures w14:val="none"/>
        </w:rPr>
        <w:t>》</w:t>
      </w:r>
      <w:r>
        <w:rPr>
          <w:rFonts w:ascii="Times New Roman" w:eastAsia="宋体" w:hAnsi="Times New Roman" w:cs="Times New Roman" w:hint="eastAsia"/>
          <w:kern w:val="0"/>
          <w:sz w:val="21"/>
          <w:szCs w:val="20"/>
          <w14:ligatures w14:val="none"/>
        </w:rPr>
        <w:t>、</w:t>
      </w:r>
      <w:r>
        <w:rPr>
          <w:rFonts w:ascii="Times New Roman" w:eastAsia="宋体" w:hAnsi="Times New Roman" w:cs="Times New Roman" w:hint="eastAsia"/>
          <w:kern w:val="0"/>
          <w:sz w:val="21"/>
          <w:szCs w:val="20"/>
          <w14:ligatures w14:val="none"/>
        </w:rPr>
        <w:t>ISO/TR 15916-2015</w:t>
      </w:r>
      <w:r>
        <w:rPr>
          <w:rFonts w:ascii="Times New Roman" w:eastAsia="宋体" w:hAnsi="Times New Roman" w:cs="Times New Roman"/>
          <w:kern w:val="0"/>
          <w:sz w:val="21"/>
          <w:szCs w:val="20"/>
          <w14:ligatures w14:val="none"/>
        </w:rPr>
        <w:t>《</w:t>
      </w:r>
      <w:r>
        <w:rPr>
          <w:rFonts w:ascii="Times New Roman" w:eastAsia="宋体" w:hAnsi="Times New Roman" w:cs="Times New Roman" w:hint="eastAsia"/>
          <w:kern w:val="0"/>
          <w:sz w:val="21"/>
          <w:szCs w:val="20"/>
          <w14:ligatures w14:val="none"/>
        </w:rPr>
        <w:t>Basic considerations for the safety of hydrogen systems</w:t>
      </w:r>
      <w:r>
        <w:rPr>
          <w:rFonts w:ascii="Times New Roman" w:eastAsia="宋体" w:hAnsi="Times New Roman" w:cs="Times New Roman"/>
          <w:kern w:val="0"/>
          <w:sz w:val="21"/>
          <w:szCs w:val="20"/>
          <w14:ligatures w14:val="none"/>
        </w:rPr>
        <w:t>》</w:t>
      </w:r>
      <w:r>
        <w:rPr>
          <w:rFonts w:ascii="Times New Roman" w:eastAsia="宋体" w:hAnsi="Times New Roman" w:cs="Times New Roman" w:hint="eastAsia"/>
          <w:kern w:val="0"/>
          <w:sz w:val="21"/>
          <w:szCs w:val="20"/>
          <w14:ligatures w14:val="none"/>
        </w:rPr>
        <w:t>等</w:t>
      </w:r>
      <w:r>
        <w:rPr>
          <w:rFonts w:ascii="宋体" w:eastAsia="宋体" w:hAnsi="Times New Roman" w:cs="Times New Roman" w:hint="eastAsia"/>
          <w:kern w:val="0"/>
          <w:sz w:val="21"/>
          <w:szCs w:val="20"/>
          <w14:ligatures w14:val="none"/>
        </w:rPr>
        <w:t>为电解制氢的通用要求，未涵盖针对电力系统用制氢系统运行维护的详细规程，且国外电网运行工况、互动交易市场与国内不同，不宜直接采标。</w:t>
      </w:r>
    </w:p>
    <w:p w14:paraId="27C469D5" w14:textId="77777777" w:rsidR="00D56751" w:rsidRDefault="00000000">
      <w:pPr>
        <w:widowControl/>
        <w:tabs>
          <w:tab w:val="center" w:pos="4201"/>
          <w:tab w:val="right" w:leader="dot" w:pos="9298"/>
        </w:tabs>
        <w:autoSpaceDE w:val="0"/>
        <w:autoSpaceDN w:val="0"/>
        <w:spacing w:after="0" w:line="240" w:lineRule="auto"/>
        <w:ind w:firstLineChars="200" w:firstLine="422"/>
        <w:jc w:val="both"/>
        <w:rPr>
          <w:rFonts w:ascii="宋体" w:eastAsia="宋体" w:hAnsi="Times New Roman" w:cs="Times New Roman"/>
          <w:kern w:val="0"/>
          <w:sz w:val="21"/>
          <w:szCs w:val="20"/>
          <w14:ligatures w14:val="none"/>
        </w:rPr>
      </w:pPr>
      <w:r>
        <w:rPr>
          <w:rFonts w:ascii="宋体" w:eastAsia="宋体" w:hAnsi="Times New Roman" w:cs="Times New Roman" w:hint="eastAsia"/>
          <w:b/>
          <w:bCs/>
          <w:kern w:val="0"/>
          <w:sz w:val="21"/>
          <w:szCs w:val="20"/>
          <w14:ligatures w14:val="none"/>
        </w:rPr>
        <w:t>国内标准情况：</w:t>
      </w:r>
      <w:r>
        <w:rPr>
          <w:rFonts w:ascii="宋体" w:eastAsia="宋体" w:hAnsi="Times New Roman" w:cs="Times New Roman" w:hint="eastAsia"/>
          <w:kern w:val="0"/>
          <w:sz w:val="21"/>
          <w:szCs w:val="20"/>
          <w14:ligatures w14:val="none"/>
        </w:rPr>
        <w:t>国内水电解制氢技术的标准重点关注电解制氢系统的技术规范、试验方法等，如GB 32311-2015《水电解制氢系统能效限定值及能效等级》、GB/T 19774-2005《水电解制氢系统技术要求》等，GB/T 37563-2019《压力型水电解制氢系统安全要求》标准中对制氢系统的环境条件、安全防爆、氢气泄漏、应急处理等安全方面进行了规定，但未指明应用场景，一般用于化工生产行业，且只规定了人员与设备的基本操作规范，并未针对应用在电力系统中的制氢系统，且未给出具体异常与故障情况下的具体操作方法，国内在此标准领域尚为空白。</w:t>
      </w:r>
    </w:p>
    <w:p w14:paraId="351CD158" w14:textId="77777777" w:rsidR="00D56751" w:rsidRDefault="00000000">
      <w:pPr>
        <w:keepNext/>
        <w:keepLines/>
        <w:spacing w:beforeLines="100" w:before="312" w:afterLines="100" w:after="312" w:line="240" w:lineRule="auto"/>
        <w:jc w:val="both"/>
        <w:outlineLvl w:val="0"/>
        <w:rPr>
          <w:rFonts w:ascii="宋体" w:eastAsia="黑体" w:hAnsi="宋体" w:cs="Times New Roman"/>
          <w:kern w:val="44"/>
          <w:sz w:val="21"/>
          <w:szCs w:val="21"/>
          <w14:ligatures w14:val="none"/>
        </w:rPr>
      </w:pPr>
      <w:bookmarkStart w:id="32" w:name="_Toc28726"/>
      <w:r>
        <w:rPr>
          <w:rFonts w:ascii="宋体" w:eastAsia="黑体" w:hAnsi="宋体" w:cs="Times New Roman" w:hint="eastAsia"/>
          <w:kern w:val="44"/>
          <w:sz w:val="21"/>
          <w:szCs w:val="21"/>
          <w14:ligatures w14:val="none"/>
        </w:rPr>
        <w:t>6</w:t>
      </w:r>
      <w:r>
        <w:rPr>
          <w:rFonts w:ascii="宋体" w:eastAsia="黑体" w:hAnsi="宋体" w:cs="Times New Roman" w:hint="eastAsia"/>
          <w:kern w:val="44"/>
          <w:sz w:val="21"/>
          <w:szCs w:val="21"/>
          <w14:ligatures w14:val="none"/>
        </w:rPr>
        <w:t>标准实施措施说明</w:t>
      </w:r>
      <w:bookmarkEnd w:id="32"/>
    </w:p>
    <w:p w14:paraId="2D97E2F4" w14:textId="77777777" w:rsidR="00D56751" w:rsidRDefault="00000000">
      <w:pPr>
        <w:widowControl/>
        <w:tabs>
          <w:tab w:val="center" w:pos="4201"/>
          <w:tab w:val="right" w:leader="dot" w:pos="9298"/>
        </w:tabs>
        <w:autoSpaceDE w:val="0"/>
        <w:autoSpaceDN w:val="0"/>
        <w:spacing w:after="0" w:line="240" w:lineRule="auto"/>
        <w:ind w:firstLineChars="200" w:firstLine="420"/>
        <w:jc w:val="both"/>
        <w:rPr>
          <w:rFonts w:ascii="宋体" w:eastAsia="宋体" w:hAnsi="Times New Roman" w:cs="Times New Roman"/>
          <w:kern w:val="0"/>
          <w:sz w:val="21"/>
          <w:szCs w:val="20"/>
          <w14:ligatures w14:val="none"/>
        </w:rPr>
      </w:pPr>
      <w:r>
        <w:rPr>
          <w:rFonts w:ascii="宋体" w:eastAsia="宋体" w:hAnsi="Times New Roman" w:cs="Times New Roman" w:hint="eastAsia"/>
          <w:kern w:val="0"/>
          <w:sz w:val="21"/>
          <w:szCs w:val="20"/>
          <w14:ligatures w14:val="none"/>
        </w:rPr>
        <w:t>（1）标准培训工作的实施措施</w:t>
      </w:r>
    </w:p>
    <w:p w14:paraId="36EA7725" w14:textId="77777777" w:rsidR="00D56751" w:rsidRDefault="00000000">
      <w:pPr>
        <w:widowControl/>
        <w:tabs>
          <w:tab w:val="center" w:pos="4201"/>
          <w:tab w:val="right" w:leader="dot" w:pos="9298"/>
        </w:tabs>
        <w:autoSpaceDE w:val="0"/>
        <w:autoSpaceDN w:val="0"/>
        <w:spacing w:after="0" w:line="240" w:lineRule="auto"/>
        <w:ind w:firstLineChars="200" w:firstLine="420"/>
        <w:jc w:val="both"/>
        <w:rPr>
          <w:rFonts w:ascii="宋体" w:eastAsia="宋体" w:hAnsi="Times New Roman" w:cs="Times New Roman"/>
          <w:kern w:val="0"/>
          <w:sz w:val="21"/>
          <w:szCs w:val="20"/>
          <w14:ligatures w14:val="none"/>
        </w:rPr>
      </w:pPr>
      <w:r>
        <w:rPr>
          <w:rFonts w:ascii="宋体" w:eastAsia="宋体" w:hAnsi="Times New Roman" w:cs="Times New Roman" w:hint="eastAsia"/>
          <w:kern w:val="0"/>
          <w:sz w:val="21"/>
          <w:szCs w:val="20"/>
          <w14:ligatures w14:val="none"/>
        </w:rPr>
        <w:t>组织参加国家、省、市举办的</w:t>
      </w:r>
      <w:r>
        <w:rPr>
          <w:rFonts w:ascii="宋体" w:eastAsia="宋体" w:hAnsi="Times New Roman" w:cs="Times New Roman"/>
          <w:kern w:val="0"/>
          <w:sz w:val="21"/>
          <w:szCs w:val="20"/>
          <w14:ligatures w14:val="none"/>
        </w:rPr>
        <w:t>标准宣贯、培训会，各级标准化主管部门委托标准化技术机构、标准化行业协会或类似社会 组织开展宣贯培训班，学习《标准编制说明编写规范》，推动实施标准和使用</w:t>
      </w:r>
      <w:r>
        <w:rPr>
          <w:rFonts w:ascii="宋体" w:eastAsia="宋体" w:hAnsi="Times New Roman" w:cs="Times New Roman" w:hint="eastAsia"/>
          <w:kern w:val="0"/>
          <w:sz w:val="21"/>
          <w:szCs w:val="20"/>
          <w14:ligatures w14:val="none"/>
        </w:rPr>
        <w:t>；对于基础标准要采取直接宣贯，对标准条文进行宣贯，如标准的结构和编写、术语等标准。</w:t>
      </w:r>
    </w:p>
    <w:p w14:paraId="5BE98B60" w14:textId="77777777" w:rsidR="00D56751" w:rsidRDefault="00000000">
      <w:pPr>
        <w:widowControl/>
        <w:tabs>
          <w:tab w:val="center" w:pos="4201"/>
          <w:tab w:val="right" w:leader="dot" w:pos="9298"/>
        </w:tabs>
        <w:autoSpaceDE w:val="0"/>
        <w:autoSpaceDN w:val="0"/>
        <w:spacing w:after="0" w:line="240" w:lineRule="auto"/>
        <w:ind w:firstLineChars="200" w:firstLine="420"/>
        <w:jc w:val="both"/>
        <w:rPr>
          <w:rFonts w:ascii="宋体" w:eastAsia="宋体" w:hAnsi="Times New Roman" w:cs="Times New Roman"/>
          <w:kern w:val="0"/>
          <w:sz w:val="21"/>
          <w:szCs w:val="20"/>
          <w14:ligatures w14:val="none"/>
        </w:rPr>
      </w:pPr>
      <w:r>
        <w:rPr>
          <w:rFonts w:ascii="宋体" w:eastAsia="宋体" w:hAnsi="Times New Roman" w:cs="Times New Roman" w:hint="eastAsia"/>
          <w:kern w:val="0"/>
          <w:sz w:val="21"/>
          <w:szCs w:val="20"/>
          <w14:ligatures w14:val="none"/>
        </w:rPr>
        <w:t>（2）推广应用标准的实施措施</w:t>
      </w:r>
    </w:p>
    <w:p w14:paraId="2994BFE9" w14:textId="77777777" w:rsidR="00D56751" w:rsidRDefault="00000000">
      <w:pPr>
        <w:widowControl/>
        <w:tabs>
          <w:tab w:val="center" w:pos="4201"/>
          <w:tab w:val="right" w:leader="dot" w:pos="9298"/>
        </w:tabs>
        <w:autoSpaceDE w:val="0"/>
        <w:autoSpaceDN w:val="0"/>
        <w:spacing w:after="0" w:line="240" w:lineRule="auto"/>
        <w:ind w:firstLineChars="200" w:firstLine="420"/>
        <w:jc w:val="both"/>
        <w:rPr>
          <w:rFonts w:ascii="宋体" w:eastAsia="宋体" w:hAnsi="Times New Roman" w:cs="Times New Roman"/>
          <w:kern w:val="0"/>
          <w:sz w:val="21"/>
          <w:szCs w:val="20"/>
          <w14:ligatures w14:val="none"/>
        </w:rPr>
      </w:pPr>
      <w:r>
        <w:rPr>
          <w:rFonts w:ascii="宋体" w:eastAsia="宋体" w:hAnsi="Times New Roman" w:cs="Times New Roman" w:hint="eastAsia"/>
          <w:kern w:val="0"/>
          <w:sz w:val="21"/>
          <w:szCs w:val="20"/>
          <w14:ligatures w14:val="none"/>
        </w:rPr>
        <w:t>依托团队丰富的标准化工作经验，携手推动标准实施，同时</w:t>
      </w:r>
      <w:r>
        <w:rPr>
          <w:rFonts w:ascii="宋体" w:eastAsia="宋体" w:hAnsi="Times New Roman" w:cs="Times New Roman"/>
          <w:kern w:val="0"/>
          <w:sz w:val="21"/>
          <w:szCs w:val="20"/>
          <w14:ligatures w14:val="none"/>
        </w:rPr>
        <w:t xml:space="preserve">利用各类新闻媒体或采用其他方式，广泛宣传《标准编制说明编写规范》。 </w:t>
      </w:r>
      <w:r>
        <w:rPr>
          <w:rFonts w:ascii="宋体" w:eastAsia="宋体" w:hAnsi="Times New Roman" w:cs="Times New Roman" w:hint="eastAsia"/>
          <w:kern w:val="0"/>
          <w:sz w:val="21"/>
          <w:szCs w:val="20"/>
          <w14:ligatures w14:val="none"/>
        </w:rPr>
        <w:t>项目团队为中国电机工程学会氢能技术专业委员会秘书处单位，现已制定氢能国家标准4项，行业标准5项，团体标准8项，在氢能领域标准化方面工作经验丰富，可将本项目成果在全国内进行完善和推广，形成权威的标准体系，支撑我国电解制氢行业快速发展。</w:t>
      </w:r>
    </w:p>
    <w:p w14:paraId="4A9325E9" w14:textId="77777777" w:rsidR="00D56751" w:rsidRDefault="00000000">
      <w:pPr>
        <w:widowControl/>
        <w:autoSpaceDE w:val="0"/>
        <w:autoSpaceDN w:val="0"/>
        <w:spacing w:after="0" w:line="360" w:lineRule="auto"/>
        <w:ind w:firstLineChars="200" w:firstLine="420"/>
        <w:rPr>
          <w:rFonts w:ascii="Times New Roman" w:eastAsia="宋体" w:hAnsi="Times New Roman" w:cs="Times New Roman"/>
          <w:kern w:val="0"/>
          <w:sz w:val="21"/>
          <w:szCs w:val="21"/>
          <w14:ligatures w14:val="none"/>
        </w:rPr>
      </w:pPr>
      <w:r>
        <w:rPr>
          <w:rFonts w:ascii="Times New Roman" w:eastAsia="宋体" w:hAnsi="Times New Roman" w:cs="Times New Roman" w:hint="eastAsia"/>
          <w:kern w:val="0"/>
          <w:sz w:val="21"/>
          <w:szCs w:val="21"/>
          <w14:ligatures w14:val="none"/>
        </w:rPr>
        <w:t xml:space="preserve">          </w:t>
      </w:r>
    </w:p>
    <w:p w14:paraId="0A223470" w14:textId="77777777" w:rsidR="00D56751" w:rsidRDefault="00D56751">
      <w:pPr>
        <w:spacing w:after="0" w:line="240" w:lineRule="auto"/>
        <w:jc w:val="both"/>
        <w:rPr>
          <w:rFonts w:ascii="黑体" w:eastAsia="黑体" w:hAnsi="黑体" w:cs="Times New Roman"/>
          <w:bCs/>
          <w:sz w:val="32"/>
          <w:szCs w:val="32"/>
          <w14:ligatures w14:val="none"/>
        </w:rPr>
      </w:pPr>
    </w:p>
    <w:p w14:paraId="5D426987" w14:textId="77777777" w:rsidR="00D56751" w:rsidRDefault="00D56751"/>
    <w:sectPr w:rsidR="00D5675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BF5F10" w14:textId="77777777" w:rsidR="00087BDF" w:rsidRDefault="00087BDF">
      <w:pPr>
        <w:spacing w:line="240" w:lineRule="auto"/>
      </w:pPr>
      <w:r>
        <w:separator/>
      </w:r>
    </w:p>
  </w:endnote>
  <w:endnote w:type="continuationSeparator" w:id="0">
    <w:p w14:paraId="456F5766" w14:textId="77777777" w:rsidR="00087BDF" w:rsidRDefault="00087B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9AF80" w14:textId="77777777" w:rsidR="00D56751" w:rsidRDefault="00000000">
    <w:pPr>
      <w:pStyle w:val="af1"/>
      <w:jc w:val="center"/>
    </w:pPr>
    <w:r>
      <w:rPr>
        <w:noProof/>
      </w:rPr>
      <mc:AlternateContent>
        <mc:Choice Requires="wps">
          <w:drawing>
            <wp:anchor distT="0" distB="0" distL="114300" distR="114300" simplePos="0" relativeHeight="251660288" behindDoc="0" locked="0" layoutInCell="1" allowOverlap="1" wp14:anchorId="2A7F5CA3" wp14:editId="7311B22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64A82E" w14:textId="77777777" w:rsidR="00D56751" w:rsidRDefault="00000000">
                          <w:pPr>
                            <w:pStyle w:val="af1"/>
                            <w:jc w:val="center"/>
                          </w:pPr>
                          <w:r>
                            <w:rPr>
                              <w:kern w:val="2"/>
                            </w:rPr>
                            <w:fldChar w:fldCharType="begin"/>
                          </w:r>
                          <w:r>
                            <w:rPr>
                              <w:rStyle w:val="aa"/>
                            </w:rPr>
                            <w:instrText xml:space="preserve"> PAGE </w:instrText>
                          </w:r>
                          <w:r>
                            <w:rPr>
                              <w:kern w:val="2"/>
                            </w:rPr>
                            <w:fldChar w:fldCharType="separate"/>
                          </w:r>
                          <w:r>
                            <w:rPr>
                              <w:rStyle w:val="aa"/>
                            </w:rPr>
                            <w:t>26</w:t>
                          </w:r>
                          <w:r>
                            <w:rPr>
                              <w:kern w:val="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9"/>
                      <w:jc w:val="center"/>
                    </w:pPr>
                    <w:r>
                      <w:rPr>
                        <w:kern w:val="2"/>
                      </w:rPr>
                      <w:fldChar w:fldCharType="begin"/>
                    </w:r>
                    <w:r>
                      <w:rPr>
                        <w:rStyle w:val="18"/>
                      </w:rPr>
                      <w:instrText xml:space="preserve"> PAGE </w:instrText>
                    </w:r>
                    <w:r>
                      <w:rPr>
                        <w:kern w:val="2"/>
                      </w:rPr>
                      <w:fldChar w:fldCharType="separate"/>
                    </w:r>
                    <w:r>
                      <w:rPr>
                        <w:rStyle w:val="18"/>
                      </w:rPr>
                      <w:t>26</w:t>
                    </w:r>
                    <w:r>
                      <w:rPr>
                        <w:kern w:val="2"/>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0D2FA" w14:textId="77777777" w:rsidR="00D56751" w:rsidRDefault="00000000">
    <w:pPr>
      <w:pStyle w:val="a3"/>
    </w:pPr>
    <w:r>
      <w:rPr>
        <w:noProof/>
      </w:rPr>
      <mc:AlternateContent>
        <mc:Choice Requires="wps">
          <w:drawing>
            <wp:anchor distT="0" distB="0" distL="114300" distR="114300" simplePos="0" relativeHeight="251659264" behindDoc="0" locked="0" layoutInCell="1" allowOverlap="1" wp14:anchorId="08EC7350" wp14:editId="72108253">
              <wp:simplePos x="0" y="0"/>
              <wp:positionH relativeFrom="margin">
                <wp:align>center</wp:align>
              </wp:positionH>
              <wp:positionV relativeFrom="paragraph">
                <wp:posOffset>0</wp:posOffset>
              </wp:positionV>
              <wp:extent cx="116205" cy="139700"/>
              <wp:effectExtent l="0" t="0" r="0" b="0"/>
              <wp:wrapNone/>
              <wp:docPr id="4"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wps:spPr>
                    <wps:txbx>
                      <w:txbxContent>
                        <w:p w14:paraId="47943E4F" w14:textId="77777777" w:rsidR="00D56751" w:rsidRDefault="00000000">
                          <w:pPr>
                            <w:pStyle w:val="a3"/>
                          </w:pPr>
                          <w:r>
                            <w:fldChar w:fldCharType="begin"/>
                          </w:r>
                          <w:r>
                            <w:instrText xml:space="preserve"> PAGE  \* MERGEFORMAT </w:instrText>
                          </w:r>
                          <w:r>
                            <w:fldChar w:fldCharType="separate"/>
                          </w:r>
                          <w:r>
                            <w:t>33</w:t>
                          </w:r>
                          <w:r>
                            <w:fldChar w:fldCharType="end"/>
                          </w:r>
                        </w:p>
                      </w:txbxContent>
                    </wps:txbx>
                    <wps:bodyPr rot="0" vert="horz" wrap="none" lIns="0" tIns="0" rIns="0" bIns="0" anchor="t" anchorCtr="0" upright="1">
                      <a:spAutoFit/>
                    </wps:bodyPr>
                  </wps:wsp>
                </a:graphicData>
              </a:graphic>
            </wp:anchor>
          </w:drawing>
        </mc:Choice>
        <mc:Fallback xmlns:wpsCustomData="http://www.wps.cn/officeDocument/2013/wpsCustomData">
          <w:pict>
            <v:shape id="文本框 5" o:spid="_x0000_s1026" o:spt="202" type="#_x0000_t202" style="position:absolute;left:0pt;margin-top:0pt;height:11pt;width:9.15pt;mso-position-horizontal:center;mso-position-horizontal-relative:margin;mso-wrap-style:none;z-index:251659264;mso-width-relative:page;mso-height-relative:page;" filled="f" stroked="f" coordsize="21600,21600"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YulhTQAAAAAwEAAA8AAAAAAAAAAQAgAAAAIgAAAGRycy9k&#10;b3ducmV2LnhtbFBLAQIUABQAAAAIAIdO4kAtlo8yCgIAAAIEAAAOAAAAAAAAAAEAIAAAAB8BAABk&#10;cnMvZTJvRG9jLnhtbFBLBQYAAAAABgAGAFkBAACbBQAAAAA=&#10;">
              <v:fill on="f" focussize="0,0"/>
              <v:stroke on="f"/>
              <v:imagedata o:title=""/>
              <o:lock v:ext="edit" aspectratio="f"/>
              <v:textbox inset="0mm,0mm,0mm,0mm" style="mso-fit-shape-to-text:t;">
                <w:txbxContent>
                  <w:p>
                    <w:pPr>
                      <w:pStyle w:val="11"/>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E7595C" w14:textId="77777777" w:rsidR="00087BDF" w:rsidRDefault="00087BDF">
      <w:pPr>
        <w:spacing w:after="0"/>
      </w:pPr>
      <w:r>
        <w:separator/>
      </w:r>
    </w:p>
  </w:footnote>
  <w:footnote w:type="continuationSeparator" w:id="0">
    <w:p w14:paraId="0FDB9D2F" w14:textId="77777777" w:rsidR="00087BDF" w:rsidRDefault="00087BD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EAFDB" w14:textId="77777777" w:rsidR="00D56751" w:rsidRDefault="00000000">
    <w:pPr>
      <w:pStyle w:val="af0"/>
      <w:spacing w:before="120" w:after="120"/>
      <w:jc w:val="both"/>
    </w:pPr>
    <w:r>
      <w:t>Q/</w:t>
    </w:r>
    <w:r>
      <w:rPr>
        <w:rFonts w:hint="eastAsia"/>
      </w:rPr>
      <w:t>GDW</w:t>
    </w:r>
    <w:r>
      <w:rPr>
        <w:rFonts w:hAnsi="宋体" w:hint="eastAsia"/>
      </w:rPr>
      <w:t xml:space="preserve"> </w:t>
    </w:r>
    <w:r>
      <w:rPr>
        <w:rFonts w:hAnsi="黑体" w:hint="eastAsia"/>
      </w:rPr>
      <w:t>XX-XXX</w:t>
    </w:r>
    <w:r>
      <w:rPr>
        <w:rFonts w:hAnsi="黑体"/>
      </w:rPr>
      <w:t>—</w:t>
    </w:r>
    <w:r>
      <w:rPr>
        <w:rFonts w:hAnsi="黑体" w:hint="eastAsia"/>
      </w:rPr>
      <w:t>2012-1XXXX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C18F9" w14:textId="77777777" w:rsidR="00D56751" w:rsidRDefault="00000000">
    <w:pPr>
      <w:pStyle w:val="af0"/>
      <w:wordWrap w:val="0"/>
    </w:pPr>
    <w:r>
      <w:rPr>
        <w:rFonts w:hint="eastAsia"/>
      </w:rPr>
      <w:t>T</w:t>
    </w:r>
    <w:r>
      <w:t>/</w:t>
    </w:r>
    <w:r>
      <w:rPr>
        <w:rFonts w:hint="eastAsia"/>
      </w:rPr>
      <w:t>CSEE</w:t>
    </w:r>
    <w:r>
      <w:rPr>
        <w:rFonts w:hAnsi="黑体" w:hint="eastAsia"/>
      </w:rPr>
      <w:t xml:space="preserve"> XXXX-YYYY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5F03A" w14:textId="77777777" w:rsidR="00D56751" w:rsidRDefault="00D56751">
    <w:pPr>
      <w:pStyle w:val="af0"/>
      <w:wordWrap w:val="0"/>
      <w:spacing w:before="120"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4C1DD05"/>
    <w:multiLevelType w:val="singleLevel"/>
    <w:tmpl w:val="E4C1DD05"/>
    <w:lvl w:ilvl="0">
      <w:start w:val="1"/>
      <w:numFmt w:val="decimal"/>
      <w:suff w:val="nothing"/>
      <w:lvlText w:val="（%1）"/>
      <w:lvlJc w:val="left"/>
    </w:lvl>
  </w:abstractNum>
  <w:num w:numId="1" w16cid:durableId="470371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A3MGQxNzQ0MWNmZmY5NDk5MDc2MWU4OWNjNDMxMzcifQ=="/>
  </w:docVars>
  <w:rsids>
    <w:rsidRoot w:val="00027600"/>
    <w:rsid w:val="00027600"/>
    <w:rsid w:val="00087BDF"/>
    <w:rsid w:val="0075330B"/>
    <w:rsid w:val="00C95BA6"/>
    <w:rsid w:val="00D06D5E"/>
    <w:rsid w:val="00D56751"/>
    <w:rsid w:val="00EB38B3"/>
    <w:rsid w:val="122A2B69"/>
    <w:rsid w:val="2E0A5BEF"/>
    <w:rsid w:val="3C592D3E"/>
    <w:rsid w:val="58170E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B88409"/>
  <w15:docId w15:val="{589DBAE7-77FD-4065-99FA-0988D3F56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78" w:lineRule="auto"/>
    </w:pPr>
    <w:rPr>
      <w:rFonts w:asciiTheme="minorHAnsi" w:eastAsiaTheme="minorEastAsia" w:hAnsiTheme="minorHAnsi" w:cstheme="minorBidi"/>
      <w:kern w:val="2"/>
      <w:sz w:val="22"/>
      <w:szCs w:val="24"/>
      <w14:ligatures w14:val="standardContextual"/>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spacing w:line="240" w:lineRule="auto"/>
    </w:pPr>
    <w:rPr>
      <w:sz w:val="18"/>
      <w:szCs w:val="18"/>
    </w:rPr>
  </w:style>
  <w:style w:type="paragraph" w:styleId="TOC1">
    <w:name w:val="toc 1"/>
    <w:basedOn w:val="a"/>
    <w:next w:val="a"/>
    <w:uiPriority w:val="39"/>
    <w:semiHidden/>
    <w:unhideWhenUsed/>
    <w:qFormat/>
  </w:style>
  <w:style w:type="paragraph" w:styleId="a5">
    <w:name w:val="Subtitle"/>
    <w:basedOn w:val="a"/>
    <w:next w:val="a"/>
    <w:link w:val="a6"/>
    <w:uiPriority w:val="11"/>
    <w:qFormat/>
    <w:pPr>
      <w:jc w:val="center"/>
    </w:pPr>
    <w:rPr>
      <w:rFonts w:asciiTheme="majorHAnsi" w:eastAsiaTheme="majorEastAsia" w:hAnsiTheme="majorHAnsi" w:cstheme="majorBidi"/>
      <w:color w:val="595959" w:themeColor="text1" w:themeTint="A6"/>
      <w:spacing w:val="15"/>
      <w:sz w:val="28"/>
      <w:szCs w:val="28"/>
    </w:rPr>
  </w:style>
  <w:style w:type="paragraph" w:styleId="a7">
    <w:name w:val="Title"/>
    <w:basedOn w:val="a"/>
    <w:next w:val="a"/>
    <w:link w:val="a8"/>
    <w:uiPriority w:val="10"/>
    <w:qFormat/>
    <w:pPr>
      <w:spacing w:after="80" w:line="240" w:lineRule="auto"/>
      <w:contextualSpacing/>
      <w:jc w:val="center"/>
    </w:pPr>
    <w:rPr>
      <w:rFonts w:asciiTheme="majorHAnsi" w:eastAsiaTheme="majorEastAsia" w:hAnsiTheme="majorHAnsi" w:cstheme="majorBidi"/>
      <w:spacing w:val="-10"/>
      <w:kern w:val="28"/>
      <w:sz w:val="56"/>
      <w:szCs w:val="56"/>
    </w:rPr>
  </w:style>
  <w:style w:type="character" w:styleId="a9">
    <w:name w:val="Strong"/>
    <w:basedOn w:val="a0"/>
    <w:uiPriority w:val="22"/>
    <w:qFormat/>
    <w:rPr>
      <w:b/>
    </w:rPr>
  </w:style>
  <w:style w:type="character" w:styleId="aa">
    <w:name w:val="page number"/>
    <w:qFormat/>
    <w:rPr>
      <w:rFonts w:ascii="Times New Roman" w:eastAsia="宋体" w:hAnsi="Times New Roman"/>
      <w:sz w:val="18"/>
    </w:rPr>
  </w:style>
  <w:style w:type="character" w:customStyle="1" w:styleId="10">
    <w:name w:val="标题 1 字符"/>
    <w:basedOn w:val="a0"/>
    <w:link w:val="1"/>
    <w:uiPriority w:val="9"/>
    <w:qFormat/>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qFormat/>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qFormat/>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qFormat/>
    <w:rPr>
      <w:rFonts w:cstheme="majorBidi"/>
      <w:color w:val="0F4761" w:themeColor="accent1" w:themeShade="BF"/>
      <w:sz w:val="28"/>
      <w:szCs w:val="28"/>
    </w:rPr>
  </w:style>
  <w:style w:type="character" w:customStyle="1" w:styleId="50">
    <w:name w:val="标题 5 字符"/>
    <w:basedOn w:val="a0"/>
    <w:link w:val="5"/>
    <w:uiPriority w:val="9"/>
    <w:semiHidden/>
    <w:qFormat/>
    <w:rPr>
      <w:rFonts w:cstheme="majorBidi"/>
      <w:color w:val="0F4761" w:themeColor="accent1" w:themeShade="BF"/>
      <w:sz w:val="24"/>
    </w:rPr>
  </w:style>
  <w:style w:type="character" w:customStyle="1" w:styleId="60">
    <w:name w:val="标题 6 字符"/>
    <w:basedOn w:val="a0"/>
    <w:link w:val="6"/>
    <w:uiPriority w:val="9"/>
    <w:semiHidden/>
    <w:qFormat/>
    <w:rPr>
      <w:rFonts w:cstheme="majorBidi"/>
      <w:b/>
      <w:bCs/>
      <w:color w:val="0F4761" w:themeColor="accent1" w:themeShade="BF"/>
    </w:rPr>
  </w:style>
  <w:style w:type="character" w:customStyle="1" w:styleId="70">
    <w:name w:val="标题 7 字符"/>
    <w:basedOn w:val="a0"/>
    <w:link w:val="7"/>
    <w:uiPriority w:val="9"/>
    <w:semiHidden/>
    <w:qFormat/>
    <w:rPr>
      <w:rFonts w:cstheme="majorBidi"/>
      <w:b/>
      <w:bCs/>
      <w:color w:val="595959" w:themeColor="text1" w:themeTint="A6"/>
    </w:rPr>
  </w:style>
  <w:style w:type="character" w:customStyle="1" w:styleId="80">
    <w:name w:val="标题 8 字符"/>
    <w:basedOn w:val="a0"/>
    <w:link w:val="8"/>
    <w:uiPriority w:val="9"/>
    <w:semiHidden/>
    <w:qFormat/>
    <w:rPr>
      <w:rFonts w:cstheme="majorBidi"/>
      <w:color w:val="595959" w:themeColor="text1" w:themeTint="A6"/>
    </w:rPr>
  </w:style>
  <w:style w:type="character" w:customStyle="1" w:styleId="90">
    <w:name w:val="标题 9 字符"/>
    <w:basedOn w:val="a0"/>
    <w:link w:val="9"/>
    <w:uiPriority w:val="9"/>
    <w:semiHidden/>
    <w:qFormat/>
    <w:rPr>
      <w:rFonts w:eastAsiaTheme="majorEastAsia" w:cstheme="majorBidi"/>
      <w:color w:val="595959" w:themeColor="text1" w:themeTint="A6"/>
    </w:rPr>
  </w:style>
  <w:style w:type="character" w:customStyle="1" w:styleId="a8">
    <w:name w:val="标题 字符"/>
    <w:basedOn w:val="a0"/>
    <w:link w:val="a7"/>
    <w:uiPriority w:val="10"/>
    <w:qFormat/>
    <w:rPr>
      <w:rFonts w:asciiTheme="majorHAnsi" w:eastAsiaTheme="majorEastAsia" w:hAnsiTheme="majorHAnsi" w:cstheme="majorBidi"/>
      <w:spacing w:val="-10"/>
      <w:kern w:val="28"/>
      <w:sz w:val="56"/>
      <w:szCs w:val="56"/>
    </w:rPr>
  </w:style>
  <w:style w:type="character" w:customStyle="1" w:styleId="a6">
    <w:name w:val="副标题 字符"/>
    <w:basedOn w:val="a0"/>
    <w:link w:val="a5"/>
    <w:uiPriority w:val="11"/>
    <w:qFormat/>
    <w:rPr>
      <w:rFonts w:asciiTheme="majorHAnsi" w:eastAsiaTheme="majorEastAsia" w:hAnsiTheme="majorHAnsi" w:cstheme="majorBidi"/>
      <w:color w:val="595959" w:themeColor="text1" w:themeTint="A6"/>
      <w:spacing w:val="15"/>
      <w:sz w:val="28"/>
      <w:szCs w:val="28"/>
    </w:rPr>
  </w:style>
  <w:style w:type="paragraph" w:styleId="ab">
    <w:name w:val="Quote"/>
    <w:basedOn w:val="a"/>
    <w:next w:val="a"/>
    <w:link w:val="ac"/>
    <w:uiPriority w:val="29"/>
    <w:qFormat/>
    <w:pPr>
      <w:spacing w:before="160"/>
      <w:jc w:val="center"/>
    </w:pPr>
    <w:rPr>
      <w:i/>
      <w:iCs/>
      <w:color w:val="404040" w:themeColor="text1" w:themeTint="BF"/>
    </w:rPr>
  </w:style>
  <w:style w:type="character" w:customStyle="1" w:styleId="ac">
    <w:name w:val="引用 字符"/>
    <w:basedOn w:val="a0"/>
    <w:link w:val="ab"/>
    <w:uiPriority w:val="29"/>
    <w:qFormat/>
    <w:rPr>
      <w:i/>
      <w:iCs/>
      <w:color w:val="404040" w:themeColor="text1" w:themeTint="BF"/>
    </w:rPr>
  </w:style>
  <w:style w:type="paragraph" w:styleId="ad">
    <w:name w:val="List Paragraph"/>
    <w:basedOn w:val="a"/>
    <w:uiPriority w:val="34"/>
    <w:qFormat/>
    <w:pPr>
      <w:ind w:left="720"/>
      <w:contextualSpacing/>
    </w:pPr>
  </w:style>
  <w:style w:type="character" w:customStyle="1" w:styleId="11">
    <w:name w:val="明显强调1"/>
    <w:basedOn w:val="a0"/>
    <w:uiPriority w:val="21"/>
    <w:qFormat/>
    <w:rPr>
      <w:i/>
      <w:iCs/>
      <w:color w:val="0F4761" w:themeColor="accent1" w:themeShade="BF"/>
    </w:rPr>
  </w:style>
  <w:style w:type="paragraph" w:styleId="ae">
    <w:name w:val="Intense Quote"/>
    <w:basedOn w:val="a"/>
    <w:next w:val="a"/>
    <w:link w:val="af"/>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
    <w:name w:val="明显引用 字符"/>
    <w:basedOn w:val="a0"/>
    <w:link w:val="ae"/>
    <w:uiPriority w:val="30"/>
    <w:qFormat/>
    <w:rPr>
      <w:i/>
      <w:iCs/>
      <w:color w:val="0F4761" w:themeColor="accent1" w:themeShade="BF"/>
    </w:rPr>
  </w:style>
  <w:style w:type="character" w:customStyle="1" w:styleId="12">
    <w:name w:val="明显参考1"/>
    <w:basedOn w:val="a0"/>
    <w:uiPriority w:val="32"/>
    <w:qFormat/>
    <w:rPr>
      <w:b/>
      <w:bCs/>
      <w:smallCaps/>
      <w:color w:val="0F4761" w:themeColor="accent1" w:themeShade="BF"/>
      <w:spacing w:val="5"/>
    </w:rPr>
  </w:style>
  <w:style w:type="character" w:customStyle="1" w:styleId="a4">
    <w:name w:val="页脚 字符"/>
    <w:basedOn w:val="a0"/>
    <w:link w:val="a3"/>
    <w:uiPriority w:val="99"/>
    <w:qFormat/>
    <w:rPr>
      <w:sz w:val="18"/>
      <w:szCs w:val="18"/>
    </w:rPr>
  </w:style>
  <w:style w:type="paragraph" w:customStyle="1" w:styleId="af0">
    <w:name w:val="标准书眉_奇数页"/>
    <w:next w:val="a"/>
    <w:qFormat/>
    <w:pPr>
      <w:tabs>
        <w:tab w:val="center" w:pos="4154"/>
        <w:tab w:val="right" w:pos="8306"/>
      </w:tabs>
      <w:spacing w:after="220"/>
      <w:jc w:val="right"/>
    </w:pPr>
    <w:rPr>
      <w:rFonts w:ascii="黑体" w:eastAsia="黑体"/>
      <w:sz w:val="21"/>
      <w:szCs w:val="21"/>
    </w:rPr>
  </w:style>
  <w:style w:type="paragraph" w:customStyle="1" w:styleId="af1">
    <w:name w:val="标准书脚_奇数页"/>
    <w:qFormat/>
    <w:pPr>
      <w:spacing w:before="120"/>
      <w:ind w:right="198"/>
      <w:jc w:val="right"/>
    </w:pPr>
    <w:rPr>
      <w:rFonts w:ascii="宋体"/>
      <w:sz w:val="18"/>
      <w:szCs w:val="18"/>
    </w:rPr>
  </w:style>
  <w:style w:type="paragraph" w:styleId="af2">
    <w:name w:val="header"/>
    <w:basedOn w:val="a"/>
    <w:link w:val="af3"/>
    <w:uiPriority w:val="99"/>
    <w:unhideWhenUsed/>
    <w:rsid w:val="00C95BA6"/>
    <w:pPr>
      <w:tabs>
        <w:tab w:val="center" w:pos="4153"/>
        <w:tab w:val="right" w:pos="8306"/>
      </w:tabs>
      <w:snapToGrid w:val="0"/>
      <w:spacing w:line="240" w:lineRule="auto"/>
      <w:jc w:val="center"/>
    </w:pPr>
    <w:rPr>
      <w:sz w:val="18"/>
      <w:szCs w:val="18"/>
    </w:rPr>
  </w:style>
  <w:style w:type="character" w:customStyle="1" w:styleId="af3">
    <w:name w:val="页眉 字符"/>
    <w:basedOn w:val="a0"/>
    <w:link w:val="af2"/>
    <w:uiPriority w:val="99"/>
    <w:rsid w:val="00C95BA6"/>
    <w:rPr>
      <w:rFonts w:asciiTheme="minorHAnsi" w:eastAsiaTheme="minorEastAsia" w:hAnsiTheme="minorHAnsi" w:cstheme="minorBidi"/>
      <w:kern w:val="2"/>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565</Words>
  <Characters>3221</Characters>
  <Application>Microsoft Office Word</Application>
  <DocSecurity>0</DocSecurity>
  <Lines>26</Lines>
  <Paragraphs>7</Paragraphs>
  <ScaleCrop>false</ScaleCrop>
  <Company>神州网信技术有限公司</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侯坤</dc:creator>
  <cp:lastModifiedBy>侯坤</cp:lastModifiedBy>
  <cp:revision>3</cp:revision>
  <dcterms:created xsi:type="dcterms:W3CDTF">2024-06-21T01:48:00Z</dcterms:created>
  <dcterms:modified xsi:type="dcterms:W3CDTF">2024-07-11T07:22:00Z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A627A4E0464146F984B00E6FABA02DC4_12</vt:lpwstr>
  </property>
</Properties>
</file>