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ascii="公文小标宋简" w:hAnsi="黑体" w:eastAsia="公文小标宋简"/>
          <w:b/>
          <w:color w:val="000000"/>
          <w:sz w:val="44"/>
          <w:szCs w:val="44"/>
        </w:rPr>
      </w:pPr>
      <w:r>
        <w:rPr>
          <w:rFonts w:hint="eastAsia" w:ascii="公文小标宋简" w:hAnsi="黑体" w:eastAsia="公文小标宋简"/>
          <w:b/>
          <w:color w:val="000000"/>
          <w:sz w:val="44"/>
          <w:szCs w:val="44"/>
        </w:rPr>
        <w:t>辅助证明材料提交说明</w:t>
      </w:r>
    </w:p>
    <w:p>
      <w:pPr>
        <w:snapToGrid w:val="0"/>
        <w:spacing w:line="540" w:lineRule="exact"/>
        <w:ind w:firstLine="643" w:firstLineChars="200"/>
        <w:rPr>
          <w:rFonts w:ascii="仿宋_GB2312"/>
          <w:b/>
          <w:szCs w:val="32"/>
        </w:rPr>
      </w:pPr>
      <w:bookmarkStart w:id="0" w:name="_Toc484522159"/>
      <w:bookmarkStart w:id="1" w:name="_Toc16603712"/>
    </w:p>
    <w:p>
      <w:pPr>
        <w:snapToGrid w:val="0"/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会士候选人辅助证明材料须按照分类逐一形成pdf文件，具体要求如下:</w:t>
      </w:r>
    </w:p>
    <w:bookmarkEnd w:id="0"/>
    <w:bookmarkEnd w:id="1"/>
    <w:p>
      <w:pPr>
        <w:snapToGrid w:val="0"/>
        <w:spacing w:line="580" w:lineRule="exact"/>
        <w:ind w:firstLine="643"/>
        <w:rPr>
          <w:rFonts w:ascii="仿宋_GB2312"/>
          <w:b/>
          <w:szCs w:val="32"/>
        </w:rPr>
      </w:pPr>
      <w:bookmarkStart w:id="2" w:name="_Toc484522162"/>
      <w:bookmarkStart w:id="3" w:name="_Toc16603715"/>
      <w:r>
        <w:rPr>
          <w:rFonts w:hint="eastAsia" w:ascii="仿宋_GB2312"/>
          <w:b/>
          <w:szCs w:val="32"/>
        </w:rPr>
        <w:t>一、学历证书</w:t>
      </w:r>
    </w:p>
    <w:p>
      <w:pPr>
        <w:snapToGrid w:val="0"/>
        <w:spacing w:line="580" w:lineRule="exact"/>
        <w:ind w:firstLine="643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上传最终学历、学位证书，形成pdf文件。</w:t>
      </w:r>
    </w:p>
    <w:p>
      <w:pPr>
        <w:snapToGrid w:val="0"/>
        <w:spacing w:line="580" w:lineRule="exact"/>
        <w:ind w:firstLine="643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二、论文及专著</w:t>
      </w:r>
      <w:bookmarkEnd w:id="2"/>
      <w:bookmarkEnd w:id="3"/>
    </w:p>
    <w:p>
      <w:pPr>
        <w:snapToGrid w:val="0"/>
        <w:spacing w:line="580" w:lineRule="exact"/>
        <w:ind w:firstLine="640" w:firstLineChars="200"/>
        <w:rPr>
          <w:rFonts w:ascii="仿宋_GB2312"/>
          <w:b/>
          <w:szCs w:val="32"/>
        </w:rPr>
      </w:pPr>
      <w:r>
        <w:rPr>
          <w:rFonts w:hint="eastAsia" w:ascii="仿宋_GB2312"/>
          <w:szCs w:val="32"/>
        </w:rPr>
        <w:t>论文限10篇，专著限2本</w:t>
      </w:r>
      <w:r>
        <w:rPr>
          <w:rFonts w:hint="eastAsia" w:ascii="仿宋_GB2312"/>
          <w:b/>
          <w:szCs w:val="32"/>
        </w:rPr>
        <w:t>，</w:t>
      </w:r>
      <w:r>
        <w:rPr>
          <w:rFonts w:hint="eastAsia" w:ascii="仿宋_GB2312"/>
          <w:szCs w:val="32"/>
        </w:rPr>
        <w:t>按照顺序依次对文件编号</w:t>
      </w:r>
      <w:bookmarkStart w:id="4" w:name="_Toc484522163"/>
      <w:r>
        <w:rPr>
          <w:rFonts w:hint="eastAsia" w:ascii="仿宋_GB2312"/>
          <w:szCs w:val="32"/>
        </w:rPr>
        <w:t>，形成pdf文件。</w:t>
      </w:r>
    </w:p>
    <w:p>
      <w:pPr>
        <w:snapToGrid w:val="0"/>
        <w:spacing w:line="580" w:lineRule="exact"/>
        <w:ind w:firstLine="562" w:firstLineChars="200"/>
        <w:rPr>
          <w:rFonts w:ascii="仿宋_GB2312"/>
          <w:b/>
          <w:szCs w:val="32"/>
        </w:rPr>
      </w:pPr>
      <w:r>
        <w:rPr>
          <w:rFonts w:hint="eastAsia" w:ascii="仿宋_GB2312" w:hAnsi="仿宋" w:cs="仿宋"/>
          <w:b/>
          <w:sz w:val="28"/>
          <w:szCs w:val="28"/>
        </w:rPr>
        <w:t>论文示例：</w:t>
      </w:r>
    </w:p>
    <w:p>
      <w:pPr>
        <w:snapToGrid w:val="0"/>
        <w:spacing w:line="580" w:lineRule="exact"/>
        <w:ind w:firstLine="560" w:firstLineChars="200"/>
        <w:rPr>
          <w:rFonts w:ascii="仿宋_GB2312"/>
          <w:b/>
          <w:szCs w:val="32"/>
        </w:rPr>
      </w:pPr>
      <w:r>
        <w:rPr>
          <w:rFonts w:hint="eastAsia" w:ascii="仿宋_GB2312" w:hAnsi="仿宋" w:cs="仿宋"/>
          <w:sz w:val="28"/>
          <w:szCs w:val="28"/>
        </w:rPr>
        <w:t>1.张文华，李文泉，王浩然</w:t>
      </w:r>
      <w:r>
        <w:rPr>
          <w:rFonts w:ascii="仿宋_GB2312" w:hAnsi="楷体" w:cs="仿宋"/>
          <w:sz w:val="28"/>
          <w:szCs w:val="28"/>
        </w:rPr>
        <w:t>，空中颗粒物对直流电晕放电影响研究现状：颗粒物空间电荷效应，中国电机工程学报， Vol. 38，No.22，</w:t>
      </w:r>
      <w:r>
        <w:rPr>
          <w:rFonts w:ascii="仿宋_GB2312" w:hAnsi="仿宋" w:cs="仿宋"/>
          <w:sz w:val="28"/>
          <w:szCs w:val="28"/>
        </w:rPr>
        <w:t>6222-6234，2011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</w:t>
      </w:r>
      <w:r>
        <w:rPr>
          <w:rFonts w:hint="eastAsia" w:ascii="仿宋_GB2312" w:hAnsi="仿宋" w:cs="仿宋"/>
          <w:b/>
          <w:sz w:val="28"/>
          <w:szCs w:val="28"/>
        </w:rPr>
        <w:t>后附刊物封面、目录页及论文全文</w:t>
      </w:r>
      <w:r>
        <w:rPr>
          <w:rFonts w:hint="eastAsia" w:ascii="仿宋_GB2312" w:hAnsi="仿宋" w:cs="仿宋"/>
          <w:sz w:val="28"/>
          <w:szCs w:val="28"/>
        </w:rPr>
        <w:t>）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2.……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2" w:firstLineChars="200"/>
        <w:textAlignment w:val="bottom"/>
        <w:rPr>
          <w:rFonts w:ascii="仿宋_GB2312" w:hAnsi="仿宋" w:cs="仿宋"/>
          <w:b/>
          <w:sz w:val="28"/>
          <w:szCs w:val="28"/>
        </w:rPr>
      </w:pPr>
      <w:r>
        <w:rPr>
          <w:rFonts w:hint="eastAsia" w:ascii="仿宋_GB2312" w:hAnsi="仿宋" w:cs="仿宋"/>
          <w:b/>
          <w:sz w:val="28"/>
          <w:szCs w:val="28"/>
        </w:rPr>
        <w:t>专著示例：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3.张文华，李文泉，王浩然等编著，交流输变电工程环境影响与评价，科学</w:t>
      </w:r>
      <w:r>
        <w:rPr>
          <w:rFonts w:ascii="仿宋_GB2312" w:hAnsi="仿宋" w:cs="仿宋"/>
          <w:sz w:val="28"/>
          <w:szCs w:val="28"/>
        </w:rPr>
        <w:t>出版社，201</w:t>
      </w:r>
      <w:r>
        <w:rPr>
          <w:rFonts w:hint="eastAsia" w:ascii="仿宋_GB2312" w:hAnsi="仿宋" w:cs="仿宋"/>
          <w:sz w:val="28"/>
          <w:szCs w:val="28"/>
        </w:rPr>
        <w:t>5</w:t>
      </w:r>
      <w:r>
        <w:rPr>
          <w:rFonts w:ascii="仿宋_GB2312" w:hAnsi="仿宋" w:cs="仿宋"/>
          <w:sz w:val="28"/>
          <w:szCs w:val="28"/>
        </w:rPr>
        <w:t>年</w:t>
      </w:r>
      <w:r>
        <w:rPr>
          <w:rFonts w:hint="eastAsia" w:ascii="仿宋_GB2312" w:hAnsi="仿宋" w:cs="仿宋"/>
          <w:sz w:val="28"/>
          <w:szCs w:val="28"/>
        </w:rPr>
        <w:t>1</w:t>
      </w:r>
      <w:r>
        <w:rPr>
          <w:rFonts w:ascii="仿宋_GB2312" w:hAnsi="仿宋" w:cs="仿宋"/>
          <w:sz w:val="28"/>
          <w:szCs w:val="28"/>
        </w:rPr>
        <w:t>月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</w:t>
      </w:r>
      <w:r>
        <w:rPr>
          <w:rFonts w:hint="eastAsia" w:ascii="仿宋_GB2312" w:hAnsi="仿宋" w:cs="仿宋"/>
          <w:b/>
          <w:sz w:val="28"/>
          <w:szCs w:val="28"/>
        </w:rPr>
        <w:t>附专著封面、编委会成员名单、目录</w:t>
      </w:r>
      <w:r>
        <w:rPr>
          <w:rFonts w:hint="eastAsia" w:ascii="仿宋_GB2312" w:hAnsi="仿宋" w:cs="仿宋"/>
          <w:sz w:val="28"/>
          <w:szCs w:val="28"/>
        </w:rPr>
        <w:t>）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4.……</w:t>
      </w:r>
    </w:p>
    <w:p>
      <w:pPr>
        <w:snapToGrid w:val="0"/>
        <w:spacing w:line="580" w:lineRule="exact"/>
        <w:ind w:firstLine="643" w:firstLineChars="200"/>
        <w:rPr>
          <w:rFonts w:ascii="仿宋_GB2312"/>
          <w:b/>
          <w:szCs w:val="32"/>
        </w:rPr>
      </w:pPr>
      <w:bookmarkStart w:id="5" w:name="_Toc16603716"/>
      <w:r>
        <w:rPr>
          <w:rFonts w:hint="eastAsia" w:ascii="仿宋_GB2312"/>
          <w:b/>
          <w:szCs w:val="32"/>
        </w:rPr>
        <w:t>三、</w:t>
      </w:r>
      <w:bookmarkEnd w:id="4"/>
      <w:r>
        <w:rPr>
          <w:rFonts w:hint="eastAsia" w:ascii="仿宋_GB2312"/>
          <w:b/>
          <w:szCs w:val="32"/>
        </w:rPr>
        <w:t>获得表彰奖励</w:t>
      </w:r>
      <w:bookmarkEnd w:id="5"/>
    </w:p>
    <w:p>
      <w:pPr>
        <w:snapToGrid w:val="0"/>
        <w:spacing w:line="580" w:lineRule="exact"/>
        <w:ind w:firstLine="640" w:firstLineChars="200"/>
        <w:rPr>
          <w:rFonts w:ascii="仿宋_GB2312"/>
          <w:b/>
          <w:szCs w:val="32"/>
        </w:rPr>
      </w:pPr>
      <w:r>
        <w:rPr>
          <w:rFonts w:hint="eastAsia" w:ascii="仿宋_GB2312"/>
          <w:szCs w:val="32"/>
        </w:rPr>
        <w:t>列举个人所获省级（含国家电网公司）及以上的表彰及奖励，不超过5个，按照顺序对材料进行编号，形成pdf文件。</w:t>
      </w:r>
    </w:p>
    <w:p>
      <w:pPr>
        <w:adjustRightInd w:val="0"/>
        <w:snapToGrid w:val="0"/>
        <w:spacing w:line="580" w:lineRule="exact"/>
        <w:ind w:firstLine="562" w:firstLineChars="200"/>
        <w:rPr>
          <w:rFonts w:ascii="仿宋_GB2312"/>
          <w:sz w:val="28"/>
          <w:szCs w:val="28"/>
        </w:rPr>
      </w:pPr>
      <w:r>
        <w:rPr>
          <w:rFonts w:hint="eastAsia" w:ascii="仿宋_GB2312" w:hAnsi="仿宋" w:cs="仿宋"/>
          <w:b/>
          <w:sz w:val="28"/>
          <w:szCs w:val="28"/>
        </w:rPr>
        <w:t xml:space="preserve">示例: </w:t>
      </w:r>
    </w:p>
    <w:p>
      <w:pPr>
        <w:adjustRightInd w:val="0"/>
        <w:snapToGrid w:val="0"/>
        <w:spacing w:line="580" w:lineRule="exact"/>
        <w:ind w:firstLine="560" w:firstLineChars="200"/>
        <w:rPr>
          <w:rFonts w:ascii="仿宋_GB2312" w:hAnsi="楷体" w:cs="仿宋"/>
          <w:sz w:val="28"/>
          <w:szCs w:val="28"/>
        </w:rPr>
      </w:pPr>
      <w:r>
        <w:rPr>
          <w:rFonts w:hint="eastAsia" w:ascii="仿宋_GB2312" w:hAnsi="楷体" w:cs="仿宋"/>
          <w:sz w:val="28"/>
          <w:szCs w:val="28"/>
        </w:rPr>
        <w:t>1.2015年，互联电力系统交流联络线功率波动研究及应用，荣获国家电网公司科学技术进步奖，一等，2015-JB-104-G03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</w:t>
      </w:r>
      <w:r>
        <w:rPr>
          <w:rFonts w:hint="eastAsia" w:ascii="仿宋_GB2312" w:hAnsi="仿宋" w:cs="仿宋"/>
          <w:b/>
          <w:sz w:val="28"/>
          <w:szCs w:val="28"/>
        </w:rPr>
        <w:t>附表彰奖励证书扫描件</w:t>
      </w:r>
      <w:r>
        <w:rPr>
          <w:rFonts w:hint="eastAsia" w:ascii="仿宋_GB2312" w:hAnsi="仿宋" w:cs="仿宋"/>
          <w:sz w:val="28"/>
          <w:szCs w:val="28"/>
        </w:rPr>
        <w:t>）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2.……</w:t>
      </w:r>
    </w:p>
    <w:p>
      <w:pPr>
        <w:snapToGrid w:val="0"/>
        <w:spacing w:line="580" w:lineRule="exact"/>
        <w:ind w:firstLine="643" w:firstLineChars="200"/>
        <w:rPr>
          <w:rFonts w:ascii="仿宋_GB2312"/>
          <w:b/>
          <w:szCs w:val="32"/>
        </w:rPr>
      </w:pPr>
      <w:bookmarkStart w:id="6" w:name="_Toc484522164"/>
      <w:bookmarkStart w:id="7" w:name="_Toc16603717"/>
      <w:r>
        <w:rPr>
          <w:rFonts w:hint="eastAsia" w:ascii="仿宋_GB2312"/>
          <w:b/>
          <w:szCs w:val="32"/>
        </w:rPr>
        <w:t>四、</w:t>
      </w:r>
      <w:bookmarkEnd w:id="6"/>
      <w:bookmarkStart w:id="8" w:name="_Toc484522165"/>
      <w:r>
        <w:rPr>
          <w:rFonts w:hint="eastAsia" w:ascii="仿宋_GB2312"/>
          <w:b/>
          <w:szCs w:val="32"/>
        </w:rPr>
        <w:t>其他证明材料</w:t>
      </w:r>
      <w:bookmarkEnd w:id="7"/>
      <w:bookmarkEnd w:id="8"/>
    </w:p>
    <w:p>
      <w:pPr>
        <w:snapToGrid w:val="0"/>
        <w:spacing w:line="580" w:lineRule="exact"/>
        <w:ind w:firstLine="640" w:firstLineChars="200"/>
        <w:rPr>
          <w:rFonts w:ascii="仿宋_GB2312"/>
          <w:b/>
          <w:szCs w:val="32"/>
        </w:rPr>
      </w:pPr>
      <w:r>
        <w:rPr>
          <w:rFonts w:ascii="仿宋_GB2312"/>
          <w:szCs w:val="32"/>
        </w:rPr>
        <w:t>列举专利、技术成果及其他证明材料等，不超过10个，</w:t>
      </w:r>
      <w:r>
        <w:rPr>
          <w:rFonts w:hint="eastAsia" w:ascii="仿宋_GB2312"/>
          <w:szCs w:val="32"/>
        </w:rPr>
        <w:t>按照顺序对材料进行编号，形成pdf文件。</w:t>
      </w:r>
    </w:p>
    <w:p>
      <w:pPr>
        <w:adjustRightInd w:val="0"/>
        <w:snapToGrid w:val="0"/>
        <w:spacing w:line="580" w:lineRule="exact"/>
        <w:ind w:firstLine="562" w:firstLineChars="200"/>
        <w:rPr>
          <w:rFonts w:ascii="仿宋_GB2312"/>
          <w:sz w:val="28"/>
          <w:szCs w:val="28"/>
        </w:rPr>
      </w:pPr>
      <w:r>
        <w:rPr>
          <w:rFonts w:hint="eastAsia" w:ascii="仿宋_GB2312" w:hAnsi="仿宋" w:cs="仿宋"/>
          <w:b/>
          <w:sz w:val="28"/>
          <w:szCs w:val="28"/>
        </w:rPr>
        <w:t>示例：</w:t>
      </w:r>
    </w:p>
    <w:p>
      <w:pPr>
        <w:pStyle w:val="4"/>
        <w:adjustRightInd w:val="0"/>
        <w:snapToGrid w:val="0"/>
        <w:spacing w:line="580" w:lineRule="exact"/>
        <w:ind w:firstLine="697" w:firstLineChars="249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1.张文华（1），李文泉(2)，王浩然（3），多类型大容量兆瓦级电池储能电站的电池功率控制方法，2011年，专利类型：发明专利，专利号：ZL201110099443.7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（</w:t>
      </w:r>
      <w:r>
        <w:rPr>
          <w:rFonts w:hint="eastAsia" w:ascii="仿宋_GB2312" w:hAnsi="仿宋" w:cs="仿宋"/>
          <w:b/>
          <w:sz w:val="28"/>
          <w:szCs w:val="28"/>
        </w:rPr>
        <w:t>附证明材料扫描件</w:t>
      </w:r>
      <w:r>
        <w:rPr>
          <w:rFonts w:hint="eastAsia" w:ascii="仿宋_GB2312" w:hAnsi="仿宋" w:cs="仿宋"/>
          <w:sz w:val="28"/>
          <w:szCs w:val="28"/>
        </w:rPr>
        <w:t>）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560" w:firstLineChars="200"/>
        <w:textAlignment w:val="bottom"/>
        <w:rPr>
          <w:rFonts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2.……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7DEEC8"/>
    <w:rsid w:val="EB7DE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2024-07-26T14:57:00Z</dcterms:created>
  <dc:creator>xy</dc:creator>
  <cp:lastModifiedBy>xy</cp:lastModifiedBy>
  <dcterms:modified xsi:type="dcterms:W3CDTF">2024-07-26T14:58:23Z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DBF3E02FD18B679DE948A366355B0749_41</vt:lpwstr>
  </property>
</Properties>
</file>