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CCFE">
      <w:pPr>
        <w:pStyle w:val="286"/>
        <w:rPr>
          <w:color w:val="auto"/>
          <w:highlight w:val="none"/>
        </w:rPr>
      </w:pPr>
      <w:bookmarkStart w:id="0" w:name="标准封面"/>
      <w:bookmarkEnd w:id="0"/>
      <w:r>
        <w:rPr>
          <w:rFonts w:ascii="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72D01CED">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72D01CED">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00AA361A">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00AA361A">
                      <w:pPr>
                        <w:pStyle w:val="504"/>
                      </w:pPr>
                      <w:r>
                        <w:rPr>
                          <w:rFonts w:hint="eastAsia"/>
                        </w:rPr>
                        <w:t>发 布</w:t>
                      </w:r>
                    </w:p>
                  </w:txbxContent>
                </v:textbox>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5DB0FD8D">
                            <w:pPr>
                              <w:pStyle w:val="505"/>
                              <w:rPr>
                                <w:rFonts w:hint="default" w:eastAsia="黑体"/>
                                <w:lang w:val="en-US" w:eastAsia="zh-CN"/>
                              </w:rPr>
                            </w:pPr>
                            <w:r>
                              <w:rPr>
                                <w:rFonts w:hint="eastAsia"/>
                                <w:lang w:val="en-US" w:eastAsia="zh-CN"/>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5DB0FD8D">
                      <w:pPr>
                        <w:pStyle w:val="505"/>
                        <w:rPr>
                          <w:rFonts w:hint="default" w:eastAsia="黑体"/>
                          <w:lang w:val="en-US" w:eastAsia="zh-CN"/>
                        </w:rPr>
                      </w:pPr>
                      <w:r>
                        <w:rPr>
                          <w:rFonts w:hint="eastAsia"/>
                          <w:lang w:val="en-US" w:eastAsia="zh-CN"/>
                        </w:rPr>
                        <w:t>中国电机工程学会</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1837BCD6">
                            <w:pPr>
                              <w:pStyle w:val="291"/>
                            </w:pPr>
                            <w:r>
                              <w:rPr>
                                <w:rFonts w:hint="eastAsia"/>
                                <w:lang w:eastAsia="zh-CN"/>
                              </w:rPr>
                              <w:t>202X</w:t>
                            </w:r>
                            <w:r>
                              <w:t>—</w:t>
                            </w:r>
                            <w:r>
                              <w:rPr>
                                <w:rFonts w:hint="eastAsia"/>
                                <w:lang w:val="en-US" w:eastAsia="zh-CN"/>
                              </w:rPr>
                              <w:t>XX</w:t>
                            </w:r>
                            <w:r>
                              <w:t>—</w:t>
                            </w:r>
                            <w:r>
                              <w:rPr>
                                <w:rFonts w:hint="eastAsia"/>
                                <w:lang w:val="en-US" w:eastAsia="zh-CN"/>
                              </w:rPr>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1837BCD6">
                      <w:pPr>
                        <w:pStyle w:val="291"/>
                      </w:pPr>
                      <w:r>
                        <w:rPr>
                          <w:rFonts w:hint="eastAsia"/>
                          <w:lang w:eastAsia="zh-CN"/>
                        </w:rPr>
                        <w:t>202X</w:t>
                      </w:r>
                      <w:r>
                        <w:t>—</w:t>
                      </w:r>
                      <w:r>
                        <w:rPr>
                          <w:rFonts w:hint="eastAsia"/>
                          <w:lang w:val="en-US" w:eastAsia="zh-CN"/>
                        </w:rPr>
                        <w:t>XX</w:t>
                      </w:r>
                      <w:r>
                        <w:t>—</w:t>
                      </w:r>
                      <w:r>
                        <w:rPr>
                          <w:rFonts w:hint="eastAsia"/>
                          <w:lang w:val="en-US" w:eastAsia="zh-CN"/>
                        </w:rPr>
                        <w:t>XX</w:t>
                      </w:r>
                      <w:r>
                        <w:t>实施</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5490E23C">
                            <w:pPr>
                              <w:pStyle w:val="264"/>
                            </w:pPr>
                            <w:r>
                              <w:rPr>
                                <w:rFonts w:hint="eastAsia"/>
                                <w:lang w:eastAsia="zh-CN"/>
                              </w:rPr>
                              <w:t>202X</w:t>
                            </w:r>
                            <w:r>
                              <w:t>—</w:t>
                            </w:r>
                            <w:r>
                              <w:rPr>
                                <w:rFonts w:hint="eastAsia"/>
                                <w:lang w:val="en-US" w:eastAsia="zh-CN"/>
                              </w:rPr>
                              <w:t>XX</w:t>
                            </w:r>
                            <w:r>
                              <w:t>—</w:t>
                            </w:r>
                            <w:r>
                              <w:rPr>
                                <w:rFonts w:hint="eastAsia"/>
                                <w:lang w:val="en-US" w:eastAsia="zh-CN"/>
                              </w:rPr>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5490E23C">
                      <w:pPr>
                        <w:pStyle w:val="264"/>
                      </w:pPr>
                      <w:r>
                        <w:rPr>
                          <w:rFonts w:hint="eastAsia"/>
                          <w:lang w:eastAsia="zh-CN"/>
                        </w:rPr>
                        <w:t>202X</w:t>
                      </w:r>
                      <w:r>
                        <w:t>—</w:t>
                      </w:r>
                      <w:r>
                        <w:rPr>
                          <w:rFonts w:hint="eastAsia"/>
                          <w:lang w:val="en-US" w:eastAsia="zh-CN"/>
                        </w:rPr>
                        <w:t>XX</w:t>
                      </w:r>
                      <w:r>
                        <w:t>—</w:t>
                      </w:r>
                      <w:r>
                        <w:rPr>
                          <w:rFonts w:hint="eastAsia"/>
                          <w:lang w:val="en-US" w:eastAsia="zh-CN"/>
                        </w:rPr>
                        <w:t>XX</w:t>
                      </w:r>
                      <w:r>
                        <w:t>发布</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42306E4A">
                            <w:pPr>
                              <w:pStyle w:val="268"/>
                              <w:rPr>
                                <w:rFonts w:hint="eastAsia" w:ascii="黑体" w:eastAsia="黑体"/>
                                <w:bCs/>
                                <w:kern w:val="0"/>
                                <w:sz w:val="52"/>
                                <w:szCs w:val="52"/>
                              </w:rPr>
                            </w:pPr>
                            <w:r>
                              <w:rPr>
                                <w:rFonts w:hint="eastAsia" w:ascii="黑体" w:eastAsia="黑体"/>
                                <w:bCs/>
                                <w:kern w:val="0"/>
                                <w:sz w:val="52"/>
                                <w:szCs w:val="52"/>
                              </w:rPr>
                              <w:t>柔性低频交流输电系统高压电气设备</w:t>
                            </w:r>
                          </w:p>
                          <w:p w14:paraId="72BFFC8D">
                            <w:pPr>
                              <w:pStyle w:val="268"/>
                              <w:rPr>
                                <w:rFonts w:hint="eastAsia" w:eastAsia="黑体"/>
                                <w:lang w:eastAsia="zh-CN"/>
                              </w:rPr>
                            </w:pPr>
                            <w:r>
                              <w:rPr>
                                <w:rFonts w:hint="eastAsia" w:ascii="黑体" w:eastAsia="黑体"/>
                                <w:bCs/>
                                <w:kern w:val="0"/>
                                <w:sz w:val="52"/>
                                <w:szCs w:val="52"/>
                              </w:rPr>
                              <w:t>第3.1部分</w:t>
                            </w:r>
                            <w:r>
                              <w:rPr>
                                <w:rFonts w:hint="eastAsia"/>
                                <w:bCs/>
                                <w:kern w:val="0"/>
                                <w:sz w:val="52"/>
                                <w:szCs w:val="52"/>
                                <w:lang w:val="en-US" w:eastAsia="zh-CN"/>
                              </w:rPr>
                              <w:t xml:space="preserve"> </w:t>
                            </w:r>
                            <w:r>
                              <w:rPr>
                                <w:rFonts w:hint="eastAsia" w:ascii="黑体" w:eastAsia="黑体"/>
                                <w:bCs/>
                                <w:kern w:val="0"/>
                                <w:sz w:val="52"/>
                                <w:szCs w:val="52"/>
                              </w:rPr>
                              <w:t>低频电压互感器技术</w:t>
                            </w:r>
                            <w:r>
                              <w:rPr>
                                <w:rFonts w:hint="eastAsia"/>
                                <w:bCs/>
                                <w:kern w:val="0"/>
                                <w:sz w:val="52"/>
                                <w:szCs w:val="52"/>
                                <w:lang w:val="en-US" w:eastAsia="zh-CN"/>
                              </w:rPr>
                              <w:t>规范</w:t>
                            </w:r>
                          </w:p>
                          <w:p w14:paraId="413BEB06">
                            <w:pPr>
                              <w:pStyle w:val="268"/>
                            </w:pPr>
                          </w:p>
                          <w:p w14:paraId="3CC52B99">
                            <w:pPr>
                              <w:pStyle w:val="271"/>
                              <w:rPr>
                                <w:rFonts w:hint="eastAsia"/>
                                <w:highlight w:val="none"/>
                                <w:lang w:val="en-US" w:eastAsia="zh-CN"/>
                              </w:rPr>
                            </w:pPr>
                            <w:r>
                              <w:rPr>
                                <w:rFonts w:hint="eastAsia"/>
                                <w:highlight w:val="none"/>
                                <w:lang w:val="en-US" w:eastAsia="zh-CN"/>
                              </w:rPr>
                              <w:t xml:space="preserve">High voltage electrical equipment used in low-frequency AC flexible transimission system </w:t>
                            </w:r>
                          </w:p>
                          <w:p w14:paraId="2B580385">
                            <w:pPr>
                              <w:pStyle w:val="271"/>
                              <w:rPr>
                                <w:highlight w:val="none"/>
                              </w:rPr>
                            </w:pPr>
                            <w:r>
                              <w:rPr>
                                <w:rFonts w:hint="eastAsia"/>
                                <w:highlight w:val="none"/>
                                <w:lang w:val="en-US" w:eastAsia="zh-CN"/>
                              </w:rPr>
                              <w:t xml:space="preserve">Part 3.1 </w:t>
                            </w:r>
                            <w:r>
                              <w:rPr>
                                <w:highlight w:val="none"/>
                              </w:rPr>
                              <w:t xml:space="preserve">Technical specification for </w:t>
                            </w:r>
                            <w:r>
                              <w:rPr>
                                <w:rFonts w:hint="eastAsia"/>
                                <w:highlight w:val="none"/>
                              </w:rPr>
                              <w:t>low-frequency inductive</w:t>
                            </w:r>
                            <w:r>
                              <w:rPr>
                                <w:rFonts w:hint="eastAsia"/>
                                <w:highlight w:val="none"/>
                                <w:lang w:val="en-US" w:eastAsia="zh-CN"/>
                              </w:rPr>
                              <w:t xml:space="preserve"> </w:t>
                            </w:r>
                            <w:r>
                              <w:rPr>
                                <w:rFonts w:hint="eastAsia"/>
                                <w:highlight w:val="none"/>
                              </w:rPr>
                              <w:t>voltage transformers</w:t>
                            </w:r>
                          </w:p>
                          <w:p w14:paraId="04AFD739">
                            <w:pPr>
                              <w:pStyle w:val="271"/>
                            </w:pPr>
                          </w:p>
                          <w:p w14:paraId="7EFEFEC1">
                            <w:pPr>
                              <w:pStyle w:val="272"/>
                            </w:pPr>
                          </w:p>
                          <w:p w14:paraId="74DD082F">
                            <w:pPr>
                              <w:pStyle w:val="272"/>
                              <w:rPr/>
                            </w:pPr>
                            <w:r>
                              <w:t>（</w:t>
                            </w:r>
                            <w:r>
                              <w:rPr>
                                <w:rFonts w:hint="eastAsia"/>
                                <w:lang w:val="en-US" w:eastAsia="zh-CN"/>
                              </w:rPr>
                              <w:t>征求意见稿</w:t>
                            </w:r>
                            <w:r>
                              <w:t>）</w:t>
                            </w:r>
                          </w:p>
                          <w:p w14:paraId="3A6E170D">
                            <w:pPr>
                              <w:pStyle w:val="272"/>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42306E4A">
                      <w:pPr>
                        <w:pStyle w:val="268"/>
                        <w:rPr>
                          <w:rFonts w:hint="eastAsia" w:ascii="黑体" w:eastAsia="黑体"/>
                          <w:bCs/>
                          <w:kern w:val="0"/>
                          <w:sz w:val="52"/>
                          <w:szCs w:val="52"/>
                        </w:rPr>
                      </w:pPr>
                      <w:r>
                        <w:rPr>
                          <w:rFonts w:hint="eastAsia" w:ascii="黑体" w:eastAsia="黑体"/>
                          <w:bCs/>
                          <w:kern w:val="0"/>
                          <w:sz w:val="52"/>
                          <w:szCs w:val="52"/>
                        </w:rPr>
                        <w:t>柔性低频交流输电系统高压电气设备</w:t>
                      </w:r>
                    </w:p>
                    <w:p w14:paraId="72BFFC8D">
                      <w:pPr>
                        <w:pStyle w:val="268"/>
                        <w:rPr>
                          <w:rFonts w:hint="eastAsia" w:eastAsia="黑体"/>
                          <w:lang w:eastAsia="zh-CN"/>
                        </w:rPr>
                      </w:pPr>
                      <w:r>
                        <w:rPr>
                          <w:rFonts w:hint="eastAsia" w:ascii="黑体" w:eastAsia="黑体"/>
                          <w:bCs/>
                          <w:kern w:val="0"/>
                          <w:sz w:val="52"/>
                          <w:szCs w:val="52"/>
                        </w:rPr>
                        <w:t>第3.1部分</w:t>
                      </w:r>
                      <w:r>
                        <w:rPr>
                          <w:rFonts w:hint="eastAsia"/>
                          <w:bCs/>
                          <w:kern w:val="0"/>
                          <w:sz w:val="52"/>
                          <w:szCs w:val="52"/>
                          <w:lang w:val="en-US" w:eastAsia="zh-CN"/>
                        </w:rPr>
                        <w:t xml:space="preserve"> </w:t>
                      </w:r>
                      <w:r>
                        <w:rPr>
                          <w:rFonts w:hint="eastAsia" w:ascii="黑体" w:eastAsia="黑体"/>
                          <w:bCs/>
                          <w:kern w:val="0"/>
                          <w:sz w:val="52"/>
                          <w:szCs w:val="52"/>
                        </w:rPr>
                        <w:t>低频电压互感器技术</w:t>
                      </w:r>
                      <w:r>
                        <w:rPr>
                          <w:rFonts w:hint="eastAsia"/>
                          <w:bCs/>
                          <w:kern w:val="0"/>
                          <w:sz w:val="52"/>
                          <w:szCs w:val="52"/>
                          <w:lang w:val="en-US" w:eastAsia="zh-CN"/>
                        </w:rPr>
                        <w:t>规范</w:t>
                      </w:r>
                    </w:p>
                    <w:p w14:paraId="413BEB06">
                      <w:pPr>
                        <w:pStyle w:val="268"/>
                      </w:pPr>
                    </w:p>
                    <w:p w14:paraId="3CC52B99">
                      <w:pPr>
                        <w:pStyle w:val="271"/>
                        <w:rPr>
                          <w:rFonts w:hint="eastAsia"/>
                          <w:highlight w:val="none"/>
                          <w:lang w:val="en-US" w:eastAsia="zh-CN"/>
                        </w:rPr>
                      </w:pPr>
                      <w:r>
                        <w:rPr>
                          <w:rFonts w:hint="eastAsia"/>
                          <w:highlight w:val="none"/>
                          <w:lang w:val="en-US" w:eastAsia="zh-CN"/>
                        </w:rPr>
                        <w:t xml:space="preserve">High voltage electrical equipment used in low-frequency AC flexible transimission system </w:t>
                      </w:r>
                    </w:p>
                    <w:p w14:paraId="2B580385">
                      <w:pPr>
                        <w:pStyle w:val="271"/>
                        <w:rPr>
                          <w:highlight w:val="none"/>
                        </w:rPr>
                      </w:pPr>
                      <w:r>
                        <w:rPr>
                          <w:rFonts w:hint="eastAsia"/>
                          <w:highlight w:val="none"/>
                          <w:lang w:val="en-US" w:eastAsia="zh-CN"/>
                        </w:rPr>
                        <w:t xml:space="preserve">Part 3.1 </w:t>
                      </w:r>
                      <w:r>
                        <w:rPr>
                          <w:highlight w:val="none"/>
                        </w:rPr>
                        <w:t xml:space="preserve">Technical specification for </w:t>
                      </w:r>
                      <w:r>
                        <w:rPr>
                          <w:rFonts w:hint="eastAsia"/>
                          <w:highlight w:val="none"/>
                        </w:rPr>
                        <w:t>low-frequency inductive</w:t>
                      </w:r>
                      <w:r>
                        <w:rPr>
                          <w:rFonts w:hint="eastAsia"/>
                          <w:highlight w:val="none"/>
                          <w:lang w:val="en-US" w:eastAsia="zh-CN"/>
                        </w:rPr>
                        <w:t xml:space="preserve"> </w:t>
                      </w:r>
                      <w:r>
                        <w:rPr>
                          <w:rFonts w:hint="eastAsia"/>
                          <w:highlight w:val="none"/>
                        </w:rPr>
                        <w:t>voltage transformers</w:t>
                      </w:r>
                    </w:p>
                    <w:p w14:paraId="04AFD739">
                      <w:pPr>
                        <w:pStyle w:val="271"/>
                      </w:pPr>
                    </w:p>
                    <w:p w14:paraId="7EFEFEC1">
                      <w:pPr>
                        <w:pStyle w:val="272"/>
                      </w:pPr>
                    </w:p>
                    <w:p w14:paraId="74DD082F">
                      <w:pPr>
                        <w:pStyle w:val="272"/>
                        <w:rPr/>
                      </w:pPr>
                      <w:r>
                        <w:t>（</w:t>
                      </w:r>
                      <w:r>
                        <w:rPr>
                          <w:rFonts w:hint="eastAsia"/>
                          <w:lang w:val="en-US" w:eastAsia="zh-CN"/>
                        </w:rPr>
                        <w:t>征求意见稿</w:t>
                      </w:r>
                      <w:r>
                        <w:t>）</w:t>
                      </w:r>
                    </w:p>
                    <w:p w14:paraId="3A6E170D">
                      <w:pPr>
                        <w:pStyle w:val="272"/>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3706F887">
                            <w:pPr>
                              <w:pStyle w:val="265"/>
                              <w:wordWrap w:val="0"/>
                              <w:rPr>
                                <w:rFonts w:hint="eastAsia" w:eastAsia="黑体"/>
                                <w:lang w:eastAsia="zh-CN"/>
                              </w:rPr>
                            </w:pPr>
                            <w:r>
                              <w:rPr>
                                <w:rFonts w:hint="eastAsia"/>
                                <w:bCs/>
                                <w:lang w:val="en-US" w:eastAsia="zh-CN"/>
                              </w:rPr>
                              <w:t>T/CSEE</w:t>
                            </w:r>
                            <w:r>
                              <w:rPr>
                                <w:rFonts w:hint="eastAsia"/>
                                <w:bCs/>
                              </w:rPr>
                              <w:t xml:space="preserve"> </w:t>
                            </w:r>
                            <w:r>
                              <w:rPr>
                                <w:rFonts w:hint="eastAsia"/>
                                <w:bCs/>
                                <w:lang w:val="en-US" w:eastAsia="zh-CN"/>
                              </w:rPr>
                              <w:t>XX</w:t>
                            </w:r>
                            <w:r>
                              <w:rPr>
                                <w:rFonts w:hint="eastAsia"/>
                                <w:bCs/>
                              </w:rPr>
                              <w:t xml:space="preserve"> —</w:t>
                            </w:r>
                            <w:r>
                              <w:rPr>
                                <w:rFonts w:hint="eastAsia"/>
                                <w:bCs/>
                                <w:lang w:eastAsia="zh-CN"/>
                              </w:rPr>
                              <w:t>202X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3706F887">
                      <w:pPr>
                        <w:pStyle w:val="265"/>
                        <w:wordWrap w:val="0"/>
                        <w:rPr>
                          <w:rFonts w:hint="eastAsia" w:eastAsia="黑体"/>
                          <w:lang w:eastAsia="zh-CN"/>
                        </w:rPr>
                      </w:pPr>
                      <w:r>
                        <w:rPr>
                          <w:rFonts w:hint="eastAsia"/>
                          <w:bCs/>
                          <w:lang w:val="en-US" w:eastAsia="zh-CN"/>
                        </w:rPr>
                        <w:t>T/CSEE</w:t>
                      </w:r>
                      <w:r>
                        <w:rPr>
                          <w:rFonts w:hint="eastAsia"/>
                          <w:bCs/>
                        </w:rPr>
                        <w:t xml:space="preserve"> </w:t>
                      </w:r>
                      <w:r>
                        <w:rPr>
                          <w:rFonts w:hint="eastAsia"/>
                          <w:bCs/>
                          <w:lang w:val="en-US" w:eastAsia="zh-CN"/>
                        </w:rPr>
                        <w:t>XX</w:t>
                      </w:r>
                      <w:r>
                        <w:rPr>
                          <w:rFonts w:hint="eastAsia"/>
                          <w:bCs/>
                        </w:rPr>
                        <w:t xml:space="preserve"> —</w:t>
                      </w:r>
                      <w:r>
                        <w:rPr>
                          <w:rFonts w:hint="eastAsia"/>
                          <w:bCs/>
                          <w:lang w:eastAsia="zh-CN"/>
                        </w:rPr>
                        <w:t>202X</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2FF4078E">
                            <w:pPr>
                              <w:pStyle w:val="334"/>
                            </w:pPr>
                            <w:r>
                              <w:rPr>
                                <w:rFonts w:hint="eastAsia"/>
                              </w:rPr>
                              <w:t>I</w:t>
                            </w:r>
                            <w:r>
                              <w:t>CS 19.020</w:t>
                            </w:r>
                          </w:p>
                          <w:p w14:paraId="1086826E">
                            <w:pPr>
                              <w:pStyle w:val="334"/>
                              <w:rPr>
                                <w:rFonts w:hint="default" w:eastAsia="黑体"/>
                                <w:lang w:val="en-US" w:eastAsia="zh-CN"/>
                              </w:rPr>
                            </w:pPr>
                            <w:r>
                              <w:rPr>
                                <w:rFonts w:hint="eastAsia"/>
                              </w:rPr>
                              <w:t>C</w:t>
                            </w:r>
                            <w:r>
                              <w:t>CS K</w:t>
                            </w:r>
                            <w:r>
                              <w:rPr>
                                <w:rFonts w:hint="eastAsia"/>
                                <w:lang w:val="en-US" w:eastAsia="zh-CN"/>
                              </w:rPr>
                              <w:t>40</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2FF4078E">
                      <w:pPr>
                        <w:pStyle w:val="334"/>
                      </w:pPr>
                      <w:r>
                        <w:rPr>
                          <w:rFonts w:hint="eastAsia"/>
                        </w:rPr>
                        <w:t>I</w:t>
                      </w:r>
                      <w:r>
                        <w:t>CS 19.020</w:t>
                      </w:r>
                    </w:p>
                    <w:p w14:paraId="1086826E">
                      <w:pPr>
                        <w:pStyle w:val="334"/>
                        <w:rPr>
                          <w:rFonts w:hint="default" w:eastAsia="黑体"/>
                          <w:lang w:val="en-US" w:eastAsia="zh-CN"/>
                        </w:rPr>
                      </w:pPr>
                      <w:r>
                        <w:rPr>
                          <w:rFonts w:hint="eastAsia"/>
                        </w:rPr>
                        <w:t>C</w:t>
                      </w:r>
                      <w:r>
                        <w:t>CS K</w:t>
                      </w:r>
                      <w:r>
                        <w:rPr>
                          <w:rFonts w:hint="eastAsia"/>
                          <w:lang w:val="en-US" w:eastAsia="zh-CN"/>
                        </w:rPr>
                        <w:t>40</w:t>
                      </w:r>
                    </w:p>
                  </w:txbxContent>
                </v:textbox>
              </v:shape>
            </w:pict>
          </mc:Fallback>
        </mc:AlternateContent>
      </w:r>
    </w:p>
    <w:p w14:paraId="0B1563D5">
      <w:pPr>
        <w:pStyle w:val="258"/>
        <w:ind w:firstLine="420"/>
        <w:rPr>
          <w:color w:val="auto"/>
          <w:highlight w:val="none"/>
        </w:rPr>
      </w:pPr>
    </w:p>
    <w:p w14:paraId="47CC0AE1">
      <w:pPr>
        <w:pStyle w:val="258"/>
        <w:ind w:firstLine="420"/>
        <w:rPr>
          <w:color w:val="auto"/>
          <w:highlight w:val="none"/>
        </w:rPr>
      </w:pPr>
    </w:p>
    <w:p w14:paraId="42FABEC0">
      <w:pPr>
        <w:pStyle w:val="258"/>
        <w:ind w:firstLine="420"/>
        <w:rPr>
          <w:color w:val="auto"/>
          <w:highlight w:val="none"/>
        </w:rPr>
      </w:pPr>
    </w:p>
    <w:p w14:paraId="3AABD30A">
      <w:pPr>
        <w:pStyle w:val="258"/>
        <w:ind w:firstLine="420"/>
        <w:rPr>
          <w:color w:val="auto"/>
          <w:highlight w:val="none"/>
        </w:rPr>
      </w:pPr>
    </w:p>
    <w:p w14:paraId="4067D240">
      <w:pPr>
        <w:pStyle w:val="258"/>
        <w:ind w:firstLine="420"/>
        <w:rPr>
          <w:color w:val="auto"/>
          <w:highlight w:val="none"/>
        </w:rPr>
      </w:pPr>
    </w:p>
    <w:p w14:paraId="3502391F">
      <w:pPr>
        <w:pStyle w:val="258"/>
        <w:ind w:firstLine="420"/>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Borders>
            <w:top w:val="none" w:sz="0" w:space="0"/>
            <w:left w:val="none" w:sz="0" w:space="0"/>
            <w:bottom w:val="none" w:sz="0" w:space="0"/>
            <w:right w:val="none" w:sz="0" w:space="0"/>
          </w:pgBorders>
          <w:pgNumType w:fmt="upperRoman" w:start="1"/>
          <w:cols w:space="425" w:num="1"/>
          <w:titlePg/>
          <w:docGrid w:type="lines" w:linePitch="312" w:charSpace="0"/>
        </w:sectPr>
      </w:pPr>
    </w:p>
    <w:p w14:paraId="409B5662">
      <w:pPr>
        <w:pStyle w:val="286"/>
        <w:rPr>
          <w:color w:val="auto"/>
          <w:highlight w:val="none"/>
        </w:rPr>
      </w:pPr>
      <w:bookmarkStart w:id="1" w:name="标准内容"/>
      <w:bookmarkEnd w:id="1"/>
      <w:bookmarkStart w:id="2" w:name="_Toc63642871"/>
      <w:bookmarkStart w:id="3" w:name="_Toc62027346"/>
      <w:bookmarkStart w:id="4" w:name="_Toc55228493"/>
      <w:r>
        <w:rPr>
          <w:rFonts w:hint="eastAsia"/>
          <w:color w:val="auto"/>
          <w:highlight w:val="none"/>
        </w:rPr>
        <w:t>目    次</w:t>
      </w:r>
    </w:p>
    <w:p w14:paraId="643D524D">
      <w:pPr>
        <w:pStyle w:val="21"/>
        <w:tabs>
          <w:tab w:val="right" w:leader="dot" w:pos="9356"/>
        </w:tabs>
        <w:rPr>
          <w:b w:val="0"/>
          <w:bCs w:val="0"/>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TOC \o "1-7" \h \z</w:instrText>
      </w:r>
      <w:r>
        <w:rPr>
          <w:rFonts w:hAnsi="宋体"/>
          <w:color w:val="auto"/>
          <w:highlight w:val="none"/>
        </w:rPr>
        <w:instrText xml:space="preserve"> </w:instrText>
      </w:r>
      <w:r>
        <w:rPr>
          <w:rFonts w:hAnsi="宋体"/>
          <w:color w:val="auto"/>
          <w:highlight w:val="none"/>
        </w:rPr>
        <w:fldChar w:fldCharType="separate"/>
      </w:r>
      <w:r>
        <w:rPr>
          <w:rFonts w:hAnsi="宋体"/>
          <w:b w:val="0"/>
          <w:bCs w:val="0"/>
          <w:color w:val="auto"/>
          <w:highlight w:val="none"/>
        </w:rPr>
        <w:fldChar w:fldCharType="begin"/>
      </w:r>
      <w:r>
        <w:rPr>
          <w:rFonts w:hAnsi="宋体"/>
          <w:b w:val="0"/>
          <w:bCs w:val="0"/>
          <w:highlight w:val="none"/>
        </w:rPr>
        <w:instrText xml:space="preserve"> HYPERLINK \l _Toc15129 </w:instrText>
      </w:r>
      <w:r>
        <w:rPr>
          <w:rFonts w:hAnsi="宋体"/>
          <w:b w:val="0"/>
          <w:bCs w:val="0"/>
          <w:highlight w:val="none"/>
        </w:rPr>
        <w:fldChar w:fldCharType="separate"/>
      </w:r>
      <w:r>
        <w:rPr>
          <w:rFonts w:ascii="Times New Roman"/>
          <w:b w:val="0"/>
          <w:bCs w:val="0"/>
          <w:highlight w:val="none"/>
        </w:rPr>
        <w:t>前    言</w:t>
      </w:r>
      <w:r>
        <w:rPr>
          <w:b w:val="0"/>
          <w:bCs w:val="0"/>
          <w:highlight w:val="none"/>
        </w:rPr>
        <w:tab/>
      </w:r>
      <w:r>
        <w:rPr>
          <w:b w:val="0"/>
          <w:bCs w:val="0"/>
          <w:highlight w:val="none"/>
        </w:rPr>
        <w:fldChar w:fldCharType="begin"/>
      </w:r>
      <w:r>
        <w:rPr>
          <w:b w:val="0"/>
          <w:bCs w:val="0"/>
          <w:highlight w:val="none"/>
        </w:rPr>
        <w:instrText xml:space="preserve"> PAGEREF _Toc15129 \h </w:instrText>
      </w:r>
      <w:r>
        <w:rPr>
          <w:b w:val="0"/>
          <w:bCs w:val="0"/>
          <w:highlight w:val="none"/>
        </w:rPr>
        <w:fldChar w:fldCharType="separate"/>
      </w:r>
      <w:r>
        <w:rPr>
          <w:b w:val="0"/>
          <w:bCs w:val="0"/>
          <w:highlight w:val="none"/>
        </w:rPr>
        <w:t>III</w:t>
      </w:r>
      <w:r>
        <w:rPr>
          <w:b w:val="0"/>
          <w:bCs w:val="0"/>
          <w:highlight w:val="none"/>
        </w:rPr>
        <w:fldChar w:fldCharType="end"/>
      </w:r>
      <w:r>
        <w:rPr>
          <w:rFonts w:hAnsi="宋体"/>
          <w:b w:val="0"/>
          <w:bCs w:val="0"/>
          <w:color w:val="auto"/>
          <w:highlight w:val="none"/>
        </w:rPr>
        <w:fldChar w:fldCharType="end"/>
      </w:r>
    </w:p>
    <w:p w14:paraId="2963406D">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_Toc8940 </w:instrText>
      </w:r>
      <w:r>
        <w:rPr>
          <w:rFonts w:hAnsi="宋体"/>
          <w:b w:val="0"/>
          <w:bCs w:val="0"/>
          <w:highlight w:val="none"/>
        </w:rPr>
        <w:fldChar w:fldCharType="separate"/>
      </w:r>
      <w:r>
        <w:rPr>
          <w:rFonts w:hint="eastAsia" w:ascii="黑体" w:hAnsi="Times New Roman" w:eastAsia="黑体"/>
          <w:b w:val="0"/>
          <w:bCs w:val="0"/>
          <w:i w:val="0"/>
          <w:szCs w:val="21"/>
          <w:highlight w:val="none"/>
        </w:rPr>
        <w:t xml:space="preserve">1 </w:t>
      </w:r>
      <w:r>
        <w:rPr>
          <w:rFonts w:hint="eastAsia"/>
          <w:b w:val="0"/>
          <w:bCs w:val="0"/>
          <w:highlight w:val="none"/>
        </w:rPr>
        <w:t>范围</w:t>
      </w:r>
      <w:r>
        <w:rPr>
          <w:b w:val="0"/>
          <w:bCs w:val="0"/>
          <w:highlight w:val="none"/>
        </w:rPr>
        <w:tab/>
      </w:r>
      <w:r>
        <w:rPr>
          <w:b w:val="0"/>
          <w:bCs w:val="0"/>
          <w:highlight w:val="none"/>
        </w:rPr>
        <w:fldChar w:fldCharType="begin"/>
      </w:r>
      <w:r>
        <w:rPr>
          <w:b w:val="0"/>
          <w:bCs w:val="0"/>
          <w:highlight w:val="none"/>
        </w:rPr>
        <w:instrText xml:space="preserve"> PAGEREF _Toc8940 \h </w:instrText>
      </w:r>
      <w:r>
        <w:rPr>
          <w:b w:val="0"/>
          <w:bCs w:val="0"/>
          <w:highlight w:val="none"/>
        </w:rPr>
        <w:fldChar w:fldCharType="separate"/>
      </w:r>
      <w:r>
        <w:rPr>
          <w:b w:val="0"/>
          <w:bCs w:val="0"/>
          <w:highlight w:val="none"/>
        </w:rPr>
        <w:t>1</w:t>
      </w:r>
      <w:r>
        <w:rPr>
          <w:b w:val="0"/>
          <w:bCs w:val="0"/>
          <w:highlight w:val="none"/>
        </w:rPr>
        <w:fldChar w:fldCharType="end"/>
      </w:r>
      <w:r>
        <w:rPr>
          <w:rFonts w:hAnsi="宋体"/>
          <w:b w:val="0"/>
          <w:bCs w:val="0"/>
          <w:color w:val="auto"/>
          <w:highlight w:val="none"/>
        </w:rPr>
        <w:fldChar w:fldCharType="end"/>
      </w:r>
    </w:p>
    <w:p w14:paraId="67E02CF9">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_Toc29841 </w:instrText>
      </w:r>
      <w:r>
        <w:rPr>
          <w:rFonts w:hAnsi="宋体"/>
          <w:b w:val="0"/>
          <w:bCs w:val="0"/>
          <w:highlight w:val="none"/>
        </w:rPr>
        <w:fldChar w:fldCharType="separate"/>
      </w:r>
      <w:r>
        <w:rPr>
          <w:rFonts w:hint="eastAsia" w:ascii="黑体" w:hAnsi="Times New Roman" w:eastAsia="黑体"/>
          <w:b w:val="0"/>
          <w:bCs w:val="0"/>
          <w:i w:val="0"/>
          <w:szCs w:val="21"/>
          <w:highlight w:val="none"/>
        </w:rPr>
        <w:t xml:space="preserve">2 </w:t>
      </w:r>
      <w:r>
        <w:rPr>
          <w:b w:val="0"/>
          <w:bCs w:val="0"/>
          <w:highlight w:val="none"/>
        </w:rPr>
        <w:t>规范性引用文件</w:t>
      </w:r>
      <w:r>
        <w:rPr>
          <w:b w:val="0"/>
          <w:bCs w:val="0"/>
          <w:highlight w:val="none"/>
        </w:rPr>
        <w:tab/>
      </w:r>
      <w:r>
        <w:rPr>
          <w:b w:val="0"/>
          <w:bCs w:val="0"/>
          <w:highlight w:val="none"/>
        </w:rPr>
        <w:fldChar w:fldCharType="begin"/>
      </w:r>
      <w:r>
        <w:rPr>
          <w:b w:val="0"/>
          <w:bCs w:val="0"/>
          <w:highlight w:val="none"/>
        </w:rPr>
        <w:instrText xml:space="preserve"> PAGEREF _Toc29841 \h </w:instrText>
      </w:r>
      <w:r>
        <w:rPr>
          <w:b w:val="0"/>
          <w:bCs w:val="0"/>
          <w:highlight w:val="none"/>
        </w:rPr>
        <w:fldChar w:fldCharType="separate"/>
      </w:r>
      <w:r>
        <w:rPr>
          <w:b w:val="0"/>
          <w:bCs w:val="0"/>
          <w:highlight w:val="none"/>
        </w:rPr>
        <w:t>1</w:t>
      </w:r>
      <w:r>
        <w:rPr>
          <w:b w:val="0"/>
          <w:bCs w:val="0"/>
          <w:highlight w:val="none"/>
        </w:rPr>
        <w:fldChar w:fldCharType="end"/>
      </w:r>
      <w:r>
        <w:rPr>
          <w:rFonts w:hAnsi="宋体"/>
          <w:b w:val="0"/>
          <w:bCs w:val="0"/>
          <w:color w:val="auto"/>
          <w:highlight w:val="none"/>
        </w:rPr>
        <w:fldChar w:fldCharType="end"/>
      </w:r>
    </w:p>
    <w:p w14:paraId="193E2693">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_Toc8890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3 </w:t>
      </w:r>
      <w:r>
        <w:rPr>
          <w:rFonts w:hint="eastAsia"/>
          <w:b w:val="0"/>
          <w:bCs w:val="0"/>
          <w:highlight w:val="none"/>
          <w:lang w:val="en-US" w:eastAsia="zh-CN"/>
        </w:rPr>
        <w:t>术语和定义</w:t>
      </w:r>
      <w:r>
        <w:rPr>
          <w:b w:val="0"/>
          <w:bCs w:val="0"/>
          <w:highlight w:val="none"/>
        </w:rPr>
        <w:tab/>
      </w:r>
      <w:r>
        <w:rPr>
          <w:b w:val="0"/>
          <w:bCs w:val="0"/>
          <w:highlight w:val="none"/>
        </w:rPr>
        <w:fldChar w:fldCharType="begin"/>
      </w:r>
      <w:r>
        <w:rPr>
          <w:b w:val="0"/>
          <w:bCs w:val="0"/>
          <w:highlight w:val="none"/>
        </w:rPr>
        <w:instrText xml:space="preserve"> PAGEREF _Toc8890 \h </w:instrText>
      </w:r>
      <w:r>
        <w:rPr>
          <w:b w:val="0"/>
          <w:bCs w:val="0"/>
          <w:highlight w:val="none"/>
        </w:rPr>
        <w:fldChar w:fldCharType="separate"/>
      </w:r>
      <w:r>
        <w:rPr>
          <w:b w:val="0"/>
          <w:bCs w:val="0"/>
          <w:highlight w:val="none"/>
        </w:rPr>
        <w:t>2</w:t>
      </w:r>
      <w:r>
        <w:rPr>
          <w:b w:val="0"/>
          <w:bCs w:val="0"/>
          <w:highlight w:val="none"/>
        </w:rPr>
        <w:fldChar w:fldCharType="end"/>
      </w:r>
      <w:r>
        <w:rPr>
          <w:rFonts w:hAnsi="宋体"/>
          <w:b w:val="0"/>
          <w:bCs w:val="0"/>
          <w:color w:val="auto"/>
          <w:highlight w:val="none"/>
        </w:rPr>
        <w:fldChar w:fldCharType="end"/>
      </w:r>
    </w:p>
    <w:p w14:paraId="75E580DB">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_Toc13217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4 </w:t>
      </w:r>
      <w:r>
        <w:rPr>
          <w:rFonts w:hint="eastAsia"/>
          <w:b w:val="0"/>
          <w:bCs w:val="0"/>
          <w:highlight w:val="none"/>
          <w:lang w:val="en-US" w:eastAsia="zh-CN"/>
        </w:rPr>
        <w:t>使用条件</w:t>
      </w:r>
      <w:r>
        <w:rPr>
          <w:b w:val="0"/>
          <w:bCs w:val="0"/>
          <w:highlight w:val="none"/>
        </w:rPr>
        <w:tab/>
      </w:r>
      <w:r>
        <w:rPr>
          <w:b w:val="0"/>
          <w:bCs w:val="0"/>
          <w:highlight w:val="none"/>
        </w:rPr>
        <w:fldChar w:fldCharType="begin"/>
      </w:r>
      <w:r>
        <w:rPr>
          <w:b w:val="0"/>
          <w:bCs w:val="0"/>
          <w:highlight w:val="none"/>
        </w:rPr>
        <w:instrText xml:space="preserve"> PAGEREF _Toc13217 \h </w:instrText>
      </w:r>
      <w:r>
        <w:rPr>
          <w:b w:val="0"/>
          <w:bCs w:val="0"/>
          <w:highlight w:val="none"/>
        </w:rPr>
        <w:fldChar w:fldCharType="separate"/>
      </w:r>
      <w:r>
        <w:rPr>
          <w:b w:val="0"/>
          <w:bCs w:val="0"/>
          <w:highlight w:val="none"/>
        </w:rPr>
        <w:t>2</w:t>
      </w:r>
      <w:r>
        <w:rPr>
          <w:b w:val="0"/>
          <w:bCs w:val="0"/>
          <w:highlight w:val="none"/>
        </w:rPr>
        <w:fldChar w:fldCharType="end"/>
      </w:r>
      <w:r>
        <w:rPr>
          <w:rFonts w:hAnsi="宋体"/>
          <w:b w:val="0"/>
          <w:bCs w:val="0"/>
          <w:color w:val="auto"/>
          <w:highlight w:val="none"/>
        </w:rPr>
        <w:fldChar w:fldCharType="end"/>
      </w:r>
    </w:p>
    <w:p w14:paraId="33CECBBE">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_Toc24754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4.1 </w:t>
      </w:r>
      <w:r>
        <w:rPr>
          <w:rFonts w:hint="eastAsia"/>
          <w:b w:val="0"/>
          <w:bCs w:val="0"/>
          <w:highlight w:val="none"/>
          <w:lang w:val="en-US" w:eastAsia="zh-CN"/>
        </w:rPr>
        <w:t>正常使用条件</w:t>
      </w:r>
      <w:r>
        <w:rPr>
          <w:b w:val="0"/>
          <w:bCs w:val="0"/>
          <w:highlight w:val="none"/>
        </w:rPr>
        <w:tab/>
      </w:r>
      <w:r>
        <w:rPr>
          <w:b w:val="0"/>
          <w:bCs w:val="0"/>
          <w:highlight w:val="none"/>
        </w:rPr>
        <w:fldChar w:fldCharType="begin"/>
      </w:r>
      <w:r>
        <w:rPr>
          <w:b w:val="0"/>
          <w:bCs w:val="0"/>
          <w:highlight w:val="none"/>
        </w:rPr>
        <w:instrText xml:space="preserve"> PAGEREF _Toc24754 \h </w:instrText>
      </w:r>
      <w:r>
        <w:rPr>
          <w:b w:val="0"/>
          <w:bCs w:val="0"/>
          <w:highlight w:val="none"/>
        </w:rPr>
        <w:fldChar w:fldCharType="separate"/>
      </w:r>
      <w:r>
        <w:rPr>
          <w:b w:val="0"/>
          <w:bCs w:val="0"/>
          <w:highlight w:val="none"/>
        </w:rPr>
        <w:t>2</w:t>
      </w:r>
      <w:r>
        <w:rPr>
          <w:b w:val="0"/>
          <w:bCs w:val="0"/>
          <w:highlight w:val="none"/>
        </w:rPr>
        <w:fldChar w:fldCharType="end"/>
      </w:r>
      <w:r>
        <w:rPr>
          <w:rFonts w:hAnsi="宋体"/>
          <w:b w:val="0"/>
          <w:bCs w:val="0"/>
          <w:color w:val="auto"/>
          <w:highlight w:val="none"/>
        </w:rPr>
        <w:fldChar w:fldCharType="end"/>
      </w:r>
    </w:p>
    <w:p w14:paraId="0A418A6D">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_Toc25697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4.2 </w:t>
      </w:r>
      <w:r>
        <w:rPr>
          <w:b w:val="0"/>
          <w:bCs w:val="0"/>
          <w:highlight w:val="none"/>
          <w:lang w:val="en-US" w:eastAsia="zh-CN"/>
        </w:rPr>
        <w:t>特殊使用条件</w:t>
      </w:r>
      <w:r>
        <w:rPr>
          <w:b w:val="0"/>
          <w:bCs w:val="0"/>
          <w:highlight w:val="none"/>
        </w:rPr>
        <w:tab/>
      </w:r>
      <w:r>
        <w:rPr>
          <w:b w:val="0"/>
          <w:bCs w:val="0"/>
          <w:highlight w:val="none"/>
        </w:rPr>
        <w:fldChar w:fldCharType="begin"/>
      </w:r>
      <w:r>
        <w:rPr>
          <w:b w:val="0"/>
          <w:bCs w:val="0"/>
          <w:highlight w:val="none"/>
        </w:rPr>
        <w:instrText xml:space="preserve"> PAGEREF _Toc25697 \h </w:instrText>
      </w:r>
      <w:r>
        <w:rPr>
          <w:b w:val="0"/>
          <w:bCs w:val="0"/>
          <w:highlight w:val="none"/>
        </w:rPr>
        <w:fldChar w:fldCharType="separate"/>
      </w:r>
      <w:r>
        <w:rPr>
          <w:b w:val="0"/>
          <w:bCs w:val="0"/>
          <w:highlight w:val="none"/>
        </w:rPr>
        <w:t>3</w:t>
      </w:r>
      <w:r>
        <w:rPr>
          <w:b w:val="0"/>
          <w:bCs w:val="0"/>
          <w:highlight w:val="none"/>
        </w:rPr>
        <w:fldChar w:fldCharType="end"/>
      </w:r>
      <w:r>
        <w:rPr>
          <w:rFonts w:hAnsi="宋体"/>
          <w:b w:val="0"/>
          <w:bCs w:val="0"/>
          <w:color w:val="auto"/>
          <w:highlight w:val="none"/>
        </w:rPr>
        <w:fldChar w:fldCharType="end"/>
      </w:r>
    </w:p>
    <w:p w14:paraId="559882DD">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_Toc31262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5 </w:t>
      </w:r>
      <w:r>
        <w:rPr>
          <w:b w:val="0"/>
          <w:bCs w:val="0"/>
          <w:highlight w:val="none"/>
          <w:lang w:val="en-US" w:eastAsia="zh-CN"/>
        </w:rPr>
        <w:t>基本分类</w:t>
      </w:r>
      <w:r>
        <w:rPr>
          <w:b w:val="0"/>
          <w:bCs w:val="0"/>
          <w:highlight w:val="none"/>
        </w:rPr>
        <w:tab/>
      </w:r>
      <w:r>
        <w:rPr>
          <w:b w:val="0"/>
          <w:bCs w:val="0"/>
          <w:highlight w:val="none"/>
        </w:rPr>
        <w:fldChar w:fldCharType="begin"/>
      </w:r>
      <w:r>
        <w:rPr>
          <w:b w:val="0"/>
          <w:bCs w:val="0"/>
          <w:highlight w:val="none"/>
        </w:rPr>
        <w:instrText xml:space="preserve"> PAGEREF _Toc31262 \h </w:instrText>
      </w:r>
      <w:r>
        <w:rPr>
          <w:b w:val="0"/>
          <w:bCs w:val="0"/>
          <w:highlight w:val="none"/>
        </w:rPr>
        <w:fldChar w:fldCharType="separate"/>
      </w:r>
      <w:r>
        <w:rPr>
          <w:b w:val="0"/>
          <w:bCs w:val="0"/>
          <w:highlight w:val="none"/>
        </w:rPr>
        <w:t>3</w:t>
      </w:r>
      <w:r>
        <w:rPr>
          <w:b w:val="0"/>
          <w:bCs w:val="0"/>
          <w:highlight w:val="none"/>
        </w:rPr>
        <w:fldChar w:fldCharType="end"/>
      </w:r>
      <w:r>
        <w:rPr>
          <w:rFonts w:hAnsi="宋体"/>
          <w:b w:val="0"/>
          <w:bCs w:val="0"/>
          <w:color w:val="auto"/>
          <w:highlight w:val="none"/>
        </w:rPr>
        <w:fldChar w:fldCharType="end"/>
      </w:r>
    </w:p>
    <w:p w14:paraId="100CBC6F">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_Toc21047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6 </w:t>
      </w:r>
      <w:r>
        <w:rPr>
          <w:b w:val="0"/>
          <w:bCs w:val="0"/>
          <w:highlight w:val="none"/>
          <w:lang w:val="en-US" w:eastAsia="zh-CN"/>
        </w:rPr>
        <w:t>技术要求</w:t>
      </w:r>
      <w:r>
        <w:rPr>
          <w:b w:val="0"/>
          <w:bCs w:val="0"/>
          <w:highlight w:val="none"/>
        </w:rPr>
        <w:tab/>
      </w:r>
      <w:r>
        <w:rPr>
          <w:b w:val="0"/>
          <w:bCs w:val="0"/>
          <w:highlight w:val="none"/>
        </w:rPr>
        <w:fldChar w:fldCharType="begin"/>
      </w:r>
      <w:r>
        <w:rPr>
          <w:b w:val="0"/>
          <w:bCs w:val="0"/>
          <w:highlight w:val="none"/>
        </w:rPr>
        <w:instrText xml:space="preserve"> PAGEREF _Toc21047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47BF7123">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_Toc19186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 </w:t>
      </w:r>
      <w:r>
        <w:rPr>
          <w:b w:val="0"/>
          <w:bCs w:val="0"/>
          <w:highlight w:val="none"/>
          <w:lang w:val="en-US" w:eastAsia="zh-CN"/>
        </w:rPr>
        <w:t>额定电压及设备最高电压标准值要求</w:t>
      </w:r>
      <w:r>
        <w:rPr>
          <w:b w:val="0"/>
          <w:bCs w:val="0"/>
          <w:highlight w:val="none"/>
        </w:rPr>
        <w:tab/>
      </w:r>
      <w:r>
        <w:rPr>
          <w:b w:val="0"/>
          <w:bCs w:val="0"/>
          <w:highlight w:val="none"/>
        </w:rPr>
        <w:fldChar w:fldCharType="begin"/>
      </w:r>
      <w:r>
        <w:rPr>
          <w:b w:val="0"/>
          <w:bCs w:val="0"/>
          <w:highlight w:val="none"/>
        </w:rPr>
        <w:instrText xml:space="preserve"> PAGEREF _Toc19186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5C8EC6A5">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_Toc14051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6.2 </w:t>
      </w:r>
      <w:r>
        <w:rPr>
          <w:b w:val="0"/>
          <w:bCs w:val="0"/>
          <w:highlight w:val="none"/>
          <w:lang w:val="en-US" w:eastAsia="zh-CN"/>
        </w:rPr>
        <w:t>额定输出要求</w:t>
      </w:r>
      <w:r>
        <w:rPr>
          <w:b w:val="0"/>
          <w:bCs w:val="0"/>
          <w:highlight w:val="none"/>
        </w:rPr>
        <w:tab/>
      </w:r>
      <w:r>
        <w:rPr>
          <w:b w:val="0"/>
          <w:bCs w:val="0"/>
          <w:highlight w:val="none"/>
        </w:rPr>
        <w:fldChar w:fldCharType="begin"/>
      </w:r>
      <w:r>
        <w:rPr>
          <w:b w:val="0"/>
          <w:bCs w:val="0"/>
          <w:highlight w:val="none"/>
        </w:rPr>
        <w:instrText xml:space="preserve"> PAGEREF _Toc14051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06A7925C">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_Toc9496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6.3 </w:t>
      </w:r>
      <w:r>
        <w:rPr>
          <w:b w:val="0"/>
          <w:bCs w:val="0"/>
          <w:highlight w:val="none"/>
          <w:lang w:val="en-US" w:eastAsia="zh-CN"/>
        </w:rPr>
        <w:t>额定准确级要求</w:t>
      </w:r>
      <w:bookmarkStart w:id="455" w:name="_GoBack"/>
      <w:bookmarkEnd w:id="455"/>
      <w:r>
        <w:rPr>
          <w:b w:val="0"/>
          <w:bCs w:val="0"/>
          <w:highlight w:val="none"/>
        </w:rPr>
        <w:tab/>
      </w:r>
      <w:r>
        <w:rPr>
          <w:b w:val="0"/>
          <w:bCs w:val="0"/>
          <w:highlight w:val="none"/>
        </w:rPr>
        <w:fldChar w:fldCharType="begin"/>
      </w:r>
      <w:r>
        <w:rPr>
          <w:b w:val="0"/>
          <w:bCs w:val="0"/>
          <w:highlight w:val="none"/>
        </w:rPr>
        <w:instrText xml:space="preserve"> PAGEREF _Toc9496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0E907F68">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_Toc26381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6.4 </w:t>
      </w:r>
      <w:r>
        <w:rPr>
          <w:b w:val="0"/>
          <w:bCs w:val="0"/>
          <w:highlight w:val="none"/>
          <w:lang w:val="en-US" w:eastAsia="zh-CN"/>
        </w:rPr>
        <w:t>额定电压因数标准值要求</w:t>
      </w:r>
      <w:r>
        <w:rPr>
          <w:b w:val="0"/>
          <w:bCs w:val="0"/>
          <w:highlight w:val="none"/>
        </w:rPr>
        <w:tab/>
      </w:r>
      <w:r>
        <w:rPr>
          <w:b w:val="0"/>
          <w:bCs w:val="0"/>
          <w:highlight w:val="none"/>
        </w:rPr>
        <w:fldChar w:fldCharType="begin"/>
      </w:r>
      <w:r>
        <w:rPr>
          <w:b w:val="0"/>
          <w:bCs w:val="0"/>
          <w:highlight w:val="none"/>
        </w:rPr>
        <w:instrText xml:space="preserve"> PAGEREF _Toc26381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6CBA2B28">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_Toc21342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6.5 </w:t>
      </w:r>
      <w:r>
        <w:rPr>
          <w:b w:val="0"/>
          <w:bCs w:val="0"/>
          <w:highlight w:val="none"/>
          <w:lang w:val="en-US" w:eastAsia="zh-CN"/>
        </w:rPr>
        <w:t>一次端额定绝缘水平要求</w:t>
      </w:r>
      <w:r>
        <w:rPr>
          <w:b w:val="0"/>
          <w:bCs w:val="0"/>
          <w:highlight w:val="none"/>
        </w:rPr>
        <w:tab/>
      </w:r>
      <w:r>
        <w:rPr>
          <w:b w:val="0"/>
          <w:bCs w:val="0"/>
          <w:highlight w:val="none"/>
        </w:rPr>
        <w:fldChar w:fldCharType="begin"/>
      </w:r>
      <w:r>
        <w:rPr>
          <w:b w:val="0"/>
          <w:bCs w:val="0"/>
          <w:highlight w:val="none"/>
        </w:rPr>
        <w:instrText xml:space="preserve"> PAGEREF _Toc21342 \h </w:instrText>
      </w:r>
      <w:r>
        <w:rPr>
          <w:b w:val="0"/>
          <w:bCs w:val="0"/>
          <w:highlight w:val="none"/>
        </w:rPr>
        <w:fldChar w:fldCharType="separate"/>
      </w:r>
      <w:r>
        <w:rPr>
          <w:b w:val="0"/>
          <w:bCs w:val="0"/>
          <w:highlight w:val="none"/>
        </w:rPr>
        <w:t>4</w:t>
      </w:r>
      <w:r>
        <w:rPr>
          <w:b w:val="0"/>
          <w:bCs w:val="0"/>
          <w:highlight w:val="none"/>
        </w:rPr>
        <w:fldChar w:fldCharType="end"/>
      </w:r>
      <w:r>
        <w:rPr>
          <w:rFonts w:hAnsi="宋体"/>
          <w:b w:val="0"/>
          <w:bCs w:val="0"/>
          <w:color w:val="auto"/>
          <w:highlight w:val="none"/>
        </w:rPr>
        <w:fldChar w:fldCharType="end"/>
      </w:r>
    </w:p>
    <w:p w14:paraId="3AEF3BA6">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_Toc12300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6.6 </w:t>
      </w:r>
      <w:r>
        <w:rPr>
          <w:b w:val="0"/>
          <w:bCs w:val="0"/>
          <w:highlight w:val="none"/>
          <w:lang w:val="en-US" w:eastAsia="zh-CN"/>
        </w:rPr>
        <w:t>接地端子的</w:t>
      </w:r>
      <w:r>
        <w:rPr>
          <w:rFonts w:hint="eastAsia"/>
          <w:b w:val="0"/>
          <w:bCs w:val="0"/>
          <w:highlight w:val="none"/>
          <w:lang w:val="en-US" w:eastAsia="zh-CN"/>
        </w:rPr>
        <w:t>交流</w:t>
      </w:r>
      <w:r>
        <w:rPr>
          <w:b w:val="0"/>
          <w:bCs w:val="0"/>
          <w:highlight w:val="none"/>
          <w:lang w:val="en-US" w:eastAsia="zh-CN"/>
        </w:rPr>
        <w:t>耐受电压要求</w:t>
      </w:r>
      <w:r>
        <w:rPr>
          <w:b w:val="0"/>
          <w:bCs w:val="0"/>
          <w:highlight w:val="none"/>
        </w:rPr>
        <w:tab/>
      </w:r>
      <w:r>
        <w:rPr>
          <w:b w:val="0"/>
          <w:bCs w:val="0"/>
          <w:highlight w:val="none"/>
        </w:rPr>
        <w:fldChar w:fldCharType="begin"/>
      </w:r>
      <w:r>
        <w:rPr>
          <w:b w:val="0"/>
          <w:bCs w:val="0"/>
          <w:highlight w:val="none"/>
        </w:rPr>
        <w:instrText xml:space="preserve"> PAGEREF _Toc12300 \h </w:instrText>
      </w:r>
      <w:r>
        <w:rPr>
          <w:b w:val="0"/>
          <w:bCs w:val="0"/>
          <w:highlight w:val="none"/>
        </w:rPr>
        <w:fldChar w:fldCharType="separate"/>
      </w:r>
      <w:r>
        <w:rPr>
          <w:b w:val="0"/>
          <w:bCs w:val="0"/>
          <w:highlight w:val="none"/>
        </w:rPr>
        <w:t>5</w:t>
      </w:r>
      <w:r>
        <w:rPr>
          <w:b w:val="0"/>
          <w:bCs w:val="0"/>
          <w:highlight w:val="none"/>
        </w:rPr>
        <w:fldChar w:fldCharType="end"/>
      </w:r>
      <w:r>
        <w:rPr>
          <w:rFonts w:hAnsi="宋体"/>
          <w:b w:val="0"/>
          <w:bCs w:val="0"/>
          <w:color w:val="auto"/>
          <w:highlight w:val="none"/>
        </w:rPr>
        <w:fldChar w:fldCharType="end"/>
      </w:r>
    </w:p>
    <w:p w14:paraId="78910951">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_Toc19604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6.7 </w:t>
      </w:r>
      <w:r>
        <w:rPr>
          <w:b w:val="0"/>
          <w:bCs w:val="0"/>
          <w:highlight w:val="none"/>
          <w:lang w:val="en-US" w:eastAsia="zh-CN"/>
        </w:rPr>
        <w:t>段间绝缘、二次端绝缘要求</w:t>
      </w:r>
      <w:r>
        <w:rPr>
          <w:b w:val="0"/>
          <w:bCs w:val="0"/>
          <w:highlight w:val="none"/>
        </w:rPr>
        <w:tab/>
      </w:r>
      <w:r>
        <w:rPr>
          <w:b w:val="0"/>
          <w:bCs w:val="0"/>
          <w:highlight w:val="none"/>
        </w:rPr>
        <w:fldChar w:fldCharType="begin"/>
      </w:r>
      <w:r>
        <w:rPr>
          <w:b w:val="0"/>
          <w:bCs w:val="0"/>
          <w:highlight w:val="none"/>
        </w:rPr>
        <w:instrText xml:space="preserve"> PAGEREF _Toc19604 \h </w:instrText>
      </w:r>
      <w:r>
        <w:rPr>
          <w:b w:val="0"/>
          <w:bCs w:val="0"/>
          <w:highlight w:val="none"/>
        </w:rPr>
        <w:fldChar w:fldCharType="separate"/>
      </w:r>
      <w:r>
        <w:rPr>
          <w:b w:val="0"/>
          <w:bCs w:val="0"/>
          <w:highlight w:val="none"/>
        </w:rPr>
        <w:t>5</w:t>
      </w:r>
      <w:r>
        <w:rPr>
          <w:b w:val="0"/>
          <w:bCs w:val="0"/>
          <w:highlight w:val="none"/>
        </w:rPr>
        <w:fldChar w:fldCharType="end"/>
      </w:r>
      <w:r>
        <w:rPr>
          <w:rFonts w:hAnsi="宋体"/>
          <w:b w:val="0"/>
          <w:bCs w:val="0"/>
          <w:color w:val="auto"/>
          <w:highlight w:val="none"/>
        </w:rPr>
        <w:fldChar w:fldCharType="end"/>
      </w:r>
    </w:p>
    <w:p w14:paraId="57A3C446">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_Toc22772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6.8 </w:t>
      </w:r>
      <w:r>
        <w:rPr>
          <w:b w:val="0"/>
          <w:bCs w:val="0"/>
          <w:highlight w:val="none"/>
          <w:lang w:val="en-US" w:eastAsia="zh-CN"/>
        </w:rPr>
        <w:t>局部放电水平要求</w:t>
      </w:r>
      <w:r>
        <w:rPr>
          <w:b w:val="0"/>
          <w:bCs w:val="0"/>
          <w:highlight w:val="none"/>
        </w:rPr>
        <w:tab/>
      </w:r>
      <w:r>
        <w:rPr>
          <w:b w:val="0"/>
          <w:bCs w:val="0"/>
          <w:highlight w:val="none"/>
        </w:rPr>
        <w:fldChar w:fldCharType="begin"/>
      </w:r>
      <w:r>
        <w:rPr>
          <w:b w:val="0"/>
          <w:bCs w:val="0"/>
          <w:highlight w:val="none"/>
        </w:rPr>
        <w:instrText xml:space="preserve"> PAGEREF _Toc22772 \h </w:instrText>
      </w:r>
      <w:r>
        <w:rPr>
          <w:b w:val="0"/>
          <w:bCs w:val="0"/>
          <w:highlight w:val="none"/>
        </w:rPr>
        <w:fldChar w:fldCharType="separate"/>
      </w:r>
      <w:r>
        <w:rPr>
          <w:b w:val="0"/>
          <w:bCs w:val="0"/>
          <w:highlight w:val="none"/>
        </w:rPr>
        <w:t>5</w:t>
      </w:r>
      <w:r>
        <w:rPr>
          <w:b w:val="0"/>
          <w:bCs w:val="0"/>
          <w:highlight w:val="none"/>
        </w:rPr>
        <w:fldChar w:fldCharType="end"/>
      </w:r>
      <w:r>
        <w:rPr>
          <w:rFonts w:hAnsi="宋体"/>
          <w:b w:val="0"/>
          <w:bCs w:val="0"/>
          <w:color w:val="auto"/>
          <w:highlight w:val="none"/>
        </w:rPr>
        <w:fldChar w:fldCharType="end"/>
      </w:r>
    </w:p>
    <w:p w14:paraId="33C47D7C">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_Toc24794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6.9 </w:t>
      </w:r>
      <w:r>
        <w:rPr>
          <w:b w:val="0"/>
          <w:bCs w:val="0"/>
          <w:highlight w:val="none"/>
          <w:lang w:val="en-US" w:eastAsia="zh-CN"/>
        </w:rPr>
        <w:t>电容量和介质损耗因数要求</w:t>
      </w:r>
      <w:r>
        <w:rPr>
          <w:b w:val="0"/>
          <w:bCs w:val="0"/>
          <w:highlight w:val="none"/>
        </w:rPr>
        <w:tab/>
      </w:r>
      <w:r>
        <w:rPr>
          <w:b w:val="0"/>
          <w:bCs w:val="0"/>
          <w:highlight w:val="none"/>
        </w:rPr>
        <w:fldChar w:fldCharType="begin"/>
      </w:r>
      <w:r>
        <w:rPr>
          <w:b w:val="0"/>
          <w:bCs w:val="0"/>
          <w:highlight w:val="none"/>
        </w:rPr>
        <w:instrText xml:space="preserve"> PAGEREF _Toc24794 \h </w:instrText>
      </w:r>
      <w:r>
        <w:rPr>
          <w:b w:val="0"/>
          <w:bCs w:val="0"/>
          <w:highlight w:val="none"/>
        </w:rPr>
        <w:fldChar w:fldCharType="separate"/>
      </w:r>
      <w:r>
        <w:rPr>
          <w:b w:val="0"/>
          <w:bCs w:val="0"/>
          <w:highlight w:val="none"/>
        </w:rPr>
        <w:t>5</w:t>
      </w:r>
      <w:r>
        <w:rPr>
          <w:b w:val="0"/>
          <w:bCs w:val="0"/>
          <w:highlight w:val="none"/>
        </w:rPr>
        <w:fldChar w:fldCharType="end"/>
      </w:r>
      <w:r>
        <w:rPr>
          <w:rFonts w:hAnsi="宋体"/>
          <w:b w:val="0"/>
          <w:bCs w:val="0"/>
          <w:color w:val="auto"/>
          <w:highlight w:val="none"/>
        </w:rPr>
        <w:fldChar w:fldCharType="end"/>
      </w:r>
    </w:p>
    <w:p w14:paraId="5DFACFBE">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_Toc2368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6.10 </w:t>
      </w:r>
      <w:r>
        <w:rPr>
          <w:b w:val="0"/>
          <w:bCs w:val="0"/>
          <w:highlight w:val="none"/>
          <w:lang w:val="en-US" w:eastAsia="zh-CN"/>
        </w:rPr>
        <w:t>外绝缘要求</w:t>
      </w:r>
      <w:r>
        <w:rPr>
          <w:b w:val="0"/>
          <w:bCs w:val="0"/>
          <w:highlight w:val="none"/>
        </w:rPr>
        <w:tab/>
      </w:r>
      <w:r>
        <w:rPr>
          <w:b w:val="0"/>
          <w:bCs w:val="0"/>
          <w:highlight w:val="none"/>
        </w:rPr>
        <w:fldChar w:fldCharType="begin"/>
      </w:r>
      <w:r>
        <w:rPr>
          <w:b w:val="0"/>
          <w:bCs w:val="0"/>
          <w:highlight w:val="none"/>
        </w:rPr>
        <w:instrText xml:space="preserve"> PAGEREF _Toc2368 \h </w:instrText>
      </w:r>
      <w:r>
        <w:rPr>
          <w:b w:val="0"/>
          <w:bCs w:val="0"/>
          <w:highlight w:val="none"/>
        </w:rPr>
        <w:fldChar w:fldCharType="separate"/>
      </w:r>
      <w:r>
        <w:rPr>
          <w:b w:val="0"/>
          <w:bCs w:val="0"/>
          <w:highlight w:val="none"/>
        </w:rPr>
        <w:t>6</w:t>
      </w:r>
      <w:r>
        <w:rPr>
          <w:b w:val="0"/>
          <w:bCs w:val="0"/>
          <w:highlight w:val="none"/>
        </w:rPr>
        <w:fldChar w:fldCharType="end"/>
      </w:r>
      <w:r>
        <w:rPr>
          <w:rFonts w:hAnsi="宋体"/>
          <w:b w:val="0"/>
          <w:bCs w:val="0"/>
          <w:color w:val="auto"/>
          <w:highlight w:val="none"/>
        </w:rPr>
        <w:fldChar w:fldCharType="end"/>
      </w:r>
    </w:p>
    <w:p w14:paraId="1B92148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_Toc14903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6.11 </w:t>
      </w:r>
      <w:r>
        <w:rPr>
          <w:b w:val="0"/>
          <w:bCs w:val="0"/>
          <w:highlight w:val="none"/>
          <w:lang w:val="en-US" w:eastAsia="zh-CN"/>
        </w:rPr>
        <w:t>绝缘油介质主要性能要求</w:t>
      </w:r>
      <w:r>
        <w:rPr>
          <w:b w:val="0"/>
          <w:bCs w:val="0"/>
          <w:highlight w:val="none"/>
        </w:rPr>
        <w:tab/>
      </w:r>
      <w:r>
        <w:rPr>
          <w:b w:val="0"/>
          <w:bCs w:val="0"/>
          <w:highlight w:val="none"/>
        </w:rPr>
        <w:fldChar w:fldCharType="begin"/>
      </w:r>
      <w:r>
        <w:rPr>
          <w:b w:val="0"/>
          <w:bCs w:val="0"/>
          <w:highlight w:val="none"/>
        </w:rPr>
        <w:instrText xml:space="preserve"> PAGEREF _Toc14903 \h </w:instrText>
      </w:r>
      <w:r>
        <w:rPr>
          <w:b w:val="0"/>
          <w:bCs w:val="0"/>
          <w:highlight w:val="none"/>
        </w:rPr>
        <w:fldChar w:fldCharType="separate"/>
      </w:r>
      <w:r>
        <w:rPr>
          <w:b w:val="0"/>
          <w:bCs w:val="0"/>
          <w:highlight w:val="none"/>
        </w:rPr>
        <w:t>6</w:t>
      </w:r>
      <w:r>
        <w:rPr>
          <w:b w:val="0"/>
          <w:bCs w:val="0"/>
          <w:highlight w:val="none"/>
        </w:rPr>
        <w:fldChar w:fldCharType="end"/>
      </w:r>
      <w:r>
        <w:rPr>
          <w:rFonts w:hAnsi="宋体"/>
          <w:b w:val="0"/>
          <w:bCs w:val="0"/>
          <w:color w:val="auto"/>
          <w:highlight w:val="none"/>
        </w:rPr>
        <w:fldChar w:fldCharType="end"/>
      </w:r>
    </w:p>
    <w:p w14:paraId="234A7A4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_Toc10632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6.12 </w:t>
      </w:r>
      <w:r>
        <w:rPr>
          <w:b w:val="0"/>
          <w:bCs w:val="0"/>
          <w:highlight w:val="none"/>
          <w:lang w:val="en-US" w:eastAsia="zh-CN"/>
        </w:rPr>
        <w:t>气体介质主要性能要求</w:t>
      </w:r>
      <w:r>
        <w:rPr>
          <w:b w:val="0"/>
          <w:bCs w:val="0"/>
          <w:highlight w:val="none"/>
        </w:rPr>
        <w:tab/>
      </w:r>
      <w:r>
        <w:rPr>
          <w:b w:val="0"/>
          <w:bCs w:val="0"/>
          <w:highlight w:val="none"/>
        </w:rPr>
        <w:fldChar w:fldCharType="begin"/>
      </w:r>
      <w:r>
        <w:rPr>
          <w:b w:val="0"/>
          <w:bCs w:val="0"/>
          <w:highlight w:val="none"/>
        </w:rPr>
        <w:instrText xml:space="preserve"> PAGEREF _Toc10632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695044B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_Toc4833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6.13 </w:t>
      </w:r>
      <w:r>
        <w:rPr>
          <w:b w:val="0"/>
          <w:bCs w:val="0"/>
          <w:highlight w:val="none"/>
          <w:lang w:val="en-US" w:eastAsia="zh-CN"/>
        </w:rPr>
        <w:t>对零件和部件的温升要求</w:t>
      </w:r>
      <w:r>
        <w:rPr>
          <w:b w:val="0"/>
          <w:bCs w:val="0"/>
          <w:highlight w:val="none"/>
        </w:rPr>
        <w:tab/>
      </w:r>
      <w:r>
        <w:rPr>
          <w:b w:val="0"/>
          <w:bCs w:val="0"/>
          <w:highlight w:val="none"/>
        </w:rPr>
        <w:fldChar w:fldCharType="begin"/>
      </w:r>
      <w:r>
        <w:rPr>
          <w:b w:val="0"/>
          <w:bCs w:val="0"/>
          <w:highlight w:val="none"/>
        </w:rPr>
        <w:instrText xml:space="preserve"> PAGEREF _Toc4833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5E2A85E6">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_Toc14115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6.14 </w:t>
      </w:r>
      <w:r>
        <w:rPr>
          <w:b w:val="0"/>
          <w:bCs w:val="0"/>
          <w:highlight w:val="none"/>
          <w:lang w:val="en-US" w:eastAsia="zh-CN"/>
        </w:rPr>
        <w:t>短路承受能力要求</w:t>
      </w:r>
      <w:r>
        <w:rPr>
          <w:b w:val="0"/>
          <w:bCs w:val="0"/>
          <w:highlight w:val="none"/>
        </w:rPr>
        <w:tab/>
      </w:r>
      <w:r>
        <w:rPr>
          <w:b w:val="0"/>
          <w:bCs w:val="0"/>
          <w:highlight w:val="none"/>
        </w:rPr>
        <w:fldChar w:fldCharType="begin"/>
      </w:r>
      <w:r>
        <w:rPr>
          <w:b w:val="0"/>
          <w:bCs w:val="0"/>
          <w:highlight w:val="none"/>
        </w:rPr>
        <w:instrText xml:space="preserve"> PAGEREF _Toc14115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3DC5B16B">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_Toc22249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6.15 </w:t>
      </w:r>
      <w:r>
        <w:rPr>
          <w:b w:val="0"/>
          <w:bCs w:val="0"/>
          <w:highlight w:val="none"/>
          <w:lang w:val="en-US" w:eastAsia="zh-CN"/>
        </w:rPr>
        <w:t>机械强度要求</w:t>
      </w:r>
      <w:r>
        <w:rPr>
          <w:b w:val="0"/>
          <w:bCs w:val="0"/>
          <w:highlight w:val="none"/>
        </w:rPr>
        <w:tab/>
      </w:r>
      <w:r>
        <w:rPr>
          <w:b w:val="0"/>
          <w:bCs w:val="0"/>
          <w:highlight w:val="none"/>
        </w:rPr>
        <w:fldChar w:fldCharType="begin"/>
      </w:r>
      <w:r>
        <w:rPr>
          <w:b w:val="0"/>
          <w:bCs w:val="0"/>
          <w:highlight w:val="none"/>
        </w:rPr>
        <w:instrText xml:space="preserve"> PAGEREF _Toc22249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00A652E7">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_Toc2472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6.16 </w:t>
      </w:r>
      <w:r>
        <w:rPr>
          <w:b w:val="0"/>
          <w:bCs w:val="0"/>
          <w:highlight w:val="none"/>
          <w:lang w:val="en-US" w:eastAsia="zh-CN"/>
        </w:rPr>
        <w:t>密封性能要求</w:t>
      </w:r>
      <w:r>
        <w:rPr>
          <w:b w:val="0"/>
          <w:bCs w:val="0"/>
          <w:highlight w:val="none"/>
        </w:rPr>
        <w:tab/>
      </w:r>
      <w:r>
        <w:rPr>
          <w:b w:val="0"/>
          <w:bCs w:val="0"/>
          <w:highlight w:val="none"/>
        </w:rPr>
        <w:fldChar w:fldCharType="begin"/>
      </w:r>
      <w:r>
        <w:rPr>
          <w:b w:val="0"/>
          <w:bCs w:val="0"/>
          <w:highlight w:val="none"/>
        </w:rPr>
        <w:instrText xml:space="preserve"> PAGEREF _Toc2472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4897A91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_Toc21541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6.17 </w:t>
      </w:r>
      <w:r>
        <w:rPr>
          <w:b w:val="0"/>
          <w:bCs w:val="0"/>
          <w:highlight w:val="none"/>
          <w:lang w:val="en-US" w:eastAsia="zh-CN"/>
        </w:rPr>
        <w:t>内部电弧故障防护要求</w:t>
      </w:r>
      <w:r>
        <w:rPr>
          <w:b w:val="0"/>
          <w:bCs w:val="0"/>
          <w:highlight w:val="none"/>
        </w:rPr>
        <w:tab/>
      </w:r>
      <w:r>
        <w:rPr>
          <w:b w:val="0"/>
          <w:bCs w:val="0"/>
          <w:highlight w:val="none"/>
        </w:rPr>
        <w:fldChar w:fldCharType="begin"/>
      </w:r>
      <w:r>
        <w:rPr>
          <w:b w:val="0"/>
          <w:bCs w:val="0"/>
          <w:highlight w:val="none"/>
        </w:rPr>
        <w:instrText xml:space="preserve"> PAGEREF _Toc21541 \h </w:instrText>
      </w:r>
      <w:r>
        <w:rPr>
          <w:b w:val="0"/>
          <w:bCs w:val="0"/>
          <w:highlight w:val="none"/>
        </w:rPr>
        <w:fldChar w:fldCharType="separate"/>
      </w:r>
      <w:r>
        <w:rPr>
          <w:b w:val="0"/>
          <w:bCs w:val="0"/>
          <w:highlight w:val="none"/>
        </w:rPr>
        <w:t>7</w:t>
      </w:r>
      <w:r>
        <w:rPr>
          <w:b w:val="0"/>
          <w:bCs w:val="0"/>
          <w:highlight w:val="none"/>
        </w:rPr>
        <w:fldChar w:fldCharType="end"/>
      </w:r>
      <w:r>
        <w:rPr>
          <w:rFonts w:hAnsi="宋体"/>
          <w:b w:val="0"/>
          <w:bCs w:val="0"/>
          <w:color w:val="auto"/>
          <w:highlight w:val="none"/>
        </w:rPr>
        <w:fldChar w:fldCharType="end"/>
      </w:r>
    </w:p>
    <w:p w14:paraId="216E095E">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_Toc16812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6.18 </w:t>
      </w:r>
      <w:r>
        <w:rPr>
          <w:b w:val="0"/>
          <w:bCs w:val="0"/>
          <w:highlight w:val="none"/>
          <w:lang w:val="en-US" w:eastAsia="zh-CN"/>
        </w:rPr>
        <w:t>外壳防护等级要求</w:t>
      </w:r>
      <w:r>
        <w:rPr>
          <w:b w:val="0"/>
          <w:bCs w:val="0"/>
          <w:highlight w:val="none"/>
        </w:rPr>
        <w:tab/>
      </w:r>
      <w:r>
        <w:rPr>
          <w:b w:val="0"/>
          <w:bCs w:val="0"/>
          <w:highlight w:val="none"/>
        </w:rPr>
        <w:fldChar w:fldCharType="begin"/>
      </w:r>
      <w:r>
        <w:rPr>
          <w:b w:val="0"/>
          <w:bCs w:val="0"/>
          <w:highlight w:val="none"/>
        </w:rPr>
        <w:instrText xml:space="preserve"> PAGEREF _Toc16812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1B26DB0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_Toc29329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6.19 </w:t>
      </w:r>
      <w:r>
        <w:rPr>
          <w:b w:val="0"/>
          <w:bCs w:val="0"/>
          <w:highlight w:val="none"/>
          <w:lang w:val="en-US" w:eastAsia="zh-CN"/>
        </w:rPr>
        <w:t>无线电干扰电压（RIV）要求</w:t>
      </w:r>
      <w:r>
        <w:rPr>
          <w:b w:val="0"/>
          <w:bCs w:val="0"/>
          <w:highlight w:val="none"/>
        </w:rPr>
        <w:tab/>
      </w:r>
      <w:r>
        <w:rPr>
          <w:b w:val="0"/>
          <w:bCs w:val="0"/>
          <w:highlight w:val="none"/>
        </w:rPr>
        <w:fldChar w:fldCharType="begin"/>
      </w:r>
      <w:r>
        <w:rPr>
          <w:b w:val="0"/>
          <w:bCs w:val="0"/>
          <w:highlight w:val="none"/>
        </w:rPr>
        <w:instrText xml:space="preserve"> PAGEREF _Toc29329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489C427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_Toc4650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6.20 </w:t>
      </w:r>
      <w:r>
        <w:rPr>
          <w:b w:val="0"/>
          <w:bCs w:val="0"/>
          <w:highlight w:val="none"/>
          <w:lang w:val="en-US" w:eastAsia="zh-CN"/>
        </w:rPr>
        <w:t>传递过电压要求</w:t>
      </w:r>
      <w:r>
        <w:rPr>
          <w:b w:val="0"/>
          <w:bCs w:val="0"/>
          <w:highlight w:val="none"/>
        </w:rPr>
        <w:tab/>
      </w:r>
      <w:r>
        <w:rPr>
          <w:b w:val="0"/>
          <w:bCs w:val="0"/>
          <w:highlight w:val="none"/>
        </w:rPr>
        <w:fldChar w:fldCharType="begin"/>
      </w:r>
      <w:r>
        <w:rPr>
          <w:b w:val="0"/>
          <w:bCs w:val="0"/>
          <w:highlight w:val="none"/>
        </w:rPr>
        <w:instrText xml:space="preserve"> PAGEREF _Toc4650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5E173CD2">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_Toc118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6.21 </w:t>
      </w:r>
      <w:r>
        <w:rPr>
          <w:b w:val="0"/>
          <w:bCs w:val="0"/>
          <w:highlight w:val="none"/>
          <w:lang w:val="en-US" w:eastAsia="zh-CN"/>
        </w:rPr>
        <w:t>腐蚀要求</w:t>
      </w:r>
      <w:r>
        <w:rPr>
          <w:b w:val="0"/>
          <w:bCs w:val="0"/>
          <w:highlight w:val="none"/>
        </w:rPr>
        <w:tab/>
      </w:r>
      <w:r>
        <w:rPr>
          <w:b w:val="0"/>
          <w:bCs w:val="0"/>
          <w:highlight w:val="none"/>
        </w:rPr>
        <w:fldChar w:fldCharType="begin"/>
      </w:r>
      <w:r>
        <w:rPr>
          <w:b w:val="0"/>
          <w:bCs w:val="0"/>
          <w:highlight w:val="none"/>
        </w:rPr>
        <w:instrText xml:space="preserve"> PAGEREF _Toc118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35FADC6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_Toc25211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6.22 </w:t>
      </w:r>
      <w:r>
        <w:rPr>
          <w:b w:val="0"/>
          <w:bCs w:val="0"/>
          <w:highlight w:val="none"/>
          <w:lang w:val="en-US" w:eastAsia="zh-CN"/>
        </w:rPr>
        <w:t>着火危险要求</w:t>
      </w:r>
      <w:r>
        <w:rPr>
          <w:b w:val="0"/>
          <w:bCs w:val="0"/>
          <w:highlight w:val="none"/>
        </w:rPr>
        <w:tab/>
      </w:r>
      <w:r>
        <w:rPr>
          <w:b w:val="0"/>
          <w:bCs w:val="0"/>
          <w:highlight w:val="none"/>
        </w:rPr>
        <w:fldChar w:fldCharType="begin"/>
      </w:r>
      <w:r>
        <w:rPr>
          <w:b w:val="0"/>
          <w:bCs w:val="0"/>
          <w:highlight w:val="none"/>
        </w:rPr>
        <w:instrText xml:space="preserve"> PAGEREF _Toc25211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04E6DE7F">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_Toc14623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7 </w:t>
      </w:r>
      <w:r>
        <w:rPr>
          <w:b w:val="0"/>
          <w:bCs w:val="0"/>
          <w:highlight w:val="none"/>
          <w:lang w:val="en-US" w:eastAsia="zh-CN"/>
        </w:rPr>
        <w:t>结构和选型要求</w:t>
      </w:r>
      <w:r>
        <w:rPr>
          <w:b w:val="0"/>
          <w:bCs w:val="0"/>
          <w:highlight w:val="none"/>
        </w:rPr>
        <w:tab/>
      </w:r>
      <w:r>
        <w:rPr>
          <w:b w:val="0"/>
          <w:bCs w:val="0"/>
          <w:highlight w:val="none"/>
        </w:rPr>
        <w:fldChar w:fldCharType="begin"/>
      </w:r>
      <w:r>
        <w:rPr>
          <w:b w:val="0"/>
          <w:bCs w:val="0"/>
          <w:highlight w:val="none"/>
        </w:rPr>
        <w:instrText xml:space="preserve"> PAGEREF _Toc14623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5C227C6C">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_Toc29900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7.1 </w:t>
      </w:r>
      <w:r>
        <w:rPr>
          <w:b w:val="0"/>
          <w:bCs w:val="0"/>
          <w:highlight w:val="none"/>
          <w:lang w:val="en-US" w:eastAsia="zh-CN"/>
        </w:rPr>
        <w:t>结构要求</w:t>
      </w:r>
      <w:r>
        <w:rPr>
          <w:b w:val="0"/>
          <w:bCs w:val="0"/>
          <w:highlight w:val="none"/>
        </w:rPr>
        <w:tab/>
      </w:r>
      <w:r>
        <w:rPr>
          <w:b w:val="0"/>
          <w:bCs w:val="0"/>
          <w:highlight w:val="none"/>
        </w:rPr>
        <w:fldChar w:fldCharType="begin"/>
      </w:r>
      <w:r>
        <w:rPr>
          <w:b w:val="0"/>
          <w:bCs w:val="0"/>
          <w:highlight w:val="none"/>
        </w:rPr>
        <w:instrText xml:space="preserve"> PAGEREF _Toc29900 \h </w:instrText>
      </w:r>
      <w:r>
        <w:rPr>
          <w:b w:val="0"/>
          <w:bCs w:val="0"/>
          <w:highlight w:val="none"/>
        </w:rPr>
        <w:fldChar w:fldCharType="separate"/>
      </w:r>
      <w:r>
        <w:rPr>
          <w:b w:val="0"/>
          <w:bCs w:val="0"/>
          <w:highlight w:val="none"/>
        </w:rPr>
        <w:t>8</w:t>
      </w:r>
      <w:r>
        <w:rPr>
          <w:b w:val="0"/>
          <w:bCs w:val="0"/>
          <w:highlight w:val="none"/>
        </w:rPr>
        <w:fldChar w:fldCharType="end"/>
      </w:r>
      <w:r>
        <w:rPr>
          <w:rFonts w:hAnsi="宋体"/>
          <w:b w:val="0"/>
          <w:bCs w:val="0"/>
          <w:color w:val="auto"/>
          <w:highlight w:val="none"/>
        </w:rPr>
        <w:fldChar w:fldCharType="end"/>
      </w:r>
    </w:p>
    <w:p w14:paraId="6076FD45">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_Toc8677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7.2 </w:t>
      </w:r>
      <w:r>
        <w:rPr>
          <w:b w:val="0"/>
          <w:bCs w:val="0"/>
          <w:highlight w:val="none"/>
          <w:lang w:val="en-US" w:eastAsia="zh-CN"/>
        </w:rPr>
        <w:t>选型要求</w:t>
      </w:r>
      <w:r>
        <w:rPr>
          <w:b w:val="0"/>
          <w:bCs w:val="0"/>
          <w:highlight w:val="none"/>
        </w:rPr>
        <w:tab/>
      </w:r>
      <w:r>
        <w:rPr>
          <w:b w:val="0"/>
          <w:bCs w:val="0"/>
          <w:highlight w:val="none"/>
        </w:rPr>
        <w:fldChar w:fldCharType="begin"/>
      </w:r>
      <w:r>
        <w:rPr>
          <w:b w:val="0"/>
          <w:bCs w:val="0"/>
          <w:highlight w:val="none"/>
        </w:rPr>
        <w:instrText xml:space="preserve"> PAGEREF _Toc8677 \h </w:instrText>
      </w:r>
      <w:r>
        <w:rPr>
          <w:b w:val="0"/>
          <w:bCs w:val="0"/>
          <w:highlight w:val="none"/>
        </w:rPr>
        <w:fldChar w:fldCharType="separate"/>
      </w:r>
      <w:r>
        <w:rPr>
          <w:b w:val="0"/>
          <w:bCs w:val="0"/>
          <w:highlight w:val="none"/>
        </w:rPr>
        <w:t>9</w:t>
      </w:r>
      <w:r>
        <w:rPr>
          <w:b w:val="0"/>
          <w:bCs w:val="0"/>
          <w:highlight w:val="none"/>
        </w:rPr>
        <w:fldChar w:fldCharType="end"/>
      </w:r>
      <w:r>
        <w:rPr>
          <w:rFonts w:hAnsi="宋体"/>
          <w:b w:val="0"/>
          <w:bCs w:val="0"/>
          <w:color w:val="auto"/>
          <w:highlight w:val="none"/>
        </w:rPr>
        <w:fldChar w:fldCharType="end"/>
      </w:r>
    </w:p>
    <w:p w14:paraId="70D771A6">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_Toc23916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8 </w:t>
      </w:r>
      <w:r>
        <w:rPr>
          <w:b w:val="0"/>
          <w:bCs w:val="0"/>
          <w:highlight w:val="none"/>
          <w:lang w:val="en-US" w:eastAsia="zh-CN"/>
        </w:rPr>
        <w:t>试验</w:t>
      </w:r>
      <w:r>
        <w:rPr>
          <w:b w:val="0"/>
          <w:bCs w:val="0"/>
          <w:highlight w:val="none"/>
        </w:rPr>
        <w:tab/>
      </w:r>
      <w:r>
        <w:rPr>
          <w:b w:val="0"/>
          <w:bCs w:val="0"/>
          <w:highlight w:val="none"/>
        </w:rPr>
        <w:fldChar w:fldCharType="begin"/>
      </w:r>
      <w:r>
        <w:rPr>
          <w:b w:val="0"/>
          <w:bCs w:val="0"/>
          <w:highlight w:val="none"/>
        </w:rPr>
        <w:instrText xml:space="preserve"> PAGEREF _Toc23916 \h </w:instrText>
      </w:r>
      <w:r>
        <w:rPr>
          <w:b w:val="0"/>
          <w:bCs w:val="0"/>
          <w:highlight w:val="none"/>
        </w:rPr>
        <w:fldChar w:fldCharType="separate"/>
      </w:r>
      <w:r>
        <w:rPr>
          <w:b w:val="0"/>
          <w:bCs w:val="0"/>
          <w:highlight w:val="none"/>
        </w:rPr>
        <w:t>10</w:t>
      </w:r>
      <w:r>
        <w:rPr>
          <w:b w:val="0"/>
          <w:bCs w:val="0"/>
          <w:highlight w:val="none"/>
        </w:rPr>
        <w:fldChar w:fldCharType="end"/>
      </w:r>
      <w:r>
        <w:rPr>
          <w:rFonts w:hAnsi="宋体"/>
          <w:b w:val="0"/>
          <w:bCs w:val="0"/>
          <w:color w:val="auto"/>
          <w:highlight w:val="none"/>
        </w:rPr>
        <w:fldChar w:fldCharType="end"/>
      </w:r>
    </w:p>
    <w:p w14:paraId="78707634">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_Toc30928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 </w:t>
      </w:r>
      <w:r>
        <w:rPr>
          <w:b w:val="0"/>
          <w:bCs w:val="0"/>
          <w:highlight w:val="none"/>
          <w:lang w:val="en-US" w:eastAsia="zh-CN"/>
        </w:rPr>
        <w:t>试验分类</w:t>
      </w:r>
      <w:r>
        <w:rPr>
          <w:b w:val="0"/>
          <w:bCs w:val="0"/>
          <w:highlight w:val="none"/>
        </w:rPr>
        <w:tab/>
      </w:r>
      <w:r>
        <w:rPr>
          <w:b w:val="0"/>
          <w:bCs w:val="0"/>
          <w:highlight w:val="none"/>
        </w:rPr>
        <w:fldChar w:fldCharType="begin"/>
      </w:r>
      <w:r>
        <w:rPr>
          <w:b w:val="0"/>
          <w:bCs w:val="0"/>
          <w:highlight w:val="none"/>
        </w:rPr>
        <w:instrText xml:space="preserve"> PAGEREF _Toc30928 \h </w:instrText>
      </w:r>
      <w:r>
        <w:rPr>
          <w:b w:val="0"/>
          <w:bCs w:val="0"/>
          <w:highlight w:val="none"/>
        </w:rPr>
        <w:fldChar w:fldCharType="separate"/>
      </w:r>
      <w:r>
        <w:rPr>
          <w:b w:val="0"/>
          <w:bCs w:val="0"/>
          <w:highlight w:val="none"/>
        </w:rPr>
        <w:t>10</w:t>
      </w:r>
      <w:r>
        <w:rPr>
          <w:b w:val="0"/>
          <w:bCs w:val="0"/>
          <w:highlight w:val="none"/>
        </w:rPr>
        <w:fldChar w:fldCharType="end"/>
      </w:r>
      <w:r>
        <w:rPr>
          <w:rFonts w:hAnsi="宋体"/>
          <w:b w:val="0"/>
          <w:bCs w:val="0"/>
          <w:color w:val="auto"/>
          <w:highlight w:val="none"/>
        </w:rPr>
        <w:fldChar w:fldCharType="end"/>
      </w:r>
    </w:p>
    <w:p w14:paraId="57953CF8">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_Toc14701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8.2 </w:t>
      </w:r>
      <w:r>
        <w:rPr>
          <w:rFonts w:hint="eastAsia"/>
          <w:b w:val="0"/>
          <w:bCs w:val="0"/>
          <w:highlight w:val="none"/>
          <w:lang w:val="en-US" w:eastAsia="zh-CN"/>
        </w:rPr>
        <w:t>试验</w:t>
      </w:r>
      <w:r>
        <w:rPr>
          <w:b w:val="0"/>
          <w:bCs w:val="0"/>
          <w:highlight w:val="none"/>
          <w:lang w:val="en-US" w:eastAsia="zh-CN"/>
        </w:rPr>
        <w:t>项目</w:t>
      </w:r>
      <w:r>
        <w:rPr>
          <w:b w:val="0"/>
          <w:bCs w:val="0"/>
          <w:highlight w:val="none"/>
        </w:rPr>
        <w:tab/>
      </w:r>
      <w:r>
        <w:rPr>
          <w:b w:val="0"/>
          <w:bCs w:val="0"/>
          <w:highlight w:val="none"/>
        </w:rPr>
        <w:fldChar w:fldCharType="begin"/>
      </w:r>
      <w:r>
        <w:rPr>
          <w:b w:val="0"/>
          <w:bCs w:val="0"/>
          <w:highlight w:val="none"/>
        </w:rPr>
        <w:instrText xml:space="preserve"> PAGEREF _Toc14701 \h </w:instrText>
      </w:r>
      <w:r>
        <w:rPr>
          <w:b w:val="0"/>
          <w:bCs w:val="0"/>
          <w:highlight w:val="none"/>
        </w:rPr>
        <w:fldChar w:fldCharType="separate"/>
      </w:r>
      <w:r>
        <w:rPr>
          <w:b w:val="0"/>
          <w:bCs w:val="0"/>
          <w:highlight w:val="none"/>
        </w:rPr>
        <w:t>10</w:t>
      </w:r>
      <w:r>
        <w:rPr>
          <w:b w:val="0"/>
          <w:bCs w:val="0"/>
          <w:highlight w:val="none"/>
        </w:rPr>
        <w:fldChar w:fldCharType="end"/>
      </w:r>
      <w:r>
        <w:rPr>
          <w:rFonts w:hAnsi="宋体"/>
          <w:b w:val="0"/>
          <w:bCs w:val="0"/>
          <w:color w:val="auto"/>
          <w:highlight w:val="none"/>
        </w:rPr>
        <w:fldChar w:fldCharType="end"/>
      </w:r>
    </w:p>
    <w:p w14:paraId="739E16D0">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_Toc2345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8.3 </w:t>
      </w:r>
      <w:r>
        <w:rPr>
          <w:b w:val="0"/>
          <w:bCs w:val="0"/>
          <w:highlight w:val="none"/>
          <w:lang w:val="en-US" w:eastAsia="zh-CN"/>
        </w:rPr>
        <w:t>准确度试验</w:t>
      </w:r>
      <w:r>
        <w:rPr>
          <w:b w:val="0"/>
          <w:bCs w:val="0"/>
          <w:highlight w:val="none"/>
        </w:rPr>
        <w:tab/>
      </w:r>
      <w:r>
        <w:rPr>
          <w:b w:val="0"/>
          <w:bCs w:val="0"/>
          <w:highlight w:val="none"/>
        </w:rPr>
        <w:fldChar w:fldCharType="begin"/>
      </w:r>
      <w:r>
        <w:rPr>
          <w:b w:val="0"/>
          <w:bCs w:val="0"/>
          <w:highlight w:val="none"/>
        </w:rPr>
        <w:instrText xml:space="preserve"> PAGEREF _Toc2345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1B4A824A">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_Toc18284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8.4 </w:t>
      </w:r>
      <w:r>
        <w:rPr>
          <w:b w:val="0"/>
          <w:bCs w:val="0"/>
          <w:highlight w:val="none"/>
          <w:lang w:val="en-US" w:eastAsia="zh-CN"/>
        </w:rPr>
        <w:t>环境温度下密封性能试验</w:t>
      </w:r>
      <w:r>
        <w:rPr>
          <w:b w:val="0"/>
          <w:bCs w:val="0"/>
          <w:highlight w:val="none"/>
        </w:rPr>
        <w:tab/>
      </w:r>
      <w:r>
        <w:rPr>
          <w:b w:val="0"/>
          <w:bCs w:val="0"/>
          <w:highlight w:val="none"/>
        </w:rPr>
        <w:fldChar w:fldCharType="begin"/>
      </w:r>
      <w:r>
        <w:rPr>
          <w:b w:val="0"/>
          <w:bCs w:val="0"/>
          <w:highlight w:val="none"/>
        </w:rPr>
        <w:instrText xml:space="preserve"> PAGEREF _Toc18284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7C30482D">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_Toc7597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8.5 </w:t>
      </w:r>
      <w:r>
        <w:rPr>
          <w:b w:val="0"/>
          <w:bCs w:val="0"/>
          <w:highlight w:val="none"/>
          <w:lang w:val="en-US" w:eastAsia="zh-CN"/>
        </w:rPr>
        <w:t>励磁特性测量</w:t>
      </w:r>
      <w:r>
        <w:rPr>
          <w:b w:val="0"/>
          <w:bCs w:val="0"/>
          <w:highlight w:val="none"/>
        </w:rPr>
        <w:tab/>
      </w:r>
      <w:r>
        <w:rPr>
          <w:b w:val="0"/>
          <w:bCs w:val="0"/>
          <w:highlight w:val="none"/>
        </w:rPr>
        <w:fldChar w:fldCharType="begin"/>
      </w:r>
      <w:r>
        <w:rPr>
          <w:b w:val="0"/>
          <w:bCs w:val="0"/>
          <w:highlight w:val="none"/>
        </w:rPr>
        <w:instrText xml:space="preserve"> PAGEREF _Toc7597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74EEDF83">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_Toc23421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8.6 </w:t>
      </w:r>
      <w:r>
        <w:rPr>
          <w:b w:val="0"/>
          <w:bCs w:val="0"/>
          <w:highlight w:val="none"/>
          <w:lang w:val="en-US" w:eastAsia="zh-CN"/>
        </w:rPr>
        <w:t>气体露点测量（适用于气体绝缘产品）</w:t>
      </w:r>
      <w:r>
        <w:rPr>
          <w:b w:val="0"/>
          <w:bCs w:val="0"/>
          <w:highlight w:val="none"/>
        </w:rPr>
        <w:tab/>
      </w:r>
      <w:r>
        <w:rPr>
          <w:b w:val="0"/>
          <w:bCs w:val="0"/>
          <w:highlight w:val="none"/>
        </w:rPr>
        <w:fldChar w:fldCharType="begin"/>
      </w:r>
      <w:r>
        <w:rPr>
          <w:b w:val="0"/>
          <w:bCs w:val="0"/>
          <w:highlight w:val="none"/>
        </w:rPr>
        <w:instrText xml:space="preserve"> PAGEREF _Toc23421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6C5F9475">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_Toc17730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8.7 </w:t>
      </w:r>
      <w:r>
        <w:rPr>
          <w:rFonts w:hint="eastAsia"/>
          <w:b w:val="0"/>
          <w:bCs w:val="0"/>
          <w:highlight w:val="none"/>
          <w:lang w:val="en-US" w:eastAsia="zh-CN"/>
        </w:rPr>
        <w:t>一次端交流耐压试验</w:t>
      </w:r>
      <w:r>
        <w:rPr>
          <w:b w:val="0"/>
          <w:bCs w:val="0"/>
          <w:highlight w:val="none"/>
        </w:rPr>
        <w:tab/>
      </w:r>
      <w:r>
        <w:rPr>
          <w:b w:val="0"/>
          <w:bCs w:val="0"/>
          <w:highlight w:val="none"/>
        </w:rPr>
        <w:fldChar w:fldCharType="begin"/>
      </w:r>
      <w:r>
        <w:rPr>
          <w:b w:val="0"/>
          <w:bCs w:val="0"/>
          <w:highlight w:val="none"/>
        </w:rPr>
        <w:instrText xml:space="preserve"> PAGEREF _Toc17730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1082B32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_Toc12171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8.8 </w:t>
      </w:r>
      <w:r>
        <w:rPr>
          <w:b w:val="0"/>
          <w:bCs w:val="0"/>
          <w:highlight w:val="none"/>
          <w:lang w:val="en-US" w:eastAsia="zh-CN"/>
        </w:rPr>
        <w:t>局部放电测量</w:t>
      </w:r>
      <w:r>
        <w:rPr>
          <w:b w:val="0"/>
          <w:bCs w:val="0"/>
          <w:highlight w:val="none"/>
        </w:rPr>
        <w:tab/>
      </w:r>
      <w:r>
        <w:rPr>
          <w:b w:val="0"/>
          <w:bCs w:val="0"/>
          <w:highlight w:val="none"/>
        </w:rPr>
        <w:fldChar w:fldCharType="begin"/>
      </w:r>
      <w:r>
        <w:rPr>
          <w:b w:val="0"/>
          <w:bCs w:val="0"/>
          <w:highlight w:val="none"/>
        </w:rPr>
        <w:instrText xml:space="preserve"> PAGEREF _Toc12171 \h </w:instrText>
      </w:r>
      <w:r>
        <w:rPr>
          <w:b w:val="0"/>
          <w:bCs w:val="0"/>
          <w:highlight w:val="none"/>
        </w:rPr>
        <w:fldChar w:fldCharType="separate"/>
      </w:r>
      <w:r>
        <w:rPr>
          <w:b w:val="0"/>
          <w:bCs w:val="0"/>
          <w:highlight w:val="none"/>
        </w:rPr>
        <w:t>11</w:t>
      </w:r>
      <w:r>
        <w:rPr>
          <w:b w:val="0"/>
          <w:bCs w:val="0"/>
          <w:highlight w:val="none"/>
        </w:rPr>
        <w:fldChar w:fldCharType="end"/>
      </w:r>
      <w:r>
        <w:rPr>
          <w:rFonts w:hAnsi="宋体"/>
          <w:b w:val="0"/>
          <w:bCs w:val="0"/>
          <w:color w:val="auto"/>
          <w:highlight w:val="none"/>
        </w:rPr>
        <w:fldChar w:fldCharType="end"/>
      </w:r>
    </w:p>
    <w:p w14:paraId="78FC2969">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_Toc1622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8.9 </w:t>
      </w:r>
      <w:r>
        <w:rPr>
          <w:b w:val="0"/>
          <w:bCs w:val="0"/>
          <w:highlight w:val="none"/>
          <w:lang w:val="en-US" w:eastAsia="zh-CN"/>
        </w:rPr>
        <w:t>电容量和介质损耗因数测量</w:t>
      </w:r>
      <w:r>
        <w:rPr>
          <w:rFonts w:hint="eastAsia"/>
          <w:b w:val="0"/>
          <w:bCs w:val="0"/>
          <w:highlight w:val="none"/>
          <w:lang w:val="en-US" w:eastAsia="zh-CN"/>
        </w:rPr>
        <w:t>（适用于油纸绝缘产品）</w:t>
      </w:r>
      <w:r>
        <w:rPr>
          <w:b w:val="0"/>
          <w:bCs w:val="0"/>
          <w:highlight w:val="none"/>
        </w:rPr>
        <w:tab/>
      </w:r>
      <w:r>
        <w:rPr>
          <w:b w:val="0"/>
          <w:bCs w:val="0"/>
          <w:highlight w:val="none"/>
        </w:rPr>
        <w:fldChar w:fldCharType="begin"/>
      </w:r>
      <w:r>
        <w:rPr>
          <w:b w:val="0"/>
          <w:bCs w:val="0"/>
          <w:highlight w:val="none"/>
        </w:rPr>
        <w:instrText xml:space="preserve"> PAGEREF _Toc1622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2E39B547">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_Toc23474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8.10 </w:t>
      </w:r>
      <w:r>
        <w:rPr>
          <w:rFonts w:hint="eastAsia"/>
          <w:b w:val="0"/>
          <w:bCs w:val="0"/>
          <w:highlight w:val="none"/>
          <w:lang w:val="en-US" w:eastAsia="zh-CN"/>
        </w:rPr>
        <w:t>二次端交流耐压试验</w:t>
      </w:r>
      <w:r>
        <w:rPr>
          <w:b w:val="0"/>
          <w:bCs w:val="0"/>
          <w:highlight w:val="none"/>
        </w:rPr>
        <w:tab/>
      </w:r>
      <w:r>
        <w:rPr>
          <w:b w:val="0"/>
          <w:bCs w:val="0"/>
          <w:highlight w:val="none"/>
        </w:rPr>
        <w:fldChar w:fldCharType="begin"/>
      </w:r>
      <w:r>
        <w:rPr>
          <w:b w:val="0"/>
          <w:bCs w:val="0"/>
          <w:highlight w:val="none"/>
        </w:rPr>
        <w:instrText xml:space="preserve"> PAGEREF _Toc23474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3E296978">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_Toc15964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8.11 </w:t>
      </w:r>
      <w:r>
        <w:rPr>
          <w:b w:val="0"/>
          <w:bCs w:val="0"/>
          <w:highlight w:val="none"/>
          <w:lang w:val="en-US" w:eastAsia="zh-CN"/>
        </w:rPr>
        <w:t>标志的检验</w:t>
      </w:r>
      <w:r>
        <w:rPr>
          <w:b w:val="0"/>
          <w:bCs w:val="0"/>
          <w:highlight w:val="none"/>
        </w:rPr>
        <w:tab/>
      </w:r>
      <w:r>
        <w:rPr>
          <w:b w:val="0"/>
          <w:bCs w:val="0"/>
          <w:highlight w:val="none"/>
        </w:rPr>
        <w:fldChar w:fldCharType="begin"/>
      </w:r>
      <w:r>
        <w:rPr>
          <w:b w:val="0"/>
          <w:bCs w:val="0"/>
          <w:highlight w:val="none"/>
        </w:rPr>
        <w:instrText xml:space="preserve"> PAGEREF _Toc15964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7F43861B">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_Toc24147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8.12 </w:t>
      </w:r>
      <w:r>
        <w:rPr>
          <w:b w:val="0"/>
          <w:bCs w:val="0"/>
          <w:highlight w:val="none"/>
          <w:lang w:val="en-US" w:eastAsia="zh-CN"/>
        </w:rPr>
        <w:t>绝缘油性能试验</w:t>
      </w:r>
      <w:r>
        <w:rPr>
          <w:rFonts w:hint="eastAsia"/>
          <w:b w:val="0"/>
          <w:bCs w:val="0"/>
          <w:highlight w:val="none"/>
          <w:lang w:val="en-US" w:eastAsia="zh-CN"/>
        </w:rPr>
        <w:t>（适用于油纸绝缘产品）</w:t>
      </w:r>
      <w:r>
        <w:rPr>
          <w:b w:val="0"/>
          <w:bCs w:val="0"/>
          <w:highlight w:val="none"/>
        </w:rPr>
        <w:tab/>
      </w:r>
      <w:r>
        <w:rPr>
          <w:b w:val="0"/>
          <w:bCs w:val="0"/>
          <w:highlight w:val="none"/>
        </w:rPr>
        <w:fldChar w:fldCharType="begin"/>
      </w:r>
      <w:r>
        <w:rPr>
          <w:b w:val="0"/>
          <w:bCs w:val="0"/>
          <w:highlight w:val="none"/>
        </w:rPr>
        <w:instrText xml:space="preserve"> PAGEREF _Toc24147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64DEF421">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_Toc5629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8.13 </w:t>
      </w:r>
      <w:r>
        <w:rPr>
          <w:b w:val="0"/>
          <w:bCs w:val="0"/>
          <w:highlight w:val="none"/>
          <w:lang w:val="en-US" w:eastAsia="zh-CN"/>
        </w:rPr>
        <w:t>绝缘电阻测量</w:t>
      </w:r>
      <w:r>
        <w:rPr>
          <w:b w:val="0"/>
          <w:bCs w:val="0"/>
          <w:highlight w:val="none"/>
        </w:rPr>
        <w:tab/>
      </w:r>
      <w:r>
        <w:rPr>
          <w:b w:val="0"/>
          <w:bCs w:val="0"/>
          <w:highlight w:val="none"/>
        </w:rPr>
        <w:fldChar w:fldCharType="begin"/>
      </w:r>
      <w:r>
        <w:rPr>
          <w:b w:val="0"/>
          <w:bCs w:val="0"/>
          <w:highlight w:val="none"/>
        </w:rPr>
        <w:instrText xml:space="preserve"> PAGEREF _Toc5629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52994840">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_Toc6652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8.14 </w:t>
      </w:r>
      <w:r>
        <w:rPr>
          <w:b w:val="0"/>
          <w:bCs w:val="0"/>
          <w:highlight w:val="none"/>
          <w:lang w:val="en-US" w:eastAsia="zh-CN"/>
        </w:rPr>
        <w:t>绕组直流电阻测量</w:t>
      </w:r>
      <w:r>
        <w:rPr>
          <w:b w:val="0"/>
          <w:bCs w:val="0"/>
          <w:highlight w:val="none"/>
        </w:rPr>
        <w:tab/>
      </w:r>
      <w:r>
        <w:rPr>
          <w:b w:val="0"/>
          <w:bCs w:val="0"/>
          <w:highlight w:val="none"/>
        </w:rPr>
        <w:fldChar w:fldCharType="begin"/>
      </w:r>
      <w:r>
        <w:rPr>
          <w:b w:val="0"/>
          <w:bCs w:val="0"/>
          <w:highlight w:val="none"/>
        </w:rPr>
        <w:instrText xml:space="preserve"> PAGEREF _Toc6652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3B296C44">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_Toc30709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9 </w:t>
      </w:r>
      <w:r>
        <w:rPr>
          <w:b w:val="0"/>
          <w:bCs w:val="0"/>
          <w:highlight w:val="none"/>
          <w:lang w:val="en-US" w:eastAsia="zh-CN"/>
        </w:rPr>
        <w:t>标志</w:t>
      </w:r>
      <w:r>
        <w:rPr>
          <w:rFonts w:hint="eastAsia"/>
          <w:b w:val="0"/>
          <w:bCs w:val="0"/>
          <w:highlight w:val="none"/>
          <w:lang w:val="en-US" w:eastAsia="zh-CN"/>
        </w:rPr>
        <w:t>、标签和随行文件</w:t>
      </w:r>
      <w:r>
        <w:rPr>
          <w:b w:val="0"/>
          <w:bCs w:val="0"/>
          <w:highlight w:val="none"/>
        </w:rPr>
        <w:tab/>
      </w:r>
      <w:r>
        <w:rPr>
          <w:b w:val="0"/>
          <w:bCs w:val="0"/>
          <w:highlight w:val="none"/>
        </w:rPr>
        <w:fldChar w:fldCharType="begin"/>
      </w:r>
      <w:r>
        <w:rPr>
          <w:b w:val="0"/>
          <w:bCs w:val="0"/>
          <w:highlight w:val="none"/>
        </w:rPr>
        <w:instrText xml:space="preserve"> PAGEREF _Toc30709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03BB35A7">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_Toc8024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9.1 </w:t>
      </w:r>
      <w:r>
        <w:rPr>
          <w:rFonts w:hint="eastAsia"/>
          <w:b w:val="0"/>
          <w:bCs w:val="0"/>
          <w:highlight w:val="none"/>
          <w:lang w:val="en-US" w:eastAsia="zh-CN"/>
        </w:rPr>
        <w:t>标志</w:t>
      </w:r>
      <w:r>
        <w:rPr>
          <w:b w:val="0"/>
          <w:bCs w:val="0"/>
          <w:highlight w:val="none"/>
          <w:lang w:val="en-US" w:eastAsia="zh-CN"/>
        </w:rPr>
        <w:t>和标签</w:t>
      </w:r>
      <w:r>
        <w:rPr>
          <w:b w:val="0"/>
          <w:bCs w:val="0"/>
          <w:highlight w:val="none"/>
        </w:rPr>
        <w:tab/>
      </w:r>
      <w:r>
        <w:rPr>
          <w:b w:val="0"/>
          <w:bCs w:val="0"/>
          <w:highlight w:val="none"/>
        </w:rPr>
        <w:fldChar w:fldCharType="begin"/>
      </w:r>
      <w:r>
        <w:rPr>
          <w:b w:val="0"/>
          <w:bCs w:val="0"/>
          <w:highlight w:val="none"/>
        </w:rPr>
        <w:instrText xml:space="preserve"> PAGEREF _Toc8024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29643056">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_Toc10165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9.2 </w:t>
      </w:r>
      <w:r>
        <w:rPr>
          <w:rFonts w:hint="eastAsia"/>
          <w:b w:val="0"/>
          <w:bCs w:val="0"/>
          <w:highlight w:val="none"/>
          <w:lang w:val="en-US" w:eastAsia="zh-CN"/>
        </w:rPr>
        <w:t>随行文件</w:t>
      </w:r>
      <w:r>
        <w:rPr>
          <w:b w:val="0"/>
          <w:bCs w:val="0"/>
          <w:highlight w:val="none"/>
        </w:rPr>
        <w:tab/>
      </w:r>
      <w:r>
        <w:rPr>
          <w:b w:val="0"/>
          <w:bCs w:val="0"/>
          <w:highlight w:val="none"/>
        </w:rPr>
        <w:fldChar w:fldCharType="begin"/>
      </w:r>
      <w:r>
        <w:rPr>
          <w:b w:val="0"/>
          <w:bCs w:val="0"/>
          <w:highlight w:val="none"/>
        </w:rPr>
        <w:instrText xml:space="preserve"> PAGEREF _Toc10165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2250EB04">
      <w:pPr>
        <w:pStyle w:val="20"/>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_Toc3004 </w:instrText>
      </w:r>
      <w:r>
        <w:rPr>
          <w:rFonts w:hAnsi="宋体"/>
          <w:b w:val="0"/>
          <w:bCs w:val="0"/>
          <w:highlight w:val="none"/>
        </w:rPr>
        <w:fldChar w:fldCharType="separate"/>
      </w:r>
      <w:r>
        <w:rPr>
          <w:rFonts w:hint="eastAsia" w:ascii="黑体" w:hAnsi="Times New Roman" w:eastAsia="黑体"/>
          <w:b w:val="0"/>
          <w:bCs w:val="0"/>
          <w:i w:val="0"/>
          <w:szCs w:val="21"/>
          <w:highlight w:val="none"/>
          <w:lang w:val="en-US" w:eastAsia="zh-CN"/>
        </w:rPr>
        <w:t xml:space="preserve">10 </w:t>
      </w:r>
      <w:r>
        <w:rPr>
          <w:b w:val="0"/>
          <w:bCs w:val="0"/>
          <w:highlight w:val="none"/>
          <w:lang w:val="en-US" w:eastAsia="zh-CN"/>
        </w:rPr>
        <w:t>包装、运输及</w:t>
      </w:r>
      <w:r>
        <w:rPr>
          <w:rFonts w:hint="eastAsia"/>
          <w:b w:val="0"/>
          <w:bCs w:val="0"/>
          <w:highlight w:val="none"/>
          <w:lang w:val="en-US" w:eastAsia="zh-CN"/>
        </w:rPr>
        <w:t>贮</w:t>
      </w:r>
      <w:r>
        <w:rPr>
          <w:b w:val="0"/>
          <w:bCs w:val="0"/>
          <w:highlight w:val="none"/>
          <w:lang w:val="en-US" w:eastAsia="zh-CN"/>
        </w:rPr>
        <w:t>存</w:t>
      </w:r>
      <w:r>
        <w:rPr>
          <w:b w:val="0"/>
          <w:bCs w:val="0"/>
          <w:highlight w:val="none"/>
        </w:rPr>
        <w:tab/>
      </w:r>
      <w:r>
        <w:rPr>
          <w:b w:val="0"/>
          <w:bCs w:val="0"/>
          <w:highlight w:val="none"/>
        </w:rPr>
        <w:fldChar w:fldCharType="begin"/>
      </w:r>
      <w:r>
        <w:rPr>
          <w:b w:val="0"/>
          <w:bCs w:val="0"/>
          <w:highlight w:val="none"/>
        </w:rPr>
        <w:instrText xml:space="preserve"> PAGEREF _Toc3004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7D237527">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_Toc15938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10.1 </w:t>
      </w:r>
      <w:r>
        <w:rPr>
          <w:rFonts w:hint="eastAsia"/>
          <w:b w:val="0"/>
          <w:bCs w:val="0"/>
          <w:highlight w:val="none"/>
          <w:lang w:val="en-US" w:eastAsia="zh-CN"/>
        </w:rPr>
        <w:t>包装</w:t>
      </w:r>
      <w:r>
        <w:rPr>
          <w:b w:val="0"/>
          <w:bCs w:val="0"/>
          <w:highlight w:val="none"/>
        </w:rPr>
        <w:tab/>
      </w:r>
      <w:r>
        <w:rPr>
          <w:b w:val="0"/>
          <w:bCs w:val="0"/>
          <w:highlight w:val="none"/>
        </w:rPr>
        <w:fldChar w:fldCharType="begin"/>
      </w:r>
      <w:r>
        <w:rPr>
          <w:b w:val="0"/>
          <w:bCs w:val="0"/>
          <w:highlight w:val="none"/>
        </w:rPr>
        <w:instrText xml:space="preserve"> PAGEREF _Toc15938 \h </w:instrText>
      </w:r>
      <w:r>
        <w:rPr>
          <w:b w:val="0"/>
          <w:bCs w:val="0"/>
          <w:highlight w:val="none"/>
        </w:rPr>
        <w:fldChar w:fldCharType="separate"/>
      </w:r>
      <w:r>
        <w:rPr>
          <w:b w:val="0"/>
          <w:bCs w:val="0"/>
          <w:highlight w:val="none"/>
        </w:rPr>
        <w:t>12</w:t>
      </w:r>
      <w:r>
        <w:rPr>
          <w:b w:val="0"/>
          <w:bCs w:val="0"/>
          <w:highlight w:val="none"/>
        </w:rPr>
        <w:fldChar w:fldCharType="end"/>
      </w:r>
      <w:r>
        <w:rPr>
          <w:rFonts w:hAnsi="宋体"/>
          <w:b w:val="0"/>
          <w:bCs w:val="0"/>
          <w:color w:val="auto"/>
          <w:highlight w:val="none"/>
        </w:rPr>
        <w:fldChar w:fldCharType="end"/>
      </w:r>
    </w:p>
    <w:p w14:paraId="2E94CD23">
      <w:pPr>
        <w:pStyle w:val="19"/>
        <w:tabs>
          <w:tab w:val="right" w:leader="dot" w:pos="9356"/>
        </w:tabs>
        <w:rPr>
          <w:b w:val="0"/>
          <w:bCs w:val="0"/>
          <w:highlight w:val="none"/>
        </w:rPr>
      </w:pPr>
      <w:r>
        <w:rPr>
          <w:rFonts w:hAnsi="宋体"/>
          <w:b w:val="0"/>
          <w:bCs w:val="0"/>
          <w:color w:val="auto"/>
          <w:highlight w:val="none"/>
        </w:rPr>
        <w:fldChar w:fldCharType="begin"/>
      </w:r>
      <w:r>
        <w:rPr>
          <w:rFonts w:hAnsi="宋体"/>
          <w:b w:val="0"/>
          <w:bCs w:val="0"/>
          <w:highlight w:val="none"/>
        </w:rPr>
        <w:instrText xml:space="preserve"> HYPERLINK \l _Toc18705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10.2 </w:t>
      </w:r>
      <w:r>
        <w:rPr>
          <w:rFonts w:hint="eastAsia"/>
          <w:b w:val="0"/>
          <w:bCs w:val="0"/>
          <w:highlight w:val="none"/>
          <w:lang w:val="en-US" w:eastAsia="zh-CN"/>
        </w:rPr>
        <w:t>运输</w:t>
      </w:r>
      <w:r>
        <w:rPr>
          <w:b w:val="0"/>
          <w:bCs w:val="0"/>
          <w:highlight w:val="none"/>
        </w:rPr>
        <w:tab/>
      </w:r>
      <w:r>
        <w:rPr>
          <w:b w:val="0"/>
          <w:bCs w:val="0"/>
          <w:highlight w:val="none"/>
        </w:rPr>
        <w:fldChar w:fldCharType="begin"/>
      </w:r>
      <w:r>
        <w:rPr>
          <w:b w:val="0"/>
          <w:bCs w:val="0"/>
          <w:highlight w:val="none"/>
        </w:rPr>
        <w:instrText xml:space="preserve"> PAGEREF _Toc18705 \h </w:instrText>
      </w:r>
      <w:r>
        <w:rPr>
          <w:b w:val="0"/>
          <w:bCs w:val="0"/>
          <w:highlight w:val="none"/>
        </w:rPr>
        <w:fldChar w:fldCharType="separate"/>
      </w:r>
      <w:r>
        <w:rPr>
          <w:b w:val="0"/>
          <w:bCs w:val="0"/>
          <w:highlight w:val="none"/>
        </w:rPr>
        <w:t>13</w:t>
      </w:r>
      <w:r>
        <w:rPr>
          <w:b w:val="0"/>
          <w:bCs w:val="0"/>
          <w:highlight w:val="none"/>
        </w:rPr>
        <w:fldChar w:fldCharType="end"/>
      </w:r>
      <w:r>
        <w:rPr>
          <w:rFonts w:hAnsi="宋体"/>
          <w:b w:val="0"/>
          <w:bCs w:val="0"/>
          <w:color w:val="auto"/>
          <w:highlight w:val="none"/>
        </w:rPr>
        <w:fldChar w:fldCharType="end"/>
      </w:r>
    </w:p>
    <w:p w14:paraId="777886A5">
      <w:pPr>
        <w:pStyle w:val="19"/>
        <w:tabs>
          <w:tab w:val="right" w:leader="dot" w:pos="9356"/>
        </w:tabs>
        <w:rPr>
          <w:highlight w:val="none"/>
        </w:rPr>
      </w:pPr>
      <w:r>
        <w:rPr>
          <w:rFonts w:hAnsi="宋体"/>
          <w:b w:val="0"/>
          <w:bCs w:val="0"/>
          <w:color w:val="auto"/>
          <w:highlight w:val="none"/>
        </w:rPr>
        <w:fldChar w:fldCharType="begin"/>
      </w:r>
      <w:r>
        <w:rPr>
          <w:rFonts w:hAnsi="宋体"/>
          <w:b w:val="0"/>
          <w:bCs w:val="0"/>
          <w:highlight w:val="none"/>
        </w:rPr>
        <w:instrText xml:space="preserve"> HYPERLINK \l _Toc18157 </w:instrText>
      </w:r>
      <w:r>
        <w:rPr>
          <w:rFonts w:hAnsi="宋体"/>
          <w:b w:val="0"/>
          <w:bCs w:val="0"/>
          <w:highlight w:val="none"/>
        </w:rPr>
        <w:fldChar w:fldCharType="separate"/>
      </w:r>
      <w: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Cs w:val="21"/>
          <w:highlight w:val="none"/>
          <w:vertAlign w:val="baseline"/>
          <w:lang w:val="en-US" w:eastAsia="zh-CN"/>
        </w:rPr>
        <w:t xml:space="preserve">10.3 </w:t>
      </w:r>
      <w:r>
        <w:rPr>
          <w:rFonts w:hint="eastAsia"/>
          <w:b w:val="0"/>
          <w:bCs w:val="0"/>
          <w:highlight w:val="none"/>
          <w:lang w:val="en-US" w:eastAsia="zh-CN"/>
        </w:rPr>
        <w:t>贮存</w:t>
      </w:r>
      <w:r>
        <w:rPr>
          <w:b w:val="0"/>
          <w:bCs w:val="0"/>
          <w:highlight w:val="none"/>
        </w:rPr>
        <w:tab/>
      </w:r>
      <w:r>
        <w:rPr>
          <w:b w:val="0"/>
          <w:bCs w:val="0"/>
          <w:highlight w:val="none"/>
        </w:rPr>
        <w:fldChar w:fldCharType="begin"/>
      </w:r>
      <w:r>
        <w:rPr>
          <w:b w:val="0"/>
          <w:bCs w:val="0"/>
          <w:highlight w:val="none"/>
        </w:rPr>
        <w:instrText xml:space="preserve"> PAGEREF _Toc18157 \h </w:instrText>
      </w:r>
      <w:r>
        <w:rPr>
          <w:b w:val="0"/>
          <w:bCs w:val="0"/>
          <w:highlight w:val="none"/>
        </w:rPr>
        <w:fldChar w:fldCharType="separate"/>
      </w:r>
      <w:r>
        <w:rPr>
          <w:b w:val="0"/>
          <w:bCs w:val="0"/>
          <w:highlight w:val="none"/>
        </w:rPr>
        <w:t>13</w:t>
      </w:r>
      <w:r>
        <w:rPr>
          <w:b w:val="0"/>
          <w:bCs w:val="0"/>
          <w:highlight w:val="none"/>
        </w:rPr>
        <w:fldChar w:fldCharType="end"/>
      </w:r>
      <w:r>
        <w:rPr>
          <w:rFonts w:hAnsi="宋体"/>
          <w:b w:val="0"/>
          <w:bCs w:val="0"/>
          <w:color w:val="auto"/>
          <w:highlight w:val="none"/>
        </w:rPr>
        <w:fldChar w:fldCharType="end"/>
      </w:r>
    </w:p>
    <w:p w14:paraId="568A49B6">
      <w:pPr>
        <w:pStyle w:val="258"/>
        <w:ind w:firstLine="420"/>
        <w:rPr>
          <w:rFonts w:hAnsi="宋体"/>
          <w:color w:val="auto"/>
          <w:highlight w:val="none"/>
        </w:rPr>
      </w:pPr>
      <w:r>
        <w:rPr>
          <w:rFonts w:hAnsi="宋体"/>
          <w:color w:val="auto"/>
          <w:highlight w:val="none"/>
        </w:rPr>
        <w:fldChar w:fldCharType="end"/>
      </w:r>
    </w:p>
    <w:p w14:paraId="6B511D77">
      <w:pPr>
        <w:widowControl/>
        <w:jc w:val="left"/>
        <w:rPr>
          <w:rFonts w:eastAsia="黑体"/>
          <w:color w:val="auto"/>
          <w:kern w:val="0"/>
          <w:sz w:val="32"/>
          <w:szCs w:val="20"/>
          <w:highlight w:val="none"/>
        </w:rPr>
      </w:pPr>
    </w:p>
    <w:p w14:paraId="07AED3AF">
      <w:pPr>
        <w:widowControl/>
        <w:jc w:val="left"/>
        <w:rPr>
          <w:rFonts w:eastAsia="黑体"/>
          <w:color w:val="auto"/>
          <w:kern w:val="0"/>
          <w:sz w:val="32"/>
          <w:szCs w:val="20"/>
          <w:highlight w:val="none"/>
        </w:rPr>
      </w:pPr>
      <w:r>
        <w:rPr>
          <w:color w:val="auto"/>
          <w:highlight w:val="none"/>
        </w:rPr>
        <w:br w:type="page"/>
      </w:r>
    </w:p>
    <w:p w14:paraId="0B09781F">
      <w:pPr>
        <w:pStyle w:val="256"/>
        <w:rPr>
          <w:rFonts w:ascii="Times New Roman"/>
          <w:color w:val="auto"/>
          <w:highlight w:val="none"/>
        </w:rPr>
      </w:pPr>
      <w:bookmarkStart w:id="5" w:name="_Toc13912"/>
      <w:bookmarkStart w:id="6" w:name="_Toc15129"/>
      <w:r>
        <w:rPr>
          <w:rFonts w:ascii="Times New Roman"/>
          <w:color w:val="auto"/>
          <w:highlight w:val="none"/>
        </w:rPr>
        <w:t>前    言</w:t>
      </w:r>
      <w:bookmarkEnd w:id="2"/>
      <w:bookmarkEnd w:id="3"/>
      <w:bookmarkEnd w:id="4"/>
      <w:bookmarkEnd w:id="5"/>
      <w:bookmarkEnd w:id="6"/>
    </w:p>
    <w:p w14:paraId="7E58AE83">
      <w:pPr>
        <w:pStyle w:val="258"/>
        <w:ind w:firstLine="420"/>
        <w:rPr>
          <w:rFonts w:hint="eastAsia" w:hAnsi="宋体"/>
          <w:color w:val="auto"/>
          <w:highlight w:val="none"/>
        </w:rPr>
      </w:pPr>
      <w:r>
        <w:rPr>
          <w:rFonts w:hint="eastAsia" w:hAnsi="宋体"/>
          <w:color w:val="auto"/>
          <w:highlight w:val="none"/>
        </w:rPr>
        <w:t>本文件按照《中国电机工程学会标准化管理办法》、《中国电机工程学会标准化管理办法实施细则》的要求，依据GB/T 1.1—2020《标准化工作导则 第1部分：标准化文件的结构和起草规则》的规定起草。</w:t>
      </w:r>
    </w:p>
    <w:p w14:paraId="28DBF059">
      <w:pPr>
        <w:pStyle w:val="258"/>
        <w:ind w:firstLine="420"/>
        <w:rPr>
          <w:rFonts w:hint="eastAsia" w:hAnsi="宋体"/>
          <w:color w:val="auto"/>
          <w:highlight w:val="none"/>
        </w:rPr>
      </w:pPr>
      <w:r>
        <w:rPr>
          <w:rFonts w:hint="eastAsia" w:hAnsi="宋体"/>
          <w:color w:val="auto"/>
          <w:highlight w:val="none"/>
        </w:rPr>
        <w:t>请注意本文件的某些内容可能涉及专利。本文件的发布机构不承担识别这些专利的责任。</w:t>
      </w:r>
    </w:p>
    <w:p w14:paraId="282A3871">
      <w:pPr>
        <w:pStyle w:val="258"/>
        <w:ind w:firstLine="420"/>
        <w:rPr>
          <w:rFonts w:hint="eastAsia" w:hAnsi="宋体"/>
          <w:color w:val="auto"/>
          <w:highlight w:val="none"/>
        </w:rPr>
      </w:pPr>
      <w:r>
        <w:rPr>
          <w:rFonts w:hint="eastAsia" w:hAnsi="宋体"/>
          <w:color w:val="auto"/>
          <w:highlight w:val="none"/>
        </w:rPr>
        <w:t>本文件由中国电机工程学会提出。</w:t>
      </w:r>
    </w:p>
    <w:p w14:paraId="410095EB">
      <w:pPr>
        <w:pStyle w:val="258"/>
        <w:ind w:firstLine="420"/>
        <w:rPr>
          <w:rFonts w:hint="eastAsia" w:hAnsi="宋体"/>
          <w:color w:val="auto"/>
          <w:highlight w:val="none"/>
        </w:rPr>
      </w:pPr>
      <w:r>
        <w:rPr>
          <w:rFonts w:hint="eastAsia" w:hAnsi="宋体"/>
          <w:color w:val="auto"/>
          <w:highlight w:val="none"/>
        </w:rPr>
        <w:t>本文件由中国电机工程学会XXXXXXXXXX标准专业委员会技术归口和解释。</w:t>
      </w:r>
    </w:p>
    <w:p w14:paraId="70785613">
      <w:pPr>
        <w:pStyle w:val="258"/>
        <w:ind w:firstLine="420"/>
        <w:rPr>
          <w:rFonts w:hint="eastAsia" w:hAnsi="宋体"/>
          <w:color w:val="auto"/>
          <w:highlight w:val="none"/>
        </w:rPr>
      </w:pPr>
      <w:r>
        <w:rPr>
          <w:rFonts w:hint="eastAsia" w:hAnsi="宋体"/>
          <w:color w:val="auto"/>
          <w:highlight w:val="none"/>
        </w:rPr>
        <w:t>本文件起草单位：、、、。</w:t>
      </w:r>
    </w:p>
    <w:p w14:paraId="05915211">
      <w:pPr>
        <w:pStyle w:val="258"/>
        <w:ind w:firstLine="420"/>
        <w:rPr>
          <w:rFonts w:hint="eastAsia" w:hAnsi="宋体"/>
          <w:color w:val="auto"/>
          <w:highlight w:val="none"/>
        </w:rPr>
      </w:pPr>
      <w:r>
        <w:rPr>
          <w:rFonts w:hint="eastAsia" w:hAnsi="宋体"/>
          <w:color w:val="auto"/>
          <w:highlight w:val="none"/>
        </w:rPr>
        <w:t>本文件主要起草人：、、、。</w:t>
      </w:r>
    </w:p>
    <w:p w14:paraId="553AA696">
      <w:pPr>
        <w:pStyle w:val="258"/>
        <w:ind w:firstLine="420"/>
        <w:rPr>
          <w:rFonts w:hint="eastAsia" w:hAnsi="宋体"/>
          <w:color w:val="auto"/>
          <w:highlight w:val="none"/>
        </w:rPr>
      </w:pPr>
      <w:r>
        <w:rPr>
          <w:rFonts w:hint="eastAsia" w:hAnsi="宋体"/>
          <w:color w:val="auto"/>
          <w:highlight w:val="none"/>
        </w:rPr>
        <w:t>本文件首次发布。</w:t>
      </w:r>
    </w:p>
    <w:p w14:paraId="11D6B91D">
      <w:pPr>
        <w:ind w:firstLine="420" w:firstLineChars="200"/>
        <w:rPr>
          <w:rFonts w:hint="eastAsia" w:ascii="宋体" w:hAnsi="宋体"/>
          <w:color w:val="auto"/>
          <w:highlight w:val="none"/>
        </w:rPr>
      </w:pPr>
      <w:bookmarkStart w:id="7" w:name="标准引言"/>
      <w:bookmarkEnd w:id="7"/>
      <w:bookmarkStart w:id="8" w:name="标准目次"/>
      <w:bookmarkEnd w:id="8"/>
      <w:r>
        <w:rPr>
          <w:rFonts w:hint="eastAsia" w:ascii="宋体" w:hAnsi="宋体" w:eastAsia="宋体" w:cs="Times New Roman"/>
          <w:color w:val="auto"/>
          <w:kern w:val="0"/>
          <w:sz w:val="21"/>
          <w:szCs w:val="20"/>
          <w:highlight w:val="none"/>
          <w:lang w:val="en-US" w:eastAsia="zh-CN" w:bidi="ar-SA"/>
        </w:rPr>
        <w:t>本文件在执行过程</w:t>
      </w:r>
      <w:r>
        <w:rPr>
          <w:rFonts w:hint="eastAsia" w:ascii="宋体" w:hAnsi="宋体"/>
          <w:color w:val="auto"/>
          <w:highlight w:val="none"/>
        </w:rPr>
        <w:t>中的意见或建议反馈至中国电机工程学会标准执行办公室（地址：北京市西城区白广路二条1 号，100761，网址：http：//www.csee.org.cn，邮箱：</w:t>
      </w:r>
      <w:r>
        <w:rPr>
          <w:color w:val="auto"/>
          <w:highlight w:val="none"/>
        </w:rPr>
        <w:fldChar w:fldCharType="begin"/>
      </w:r>
      <w:r>
        <w:rPr>
          <w:color w:val="auto"/>
          <w:highlight w:val="none"/>
        </w:rPr>
        <w:instrText xml:space="preserve"> HYPERLINK "mailto:cseebz@csee.org.cn" </w:instrText>
      </w:r>
      <w:r>
        <w:rPr>
          <w:color w:val="auto"/>
          <w:highlight w:val="none"/>
        </w:rPr>
        <w:fldChar w:fldCharType="separate"/>
      </w:r>
      <w:r>
        <w:rPr>
          <w:rFonts w:hint="eastAsia" w:ascii="宋体" w:hAnsi="宋体"/>
          <w:color w:val="auto"/>
          <w:spacing w:val="0"/>
          <w:w w:val="100"/>
          <w:position w:val="0"/>
          <w:highlight w:val="none"/>
          <w:u w:val="none"/>
          <w:vertAlign w:val="baseline"/>
        </w:rPr>
        <w:t>cseebz@csee.org.cn</w:t>
      </w:r>
      <w:r>
        <w:rPr>
          <w:rFonts w:ascii="宋体" w:hAnsi="宋体"/>
          <w:color w:val="auto"/>
          <w:spacing w:val="0"/>
          <w:w w:val="100"/>
          <w:position w:val="0"/>
          <w:highlight w:val="none"/>
          <w:u w:val="none"/>
          <w:vertAlign w:val="baseline"/>
        </w:rPr>
        <w:fldChar w:fldCharType="end"/>
      </w:r>
      <w:r>
        <w:rPr>
          <w:rFonts w:hint="eastAsia" w:ascii="宋体" w:hAnsi="宋体"/>
          <w:color w:val="auto"/>
          <w:highlight w:val="none"/>
        </w:rPr>
        <w:t>）。</w:t>
      </w:r>
    </w:p>
    <w:p w14:paraId="151CC3A3">
      <w:pPr>
        <w:pStyle w:val="316"/>
        <w:rPr>
          <w:rFonts w:hint="eastAsia" w:ascii="Times New Roman"/>
          <w:color w:val="auto"/>
          <w:highlight w:val="none"/>
        </w:rPr>
        <w:sectPr>
          <w:headerReference r:id="rId9" w:type="default"/>
          <w:footerReference r:id="rId11" w:type="default"/>
          <w:headerReference r:id="rId10" w:type="even"/>
          <w:footerReference r:id="rId12" w:type="even"/>
          <w:pgSz w:w="11907" w:h="16839"/>
          <w:pgMar w:top="1417" w:right="1134" w:bottom="1134" w:left="1417" w:header="1417" w:footer="1134" w:gutter="0"/>
          <w:pgBorders>
            <w:top w:val="none" w:sz="0" w:space="0"/>
            <w:left w:val="none" w:sz="0" w:space="0"/>
            <w:bottom w:val="none" w:sz="0" w:space="0"/>
            <w:right w:val="none" w:sz="0" w:space="0"/>
          </w:pgBorders>
          <w:pgNumType w:fmt="upperRoman" w:start="1"/>
          <w:cols w:space="425" w:num="1"/>
          <w:docGrid w:type="lines" w:linePitch="312" w:charSpace="0"/>
        </w:sectPr>
      </w:pPr>
    </w:p>
    <w:p w14:paraId="4A107604">
      <w:pPr>
        <w:pStyle w:val="316"/>
        <w:rPr>
          <w:rFonts w:hint="default" w:ascii="Times New Roman" w:eastAsia="黑体"/>
          <w:color w:val="auto"/>
          <w:highlight w:val="none"/>
          <w:lang w:val="en-US" w:eastAsia="zh-CN"/>
        </w:rPr>
      </w:pPr>
      <w:r>
        <w:rPr>
          <w:rFonts w:hint="eastAsia" w:ascii="Times New Roman"/>
          <w:color w:val="auto"/>
          <w:highlight w:val="none"/>
        </w:rPr>
        <w:t>低频电压互感器</w:t>
      </w:r>
      <w:r>
        <w:rPr>
          <w:rFonts w:hint="eastAsia" w:ascii="Times New Roman"/>
          <w:color w:val="auto"/>
          <w:highlight w:val="none"/>
          <w:lang w:val="en-US" w:eastAsia="zh-CN"/>
        </w:rPr>
        <w:t>技术规范</w:t>
      </w:r>
    </w:p>
    <w:p w14:paraId="0DCB0FF0">
      <w:pPr>
        <w:pStyle w:val="259"/>
        <w:bidi w:val="0"/>
        <w:ind w:left="0" w:leftChars="0" w:firstLine="0" w:firstLineChars="0"/>
        <w:rPr>
          <w:highlight w:val="none"/>
        </w:rPr>
      </w:pPr>
      <w:bookmarkStart w:id="9" w:name="_Toc287623638"/>
      <w:bookmarkStart w:id="10" w:name="_Toc279244614"/>
      <w:bookmarkStart w:id="11" w:name="_Toc279248599"/>
      <w:bookmarkStart w:id="12" w:name="_Toc13133"/>
      <w:bookmarkStart w:id="13" w:name="_Toc13570"/>
      <w:bookmarkStart w:id="14" w:name="_Toc289676999"/>
      <w:bookmarkStart w:id="15" w:name="_Toc11063"/>
      <w:bookmarkStart w:id="16" w:name="_Toc287623586"/>
      <w:bookmarkStart w:id="17" w:name="_Toc8940"/>
      <w:bookmarkStart w:id="18" w:name="_Toc279238341"/>
      <w:bookmarkStart w:id="19" w:name="_Toc279246771"/>
      <w:bookmarkStart w:id="20" w:name="_Toc289698023"/>
      <w:bookmarkStart w:id="21" w:name="_Toc279234298"/>
      <w:bookmarkStart w:id="22" w:name="_Toc279234261"/>
      <w:bookmarkStart w:id="23" w:name="_Toc279249665"/>
      <w:bookmarkStart w:id="24" w:name="_Toc279238308"/>
      <w:bookmarkStart w:id="25" w:name="_Toc1451"/>
      <w:bookmarkStart w:id="26" w:name="_Toc62027349"/>
      <w:bookmarkStart w:id="27" w:name="_Toc55228495"/>
      <w:bookmarkStart w:id="28" w:name="_Toc63642874"/>
      <w:r>
        <w:rPr>
          <w:rFonts w:hint="eastAsia"/>
          <w:highlight w:val="none"/>
        </w:rPr>
        <w:t>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9" w:name="pindex142"/>
      <w:bookmarkEnd w:id="29"/>
    </w:p>
    <w:p w14:paraId="73E7AB96">
      <w:pPr>
        <w:autoSpaceDE w:val="0"/>
        <w:autoSpaceDN w:val="0"/>
        <w:ind w:firstLine="420" w:firstLineChars="200"/>
        <w:rPr>
          <w:rFonts w:ascii="宋体" w:hAnsi="宋体"/>
          <w:color w:val="auto"/>
          <w:szCs w:val="21"/>
          <w:highlight w:val="none"/>
        </w:rPr>
      </w:pP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规定了</w:t>
      </w:r>
      <w:r>
        <w:rPr>
          <w:rFonts w:hint="eastAsia" w:ascii="宋体" w:hAnsi="宋体"/>
          <w:color w:val="auto"/>
          <w:szCs w:val="21"/>
          <w:highlight w:val="none"/>
        </w:rPr>
        <w:t>电力用</w:t>
      </w:r>
      <w:r>
        <w:rPr>
          <w:rFonts w:hint="eastAsia" w:ascii="宋体" w:hAnsi="宋体"/>
          <w:color w:val="auto"/>
          <w:szCs w:val="21"/>
          <w:highlight w:val="none"/>
          <w:lang w:val="en-US" w:eastAsia="zh-CN"/>
        </w:rPr>
        <w:t>低频</w:t>
      </w:r>
      <w:r>
        <w:rPr>
          <w:rFonts w:hint="eastAsia" w:ascii="宋体" w:hAnsi="宋体"/>
          <w:color w:val="auto"/>
          <w:szCs w:val="21"/>
          <w:highlight w:val="none"/>
        </w:rPr>
        <w:t>电磁式</w:t>
      </w:r>
      <w:r>
        <w:rPr>
          <w:rFonts w:ascii="宋体" w:hAnsi="宋体"/>
          <w:color w:val="auto"/>
          <w:szCs w:val="21"/>
          <w:highlight w:val="none"/>
        </w:rPr>
        <w:t>电</w:t>
      </w:r>
      <w:r>
        <w:rPr>
          <w:rFonts w:hint="eastAsia" w:ascii="宋体" w:hAnsi="宋体"/>
          <w:color w:val="auto"/>
          <w:szCs w:val="21"/>
          <w:highlight w:val="none"/>
        </w:rPr>
        <w:t>压</w:t>
      </w:r>
      <w:r>
        <w:rPr>
          <w:rFonts w:ascii="宋体" w:hAnsi="宋体"/>
          <w:color w:val="auto"/>
          <w:szCs w:val="21"/>
          <w:highlight w:val="none"/>
        </w:rPr>
        <w:t>互感器</w:t>
      </w:r>
      <w:r>
        <w:rPr>
          <w:rFonts w:hint="eastAsia" w:ascii="宋体" w:hAnsi="宋体"/>
          <w:color w:val="auto"/>
          <w:szCs w:val="21"/>
          <w:highlight w:val="none"/>
        </w:rPr>
        <w:t>（以下</w:t>
      </w:r>
      <w:r>
        <w:rPr>
          <w:rFonts w:ascii="宋体" w:hAnsi="宋体"/>
          <w:color w:val="auto"/>
          <w:szCs w:val="21"/>
          <w:highlight w:val="none"/>
        </w:rPr>
        <w:t>简称</w:t>
      </w:r>
      <w:r>
        <w:rPr>
          <w:rFonts w:hint="eastAsia" w:ascii="宋体" w:hAnsi="宋体"/>
          <w:color w:val="auto"/>
          <w:szCs w:val="21"/>
          <w:highlight w:val="none"/>
        </w:rPr>
        <w:t>“</w:t>
      </w:r>
      <w:r>
        <w:rPr>
          <w:rFonts w:ascii="宋体" w:hAnsi="宋体"/>
          <w:color w:val="auto"/>
          <w:szCs w:val="21"/>
          <w:highlight w:val="none"/>
        </w:rPr>
        <w:t>电压互感器</w:t>
      </w:r>
      <w:r>
        <w:rPr>
          <w:rFonts w:hint="eastAsia" w:ascii="宋体" w:hAnsi="宋体"/>
          <w:color w:val="auto"/>
          <w:szCs w:val="21"/>
          <w:highlight w:val="none"/>
        </w:rPr>
        <w:t>”）</w:t>
      </w:r>
      <w:r>
        <w:rPr>
          <w:rFonts w:ascii="宋体" w:hAnsi="宋体"/>
          <w:color w:val="auto"/>
          <w:szCs w:val="21"/>
          <w:highlight w:val="none"/>
        </w:rPr>
        <w:t>的</w:t>
      </w:r>
      <w:r>
        <w:rPr>
          <w:rFonts w:hint="eastAsia" w:ascii="宋体" w:hAnsi="宋体"/>
          <w:color w:val="auto"/>
          <w:szCs w:val="21"/>
          <w:highlight w:val="none"/>
        </w:rPr>
        <w:t>使用条件、基本分类、技术要求、结构和选型要求、试验、安装、运行和检修、标志、标签和随行文件、包装、运输及贮存。</w:t>
      </w:r>
    </w:p>
    <w:p w14:paraId="3A78D731">
      <w:pPr>
        <w:autoSpaceDE w:val="0"/>
        <w:autoSpaceDN w:val="0"/>
        <w:ind w:firstLine="420" w:firstLineChars="200"/>
        <w:rPr>
          <w:rFonts w:hAnsi="宋体"/>
          <w:color w:val="auto"/>
          <w:szCs w:val="21"/>
          <w:highlight w:val="none"/>
        </w:rPr>
      </w:pPr>
      <w:r>
        <w:rPr>
          <w:rFonts w:ascii="宋体" w:hAnsi="宋体"/>
          <w:color w:val="auto"/>
          <w:szCs w:val="21"/>
          <w:highlight w:val="none"/>
        </w:rPr>
        <w:t>本</w:t>
      </w:r>
      <w:r>
        <w:rPr>
          <w:rFonts w:hint="eastAsia" w:ascii="宋体" w:hAnsi="宋体"/>
          <w:color w:val="auto"/>
          <w:szCs w:val="21"/>
          <w:highlight w:val="none"/>
        </w:rPr>
        <w:t>文件</w:t>
      </w:r>
      <w:r>
        <w:rPr>
          <w:rFonts w:ascii="宋体" w:hAnsi="宋体"/>
          <w:color w:val="auto"/>
          <w:szCs w:val="21"/>
          <w:highlight w:val="none"/>
        </w:rPr>
        <w:t>适用于</w:t>
      </w:r>
      <w:r>
        <w:rPr>
          <w:rFonts w:hint="eastAsia"/>
          <w:color w:val="auto"/>
          <w:szCs w:val="21"/>
          <w:highlight w:val="none"/>
        </w:rPr>
        <w:t>供电气测量仪表和电气保护装置使用、电压</w:t>
      </w:r>
      <w:r>
        <w:rPr>
          <w:color w:val="auto"/>
          <w:szCs w:val="21"/>
          <w:highlight w:val="none"/>
        </w:rPr>
        <w:t>等级为</w:t>
      </w:r>
      <w:r>
        <w:rPr>
          <w:rFonts w:hint="eastAsia" w:ascii="宋体" w:hAnsi="宋体"/>
          <w:color w:val="auto"/>
          <w:szCs w:val="21"/>
          <w:highlight w:val="none"/>
          <w:lang w:val="en-US" w:eastAsia="zh-CN"/>
        </w:rPr>
        <w:t>10</w:t>
      </w:r>
      <w:r>
        <w:rPr>
          <w:rFonts w:hint="eastAsia" w:ascii="宋体" w:hAnsi="宋体"/>
          <w:color w:val="auto"/>
          <w:szCs w:val="21"/>
          <w:highlight w:val="none"/>
        </w:rPr>
        <w:t>kV～</w:t>
      </w:r>
      <w:r>
        <w:rPr>
          <w:rFonts w:hint="eastAsia" w:ascii="宋体" w:hAnsi="宋体"/>
          <w:color w:val="auto"/>
          <w:szCs w:val="21"/>
          <w:highlight w:val="none"/>
          <w:lang w:val="en-US" w:eastAsia="zh-CN"/>
        </w:rPr>
        <w:t>220</w:t>
      </w:r>
      <w:r>
        <w:rPr>
          <w:rFonts w:hint="eastAsia" w:ascii="宋体" w:hAnsi="宋体"/>
          <w:color w:val="auto"/>
          <w:szCs w:val="21"/>
          <w:highlight w:val="none"/>
        </w:rPr>
        <w:t>kV电压等级</w:t>
      </w:r>
      <w:r>
        <w:rPr>
          <w:rFonts w:ascii="宋体" w:hAnsi="宋体"/>
          <w:color w:val="auto"/>
          <w:szCs w:val="21"/>
          <w:highlight w:val="none"/>
        </w:rPr>
        <w:t>、</w:t>
      </w:r>
      <w:r>
        <w:rPr>
          <w:rFonts w:hint="eastAsia" w:ascii="宋体" w:hAnsi="宋体"/>
          <w:color w:val="auto"/>
          <w:szCs w:val="21"/>
          <w:highlight w:val="none"/>
        </w:rPr>
        <w:t>额定</w:t>
      </w:r>
      <w:r>
        <w:rPr>
          <w:rFonts w:ascii="宋体" w:hAnsi="宋体"/>
          <w:color w:val="auto"/>
          <w:szCs w:val="21"/>
          <w:highlight w:val="none"/>
        </w:rPr>
        <w:t>频率</w:t>
      </w:r>
      <w:r>
        <w:rPr>
          <w:rFonts w:hint="eastAsia" w:ascii="宋体" w:hAnsi="宋体"/>
          <w:color w:val="auto"/>
          <w:szCs w:val="21"/>
          <w:highlight w:val="none"/>
        </w:rPr>
        <w:t>为</w:t>
      </w:r>
      <w:r>
        <w:rPr>
          <w:rFonts w:hint="eastAsia" w:ascii="宋体" w:hAnsi="宋体"/>
          <w:color w:val="auto"/>
          <w:szCs w:val="21"/>
          <w:highlight w:val="none"/>
          <w:lang w:val="en-US" w:eastAsia="zh-CN"/>
        </w:rPr>
        <w:t>5</w:t>
      </w:r>
      <w:r>
        <w:rPr>
          <w:rFonts w:hint="eastAsia" w:ascii="宋体" w:hAnsi="宋体"/>
          <w:color w:val="auto"/>
          <w:szCs w:val="21"/>
          <w:highlight w:val="none"/>
        </w:rPr>
        <w:t>0</w:t>
      </w:r>
      <w:r>
        <w:rPr>
          <w:color w:val="auto"/>
          <w:szCs w:val="21"/>
          <w:highlight w:val="none"/>
        </w:rPr>
        <w:t> </w:t>
      </w:r>
      <w:r>
        <w:rPr>
          <w:rFonts w:hint="eastAsia" w:ascii="宋体" w:hAnsi="宋体"/>
          <w:color w:val="auto"/>
          <w:szCs w:val="21"/>
          <w:highlight w:val="none"/>
        </w:rPr>
        <w:t>Hz</w:t>
      </w:r>
      <w:r>
        <w:rPr>
          <w:rFonts w:hint="eastAsia" w:ascii="宋体" w:hAnsi="宋体"/>
          <w:color w:val="auto"/>
          <w:szCs w:val="21"/>
          <w:highlight w:val="none"/>
          <w:lang w:val="en-US" w:eastAsia="zh-CN"/>
        </w:rPr>
        <w:t>以下</w:t>
      </w:r>
      <w:r>
        <w:rPr>
          <w:rFonts w:hint="eastAsia" w:ascii="宋体" w:hAnsi="宋体"/>
          <w:color w:val="auto"/>
          <w:szCs w:val="21"/>
          <w:highlight w:val="none"/>
        </w:rPr>
        <w:t>的电压互感器</w:t>
      </w:r>
      <w:r>
        <w:rPr>
          <w:rFonts w:hint="eastAsia" w:hAnsi="宋体"/>
          <w:color w:val="auto"/>
          <w:szCs w:val="21"/>
          <w:highlight w:val="none"/>
        </w:rPr>
        <w:t>。</w:t>
      </w:r>
    </w:p>
    <w:p w14:paraId="5C9B48B2">
      <w:pPr>
        <w:autoSpaceDE w:val="0"/>
        <w:autoSpaceDN w:val="0"/>
        <w:ind w:firstLine="420" w:firstLineChars="200"/>
        <w:rPr>
          <w:rFonts w:hint="eastAsia" w:hAnsi="宋体"/>
          <w:color w:val="auto"/>
          <w:szCs w:val="21"/>
          <w:highlight w:val="none"/>
        </w:rPr>
      </w:pPr>
    </w:p>
    <w:bookmarkEnd w:id="26"/>
    <w:bookmarkEnd w:id="27"/>
    <w:bookmarkEnd w:id="28"/>
    <w:p w14:paraId="09A083EF">
      <w:pPr>
        <w:pStyle w:val="259"/>
        <w:bidi w:val="0"/>
        <w:ind w:left="0" w:leftChars="0" w:firstLine="0" w:firstLineChars="0"/>
        <w:rPr>
          <w:highlight w:val="none"/>
        </w:rPr>
      </w:pPr>
      <w:bookmarkStart w:id="30" w:name="_Toc279238342"/>
      <w:bookmarkStart w:id="31" w:name="_Toc289677000"/>
      <w:bookmarkStart w:id="32" w:name="_Toc18036"/>
      <w:bookmarkStart w:id="33" w:name="_Toc289698024"/>
      <w:bookmarkStart w:id="34" w:name="_Toc28154"/>
      <w:bookmarkStart w:id="35" w:name="_Toc9713"/>
      <w:bookmarkStart w:id="36" w:name="_Toc29841"/>
      <w:bookmarkStart w:id="37" w:name="_Toc31991"/>
      <w:bookmarkStart w:id="38" w:name="_Toc279249666"/>
      <w:bookmarkStart w:id="39" w:name="_Toc279244615"/>
      <w:bookmarkStart w:id="40" w:name="_Toc287623587"/>
      <w:bookmarkStart w:id="41" w:name="_Toc279234299"/>
      <w:bookmarkStart w:id="42" w:name="_Toc287623639"/>
      <w:bookmarkStart w:id="43" w:name="_Toc279248600"/>
      <w:bookmarkStart w:id="44" w:name="_Toc279234262"/>
      <w:bookmarkStart w:id="45" w:name="_Toc279246772"/>
      <w:bookmarkStart w:id="46" w:name="_Toc279238309"/>
      <w:bookmarkStart w:id="47" w:name="_Toc63642875"/>
      <w:bookmarkStart w:id="48" w:name="_Toc55228496"/>
      <w:bookmarkStart w:id="49" w:name="_Toc62027350"/>
      <w:r>
        <w:rPr>
          <w:highlight w:val="none"/>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Start w:id="50" w:name="pindex145"/>
      <w:bookmarkEnd w:id="50"/>
      <w:bookmarkStart w:id="51" w:name="_Toc262826968"/>
    </w:p>
    <w:p w14:paraId="075FE393">
      <w:pPr>
        <w:autoSpaceDE w:val="0"/>
        <w:autoSpaceDN w:val="0"/>
        <w:ind w:firstLine="420" w:firstLineChars="200"/>
        <w:rPr>
          <w:color w:val="auto"/>
          <w:szCs w:val="21"/>
          <w:highlight w:val="none"/>
        </w:rPr>
      </w:pPr>
      <w:bookmarkStart w:id="52" w:name="_Toc309914361"/>
      <w:r>
        <w:rPr>
          <w:color w:val="auto"/>
          <w:szCs w:val="21"/>
          <w:highlight w:val="none"/>
        </w:rPr>
        <w:t>下列文件中的内容通过文中的规范性引用而构成本文件必不可少的条款。其中，注日期的引用文件，仅该日期对应的版本适用于本文件；不注日期的引用文件，其最新版本（包括所有的修</w:t>
      </w:r>
      <w:sdt>
        <w:sdtPr>
          <w:rPr>
            <w:color w:val="auto"/>
            <w:highlight w:val="none"/>
          </w:rPr>
          <w:alias w:val="易错词检查"/>
          <w:id w:val="333"/>
        </w:sdtPr>
        <w:sdtEndPr>
          <w:rPr>
            <w:color w:val="auto"/>
            <w:highlight w:val="none"/>
          </w:rPr>
        </w:sdtEndPr>
        <w:sdtContent>
          <w:bookmarkStart w:id="53" w:name="bkReivew333"/>
          <w:r>
            <w:rPr>
              <w:color w:val="auto"/>
              <w:szCs w:val="21"/>
              <w:highlight w:val="none"/>
            </w:rPr>
            <w:t>改单</w:t>
          </w:r>
          <w:bookmarkEnd w:id="53"/>
        </w:sdtContent>
      </w:sdt>
      <w:r>
        <w:rPr>
          <w:color w:val="auto"/>
          <w:szCs w:val="21"/>
          <w:highlight w:val="none"/>
        </w:rPr>
        <w:t>）适用于本文件。</w:t>
      </w:r>
      <w:bookmarkEnd w:id="52"/>
    </w:p>
    <w:p w14:paraId="3FFCA59C">
      <w:pPr>
        <w:ind w:firstLine="411" w:firstLineChars="196"/>
        <w:rPr>
          <w:color w:val="auto"/>
          <w:highlight w:val="none"/>
        </w:rPr>
      </w:pPr>
      <w:r>
        <w:rPr>
          <w:color w:val="auto"/>
          <w:highlight w:val="none"/>
        </w:rPr>
        <w:t>GB/T 311.1  绝缘配合 第1部分：定义、原则和规则</w:t>
      </w:r>
    </w:p>
    <w:p w14:paraId="6AE4A726">
      <w:pPr>
        <w:ind w:firstLine="411" w:firstLineChars="196"/>
        <w:rPr>
          <w:color w:val="auto"/>
          <w:highlight w:val="none"/>
        </w:rPr>
      </w:pPr>
      <w:r>
        <w:rPr>
          <w:color w:val="auto"/>
          <w:highlight w:val="none"/>
        </w:rPr>
        <w:t>GB/T 507  绝缘油 击穿电压测定法</w:t>
      </w:r>
    </w:p>
    <w:p w14:paraId="5E0A208F">
      <w:pPr>
        <w:ind w:firstLine="411" w:firstLineChars="196"/>
        <w:rPr>
          <w:color w:val="auto"/>
          <w:highlight w:val="none"/>
        </w:rPr>
      </w:pPr>
      <w:r>
        <w:rPr>
          <w:color w:val="auto"/>
          <w:highlight w:val="none"/>
        </w:rPr>
        <w:t>GB/T 2900.94  电工术语 互感器</w:t>
      </w:r>
    </w:p>
    <w:p w14:paraId="51EB3ED5">
      <w:pPr>
        <w:ind w:firstLine="411" w:firstLineChars="196"/>
        <w:rPr>
          <w:color w:val="auto"/>
          <w:highlight w:val="none"/>
        </w:rPr>
      </w:pPr>
      <w:r>
        <w:rPr>
          <w:color w:val="auto"/>
          <w:highlight w:val="none"/>
        </w:rPr>
        <w:t>GB/T 5654  液体绝缘材料 相对电容率、介质损耗因数和直流电阻率的测量</w:t>
      </w:r>
    </w:p>
    <w:p w14:paraId="0D574B2A">
      <w:pPr>
        <w:ind w:firstLine="411" w:firstLineChars="196"/>
        <w:rPr>
          <w:color w:val="auto"/>
          <w:highlight w:val="none"/>
        </w:rPr>
      </w:pPr>
      <w:r>
        <w:rPr>
          <w:color w:val="auto"/>
          <w:highlight w:val="none"/>
        </w:rPr>
        <w:t>GB/T 7595  运行中变压器油质量</w:t>
      </w:r>
    </w:p>
    <w:p w14:paraId="4366FE0C">
      <w:pPr>
        <w:ind w:firstLine="411" w:firstLineChars="196"/>
        <w:rPr>
          <w:color w:val="auto"/>
          <w:highlight w:val="none"/>
        </w:rPr>
      </w:pPr>
      <w:r>
        <w:rPr>
          <w:color w:val="auto"/>
          <w:highlight w:val="none"/>
        </w:rPr>
        <w:t>GB/T 7600  运行中变压器油和汽轮机油水分含量测定法(库仑法)</w:t>
      </w:r>
    </w:p>
    <w:p w14:paraId="7294FF8A">
      <w:pPr>
        <w:ind w:firstLine="411" w:firstLineChars="196"/>
        <w:rPr>
          <w:color w:val="auto"/>
          <w:highlight w:val="none"/>
        </w:rPr>
      </w:pPr>
      <w:bookmarkStart w:id="54" w:name="sys153036"/>
      <w:r>
        <w:rPr>
          <w:color w:val="auto"/>
          <w:highlight w:val="none"/>
        </w:rPr>
        <w:t>GB/T 7674  额定电压72.5 kV及以上气体绝缘金属封闭开关设备</w:t>
      </w:r>
      <w:bookmarkEnd w:id="54"/>
    </w:p>
    <w:p w14:paraId="4F545679">
      <w:pPr>
        <w:ind w:firstLine="411" w:firstLineChars="196"/>
        <w:rPr>
          <w:color w:val="auto"/>
          <w:highlight w:val="none"/>
        </w:rPr>
      </w:pPr>
      <w:r>
        <w:rPr>
          <w:color w:val="auto"/>
          <w:highlight w:val="none"/>
        </w:rPr>
        <w:t>GB/T 8905  六氟化硫电气设备中气体管理和检测导则</w:t>
      </w:r>
    </w:p>
    <w:p w14:paraId="105E09F8">
      <w:pPr>
        <w:ind w:firstLine="411" w:firstLineChars="196"/>
        <w:rPr>
          <w:color w:val="auto"/>
          <w:highlight w:val="none"/>
        </w:rPr>
      </w:pPr>
      <w:r>
        <w:rPr>
          <w:color w:val="auto"/>
          <w:highlight w:val="none"/>
        </w:rPr>
        <w:t>GB/T 11023  高压开关设备六氟化硫气体密封试验方法</w:t>
      </w:r>
    </w:p>
    <w:p w14:paraId="10FA627F">
      <w:pPr>
        <w:ind w:firstLine="411" w:firstLineChars="196"/>
        <w:rPr>
          <w:color w:val="auto"/>
          <w:highlight w:val="none"/>
        </w:rPr>
      </w:pPr>
      <w:r>
        <w:rPr>
          <w:color w:val="auto"/>
          <w:highlight w:val="none"/>
        </w:rPr>
        <w:t>GB/T 12022  工业六氟化硫</w:t>
      </w:r>
    </w:p>
    <w:p w14:paraId="5A9DB8A6">
      <w:pPr>
        <w:ind w:firstLine="411" w:firstLineChars="196"/>
        <w:rPr>
          <w:color w:val="auto"/>
          <w:highlight w:val="none"/>
        </w:rPr>
      </w:pPr>
      <w:r>
        <w:rPr>
          <w:color w:val="auto"/>
          <w:highlight w:val="none"/>
        </w:rPr>
        <w:t>GB/T 13384  机电产品包装通用技术条件</w:t>
      </w:r>
    </w:p>
    <w:p w14:paraId="78DF6937">
      <w:pPr>
        <w:ind w:firstLine="411" w:firstLineChars="196"/>
        <w:rPr>
          <w:color w:val="auto"/>
          <w:highlight w:val="none"/>
        </w:rPr>
      </w:pPr>
      <w:r>
        <w:rPr>
          <w:color w:val="auto"/>
          <w:highlight w:val="none"/>
        </w:rPr>
        <w:t>GB/T 13540  高压开关设备和控制设备的抗震要求</w:t>
      </w:r>
    </w:p>
    <w:p w14:paraId="51B1FF0B">
      <w:pPr>
        <w:ind w:firstLine="411" w:firstLineChars="196"/>
        <w:rPr>
          <w:color w:val="auto"/>
          <w:highlight w:val="none"/>
        </w:rPr>
      </w:pPr>
      <w:r>
        <w:rPr>
          <w:color w:val="auto"/>
          <w:highlight w:val="none"/>
        </w:rPr>
        <w:t>GB/T 17623  绝缘油中溶解气体组分含量的气相色谱测定法</w:t>
      </w:r>
    </w:p>
    <w:p w14:paraId="5EDFCCD5">
      <w:pPr>
        <w:ind w:firstLine="411" w:firstLineChars="196"/>
        <w:rPr>
          <w:color w:val="auto"/>
          <w:highlight w:val="none"/>
        </w:rPr>
      </w:pPr>
      <w:r>
        <w:rPr>
          <w:color w:val="auto"/>
          <w:highlight w:val="none"/>
        </w:rPr>
        <w:t>GB/T 20840.1  互感器 第1部分：通用技术要求</w:t>
      </w:r>
    </w:p>
    <w:p w14:paraId="7EF3DB40">
      <w:pPr>
        <w:ind w:firstLine="411" w:firstLineChars="196"/>
        <w:rPr>
          <w:color w:val="auto"/>
          <w:highlight w:val="none"/>
        </w:rPr>
      </w:pPr>
      <w:r>
        <w:rPr>
          <w:color w:val="auto"/>
          <w:highlight w:val="none"/>
        </w:rPr>
        <w:t>GB/T 20840.3  互感器 第3部分：电磁式电压互感器的补充技术要求</w:t>
      </w:r>
    </w:p>
    <w:p w14:paraId="45926291">
      <w:pPr>
        <w:ind w:firstLine="411" w:firstLineChars="196"/>
        <w:rPr>
          <w:color w:val="auto"/>
          <w:highlight w:val="none"/>
        </w:rPr>
      </w:pPr>
      <w:r>
        <w:rPr>
          <w:color w:val="auto"/>
          <w:highlight w:val="none"/>
        </w:rPr>
        <w:t>GB/T 22071.2  互感器试验导则 第2部分：电磁式电压互感器</w:t>
      </w:r>
    </w:p>
    <w:p w14:paraId="74894161">
      <w:pPr>
        <w:ind w:firstLine="411" w:firstLineChars="196"/>
        <w:rPr>
          <w:color w:val="auto"/>
          <w:highlight w:val="none"/>
        </w:rPr>
      </w:pPr>
      <w:bookmarkStart w:id="55" w:name="sys166053"/>
      <w:r>
        <w:rPr>
          <w:color w:val="auto"/>
          <w:highlight w:val="none"/>
        </w:rPr>
        <w:t>GB/T 26218.2  污秽条件下使用的高压绝缘子的选择和尺寸确定 第2部分：交流系统用瓷和玻璃绝缘子</w:t>
      </w:r>
      <w:bookmarkEnd w:id="55"/>
    </w:p>
    <w:p w14:paraId="6F8BCDDD">
      <w:pPr>
        <w:ind w:firstLine="411" w:firstLineChars="196"/>
        <w:rPr>
          <w:color w:val="auto"/>
          <w:highlight w:val="none"/>
        </w:rPr>
      </w:pPr>
      <w:bookmarkStart w:id="56" w:name="sys167051"/>
      <w:r>
        <w:rPr>
          <w:color w:val="auto"/>
          <w:highlight w:val="none"/>
        </w:rPr>
        <w:t>GB/T 26218.3  污秽条件下使用的高压绝缘子的选择和尺寸确定 第3部分：交流系统用复合绝缘子</w:t>
      </w:r>
      <w:bookmarkEnd w:id="56"/>
    </w:p>
    <w:p w14:paraId="510E13EC">
      <w:pPr>
        <w:ind w:firstLine="411" w:firstLineChars="196"/>
        <w:rPr>
          <w:color w:val="auto"/>
          <w:highlight w:val="none"/>
        </w:rPr>
      </w:pPr>
      <w:sdt>
        <w:sdtPr>
          <w:rPr>
            <w:color w:val="auto"/>
            <w:highlight w:val="none"/>
          </w:rPr>
          <w:alias w:val="标准检查"/>
          <w:id w:val="147478004"/>
        </w:sdtPr>
        <w:sdtEndPr>
          <w:rPr>
            <w:color w:val="auto"/>
            <w:highlight w:val="none"/>
          </w:rPr>
        </w:sdtEndPr>
        <w:sdtContent>
          <w:bookmarkStart w:id="57" w:name="bkKnowledge2163402"/>
          <w:r>
            <w:rPr>
              <w:color w:val="auto"/>
              <w:highlight w:val="none"/>
            </w:rPr>
            <w:t>GB 50150  电气装置安装工程 电气设备交接试验标准</w:t>
          </w:r>
          <w:bookmarkEnd w:id="57"/>
        </w:sdtContent>
      </w:sdt>
    </w:p>
    <w:p w14:paraId="5B4AEB2D">
      <w:pPr>
        <w:ind w:firstLine="411" w:firstLineChars="196"/>
        <w:rPr>
          <w:color w:val="auto"/>
          <w:highlight w:val="none"/>
        </w:rPr>
      </w:pPr>
      <w:r>
        <w:rPr>
          <w:color w:val="auto"/>
          <w:highlight w:val="none"/>
        </w:rPr>
        <w:t>GB 50260  电力设施抗震设计规范</w:t>
      </w:r>
    </w:p>
    <w:p w14:paraId="0BCFA122">
      <w:pPr>
        <w:ind w:firstLine="411" w:firstLineChars="196"/>
        <w:rPr>
          <w:color w:val="auto"/>
          <w:highlight w:val="none"/>
        </w:rPr>
      </w:pPr>
      <w:r>
        <w:rPr>
          <w:color w:val="auto"/>
          <w:highlight w:val="none"/>
        </w:rPr>
        <w:t>DL/T 393  输变电设备状态检修试验规程</w:t>
      </w:r>
    </w:p>
    <w:p w14:paraId="488936DA">
      <w:pPr>
        <w:ind w:firstLine="411" w:firstLineChars="196"/>
        <w:rPr>
          <w:color w:val="auto"/>
          <w:highlight w:val="none"/>
        </w:rPr>
      </w:pPr>
      <w:r>
        <w:rPr>
          <w:color w:val="auto"/>
          <w:highlight w:val="none"/>
        </w:rPr>
        <w:t>DL/T 448  电能计量装置技术管理规程</w:t>
      </w:r>
    </w:p>
    <w:p w14:paraId="4C371F0A">
      <w:pPr>
        <w:ind w:firstLine="411" w:firstLineChars="196"/>
        <w:rPr>
          <w:color w:val="auto"/>
          <w:highlight w:val="none"/>
        </w:rPr>
      </w:pPr>
      <w:r>
        <w:rPr>
          <w:color w:val="auto"/>
          <w:highlight w:val="none"/>
        </w:rPr>
        <w:t>DL/T 506  六氟化硫电气设备中绝缘气体湿度测量方法</w:t>
      </w:r>
    </w:p>
    <w:p w14:paraId="0F446B68">
      <w:pPr>
        <w:ind w:firstLine="411" w:firstLineChars="196"/>
        <w:rPr>
          <w:color w:val="auto"/>
          <w:highlight w:val="none"/>
        </w:rPr>
      </w:pPr>
      <w:r>
        <w:rPr>
          <w:color w:val="auto"/>
          <w:highlight w:val="none"/>
        </w:rPr>
        <w:t>DL/T 722  变压器油中溶解气体分析和判断导则</w:t>
      </w:r>
    </w:p>
    <w:p w14:paraId="33847C40">
      <w:pPr>
        <w:autoSpaceDE w:val="0"/>
        <w:autoSpaceDN w:val="0"/>
        <w:ind w:firstLine="420" w:firstLineChars="200"/>
        <w:rPr>
          <w:color w:val="auto"/>
          <w:szCs w:val="21"/>
          <w:highlight w:val="none"/>
        </w:rPr>
      </w:pPr>
      <w:r>
        <w:rPr>
          <w:color w:val="auto"/>
          <w:highlight w:val="none"/>
        </w:rPr>
        <w:t>DL/T 866  电流互感器和电压互感器选择及计算规程</w:t>
      </w:r>
    </w:p>
    <w:bookmarkEnd w:id="47"/>
    <w:bookmarkEnd w:id="48"/>
    <w:bookmarkEnd w:id="49"/>
    <w:bookmarkEnd w:id="51"/>
    <w:p w14:paraId="6A4C52F7">
      <w:pPr>
        <w:pStyle w:val="259"/>
        <w:bidi w:val="0"/>
        <w:ind w:left="0" w:leftChars="0" w:firstLine="0" w:firstLineChars="0"/>
        <w:rPr>
          <w:rFonts w:hint="eastAsia"/>
          <w:highlight w:val="none"/>
          <w:lang w:val="en-US" w:eastAsia="zh-CN"/>
        </w:rPr>
      </w:pPr>
      <w:bookmarkStart w:id="58" w:name="_Toc8890"/>
      <w:bookmarkStart w:id="59" w:name="_Toc21172"/>
      <w:bookmarkStart w:id="60" w:name="_Toc12950278"/>
      <w:bookmarkStart w:id="61" w:name="_Toc2782726"/>
      <w:bookmarkStart w:id="62" w:name="_Toc12892082"/>
      <w:r>
        <w:rPr>
          <w:rFonts w:hint="eastAsia"/>
          <w:highlight w:val="none"/>
          <w:lang w:val="en-US" w:eastAsia="zh-CN"/>
        </w:rPr>
        <w:t>术语和定义</w:t>
      </w:r>
      <w:bookmarkEnd w:id="58"/>
      <w:bookmarkEnd w:id="59"/>
    </w:p>
    <w:p w14:paraId="6BAD2B69">
      <w:pPr>
        <w:tabs>
          <w:tab w:val="center" w:pos="4201"/>
          <w:tab w:val="right" w:leader="dot" w:pos="9298"/>
        </w:tabs>
        <w:autoSpaceDE w:val="0"/>
        <w:autoSpaceDN w:val="0"/>
        <w:ind w:firstLine="420" w:firstLineChars="200"/>
        <w:jc w:val="both"/>
        <w:rPr>
          <w:rFonts w:hint="eastAsia" w:ascii="宋体" w:hAnsi="Times New Roman" w:eastAsia="宋体" w:cs="Times New Roman"/>
          <w:color w:val="000000"/>
          <w:sz w:val="21"/>
          <w:highlight w:val="none"/>
          <w:lang w:val="en-US" w:eastAsia="zh-CN" w:bidi="ar-SA"/>
        </w:rPr>
      </w:pPr>
      <w:r>
        <w:rPr>
          <w:rFonts w:hint="eastAsia" w:ascii="宋体" w:hAnsi="Times New Roman" w:eastAsia="宋体" w:cs="Times New Roman"/>
          <w:color w:val="000000"/>
          <w:sz w:val="21"/>
          <w:highlight w:val="none"/>
          <w:lang w:val="en-US" w:eastAsia="zh-CN" w:bidi="ar-SA"/>
        </w:rPr>
        <w:t>GB/T 20840.1、GB/T 20840.3、GB/T 2900.94、GB/T 26218.2界定的术语和定义适用于本文件。</w:t>
      </w:r>
    </w:p>
    <w:p w14:paraId="4C9476E9">
      <w:pPr>
        <w:tabs>
          <w:tab w:val="center" w:pos="4201"/>
          <w:tab w:val="right" w:leader="dot" w:pos="9298"/>
        </w:tabs>
        <w:autoSpaceDE w:val="0"/>
        <w:autoSpaceDN w:val="0"/>
        <w:ind w:firstLine="422" w:firstLineChars="200"/>
        <w:jc w:val="both"/>
        <w:rPr>
          <w:rFonts w:hint="default" w:eastAsia="宋体"/>
          <w:highlight w:val="none"/>
          <w:lang w:val="en-US" w:eastAsia="zh-CN"/>
        </w:rPr>
      </w:pPr>
      <w:r>
        <w:rPr>
          <w:rFonts w:hint="eastAsia" w:ascii="宋体" w:cs="Times New Roman"/>
          <w:b/>
          <w:bCs/>
          <w:color w:val="000000"/>
          <w:sz w:val="21"/>
          <w:highlight w:val="none"/>
          <w:lang w:val="en-US" w:eastAsia="zh-CN" w:bidi="ar-SA"/>
        </w:rPr>
        <w:t>低频电磁式电压互感器</w:t>
      </w:r>
      <w:r>
        <w:rPr>
          <w:rFonts w:hint="eastAsia"/>
          <w:highlight w:val="none"/>
          <w:lang w:val="en-US" w:eastAsia="zh-CN"/>
        </w:rPr>
        <w:t xml:space="preserve"> </w:t>
      </w:r>
      <w:r>
        <w:rPr>
          <w:rFonts w:hint="eastAsia"/>
          <w:b/>
          <w:bCs/>
          <w:highlight w:val="none"/>
          <w:lang w:val="en-US" w:eastAsia="zh-CN"/>
        </w:rPr>
        <w:t>low-frequency inductive voltage transformer</w:t>
      </w:r>
      <w:r>
        <w:rPr>
          <w:rFonts w:hint="eastAsia"/>
          <w:highlight w:val="none"/>
          <w:lang w:val="en-US" w:eastAsia="zh-CN"/>
        </w:rPr>
        <w:t xml:space="preserve"> </w:t>
      </w:r>
    </w:p>
    <w:p w14:paraId="6899A52F">
      <w:pPr>
        <w:tabs>
          <w:tab w:val="center" w:pos="4201"/>
          <w:tab w:val="right" w:leader="dot" w:pos="9298"/>
        </w:tabs>
        <w:autoSpaceDE w:val="0"/>
        <w:autoSpaceDN w:val="0"/>
        <w:ind w:firstLine="420" w:firstLineChars="200"/>
        <w:jc w:val="both"/>
        <w:rPr>
          <w:rFonts w:hint="default"/>
          <w:highlight w:val="none"/>
          <w:lang w:val="en-US" w:eastAsia="zh-CN"/>
        </w:rPr>
      </w:pPr>
      <w:r>
        <w:rPr>
          <w:rFonts w:hint="eastAsia"/>
          <w:highlight w:val="none"/>
          <w:lang w:val="en-US" w:eastAsia="zh-CN"/>
        </w:rPr>
        <w:t>应用于</w:t>
      </w:r>
      <w:r>
        <w:rPr>
          <w:rFonts w:hint="default"/>
          <w:highlight w:val="none"/>
          <w:lang w:val="en-US" w:eastAsia="zh-CN"/>
        </w:rPr>
        <w:t>额定频率为50 Hz以下</w:t>
      </w:r>
      <w:r>
        <w:rPr>
          <w:rFonts w:hint="eastAsia"/>
          <w:highlight w:val="none"/>
          <w:lang w:val="en-US" w:eastAsia="zh-CN"/>
        </w:rPr>
        <w:t>交流</w:t>
      </w:r>
      <w:r>
        <w:rPr>
          <w:rFonts w:hint="default"/>
          <w:highlight w:val="none"/>
          <w:lang w:val="en-US" w:eastAsia="zh-CN"/>
        </w:rPr>
        <w:t>输电系统中</w:t>
      </w:r>
      <w:r>
        <w:rPr>
          <w:rFonts w:hint="eastAsia"/>
          <w:highlight w:val="none"/>
          <w:lang w:val="en-US" w:eastAsia="zh-CN"/>
        </w:rPr>
        <w:t>，通过电磁感应将一次电压按比例变换成二次电压的电压互感器。这种互感器不附加其他改变一次电压的电气元件（如电容器）。</w:t>
      </w:r>
    </w:p>
    <w:bookmarkEnd w:id="60"/>
    <w:bookmarkEnd w:id="61"/>
    <w:bookmarkEnd w:id="62"/>
    <w:p w14:paraId="39D35FD4">
      <w:pPr>
        <w:pStyle w:val="259"/>
        <w:bidi w:val="0"/>
        <w:ind w:left="0" w:leftChars="0" w:firstLine="0" w:firstLineChars="0"/>
        <w:rPr>
          <w:highlight w:val="none"/>
          <w:lang w:val="en-US" w:eastAsia="zh-CN"/>
        </w:rPr>
      </w:pPr>
      <w:bookmarkStart w:id="63" w:name="_Toc279244617"/>
      <w:bookmarkStart w:id="64" w:name="_Toc32629"/>
      <w:bookmarkStart w:id="65" w:name="_Toc287623641"/>
      <w:bookmarkStart w:id="66" w:name="_Toc279249668"/>
      <w:bookmarkStart w:id="67" w:name="_Toc2260"/>
      <w:bookmarkStart w:id="68" w:name="_Toc170918020"/>
      <w:bookmarkStart w:id="69" w:name="_Toc279248602"/>
      <w:bookmarkStart w:id="70" w:name="_Toc289698026"/>
      <w:bookmarkStart w:id="71" w:name="_Toc25892"/>
      <w:bookmarkStart w:id="72" w:name="_Toc21919"/>
      <w:bookmarkStart w:id="73" w:name="_Toc287623594"/>
      <w:bookmarkStart w:id="74" w:name="_Toc279246774"/>
      <w:bookmarkStart w:id="75" w:name="_Toc13217"/>
      <w:bookmarkStart w:id="76" w:name="_Toc289677002"/>
      <w:r>
        <w:rPr>
          <w:rFonts w:hint="eastAsia"/>
          <w:highlight w:val="none"/>
          <w:lang w:val="en-US" w:eastAsia="zh-CN"/>
        </w:rPr>
        <w:t>使用条件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pindex180"/>
      <w:bookmarkEnd w:id="77"/>
    </w:p>
    <w:p w14:paraId="016F994A">
      <w:pPr>
        <w:pStyle w:val="260"/>
        <w:bidi w:val="0"/>
        <w:ind w:left="710" w:leftChars="0" w:hanging="710" w:firstLineChars="0"/>
        <w:rPr>
          <w:highlight w:val="none"/>
          <w:lang w:val="en-US" w:eastAsia="zh-CN"/>
        </w:rPr>
      </w:pPr>
      <w:bookmarkStart w:id="78" w:name="_Toc29081"/>
      <w:bookmarkStart w:id="79" w:name="_Toc170918021"/>
      <w:bookmarkStart w:id="80" w:name="_Toc10968"/>
      <w:bookmarkStart w:id="81" w:name="_Toc5053"/>
      <w:bookmarkStart w:id="82" w:name="_Toc24754"/>
      <w:r>
        <w:rPr>
          <w:rFonts w:hint="eastAsia"/>
          <w:highlight w:val="none"/>
          <w:lang w:val="en-US" w:eastAsia="zh-CN"/>
        </w:rPr>
        <w:t>正常使用条件</w:t>
      </w:r>
      <w:bookmarkEnd w:id="78"/>
      <w:bookmarkEnd w:id="79"/>
      <w:bookmarkEnd w:id="80"/>
      <w:bookmarkEnd w:id="81"/>
      <w:bookmarkEnd w:id="82"/>
      <w:bookmarkStart w:id="83" w:name="pindex181"/>
      <w:bookmarkEnd w:id="83"/>
    </w:p>
    <w:p w14:paraId="6255002A">
      <w:pPr>
        <w:pStyle w:val="261"/>
        <w:bidi w:val="0"/>
        <w:ind w:left="142" w:leftChars="0" w:hanging="142" w:firstLineChars="0"/>
        <w:rPr>
          <w:highlight w:val="none"/>
          <w:lang w:val="en-US" w:eastAsia="zh-CN"/>
        </w:rPr>
      </w:pPr>
      <w:r>
        <w:rPr>
          <w:rFonts w:hint="eastAsia"/>
          <w:highlight w:val="none"/>
          <w:lang w:val="en-US" w:eastAsia="zh-CN"/>
        </w:rPr>
        <w:t>环境温度</w:t>
      </w:r>
      <w:bookmarkStart w:id="84" w:name="pindex182"/>
      <w:bookmarkEnd w:id="84"/>
    </w:p>
    <w:p w14:paraId="4115B0BD">
      <w:pPr>
        <w:ind w:firstLine="420" w:firstLineChars="200"/>
        <w:jc w:val="both"/>
        <w:rPr>
          <w:rFonts w:ascii="宋体" w:hAnsi="Times New Roman" w:eastAsia="宋体" w:cs="Times New Roman"/>
          <w:sz w:val="21"/>
          <w:highlight w:val="none"/>
          <w:lang w:val="en-US" w:eastAsia="zh-CN" w:bidi="ar-SA"/>
        </w:rPr>
      </w:pPr>
      <w:r>
        <w:rPr>
          <w:rFonts w:hint="eastAsia" w:ascii="宋体" w:cs="Times New Roman"/>
          <w:sz w:val="21"/>
          <w:highlight w:val="none"/>
          <w:lang w:val="en-US" w:eastAsia="zh-CN" w:bidi="ar-SA"/>
        </w:rPr>
        <w:t>正常使用的</w:t>
      </w:r>
      <w:r>
        <w:rPr>
          <w:rFonts w:hint="eastAsia" w:ascii="宋体" w:hAnsi="Times New Roman" w:eastAsia="宋体" w:cs="Times New Roman"/>
          <w:sz w:val="21"/>
          <w:highlight w:val="none"/>
          <w:lang w:val="en-US" w:eastAsia="zh-CN" w:bidi="ar-SA"/>
        </w:rPr>
        <w:t>环境温度分为</w:t>
      </w:r>
      <w:r>
        <w:rPr>
          <w:rFonts w:hint="eastAsia" w:ascii="Times New Roman" w:hAnsi="Times New Roman" w:eastAsia="宋体" w:cs="Times New Roman"/>
          <w:sz w:val="21"/>
          <w:highlight w:val="none"/>
          <w:lang w:val="en-US" w:eastAsia="zh-CN" w:bidi="ar-SA"/>
        </w:rPr>
        <w:t>3</w:t>
      </w:r>
      <w:r>
        <w:rPr>
          <w:rFonts w:hint="eastAsia" w:ascii="宋体" w:hAnsi="Times New Roman" w:eastAsia="宋体" w:cs="Times New Roman"/>
          <w:sz w:val="21"/>
          <w:highlight w:val="none"/>
          <w:lang w:val="en-US" w:eastAsia="zh-CN" w:bidi="ar-SA"/>
        </w:rPr>
        <w:t>类，见表1。</w:t>
      </w:r>
    </w:p>
    <w:p w14:paraId="7CD553A5">
      <w:pPr>
        <w:ind w:firstLine="420" w:firstLineChars="200"/>
        <w:jc w:val="both"/>
        <w:rPr>
          <w:rFonts w:ascii="宋体" w:hAnsi="Times New Roman" w:eastAsia="宋体" w:cs="Times New Roman"/>
          <w:sz w:val="21"/>
          <w:szCs w:val="22"/>
          <w:highlight w:val="none"/>
          <w:lang w:val="en-US" w:eastAsia="zh-CN" w:bidi="ar-SA"/>
        </w:rPr>
      </w:pPr>
      <w:r>
        <w:rPr>
          <w:rFonts w:hint="eastAsia" w:ascii="宋体" w:hAnsi="Times New Roman" w:eastAsia="宋体" w:cs="Times New Roman"/>
          <w:sz w:val="21"/>
          <w:szCs w:val="22"/>
          <w:highlight w:val="none"/>
          <w:lang w:val="en-US" w:eastAsia="zh-CN" w:bidi="ar-SA"/>
        </w:rPr>
        <w:t>选择温度类别时，应考虑贮存和运输条件。</w:t>
      </w:r>
    </w:p>
    <w:p w14:paraId="752014EC">
      <w:pPr>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szCs w:val="22"/>
          <w:highlight w:val="none"/>
          <w:lang w:val="en-US" w:eastAsia="zh-CN" w:bidi="ar-SA"/>
        </w:rPr>
        <w:t>如电压互感器组装在其他设备（例如</w:t>
      </w:r>
      <w:r>
        <w:rPr>
          <w:rFonts w:ascii="宋体" w:hAnsi="Times New Roman" w:eastAsia="宋体" w:cs="Times New Roman"/>
          <w:sz w:val="21"/>
          <w:szCs w:val="22"/>
          <w:highlight w:val="none"/>
          <w:lang w:val="en-US" w:eastAsia="zh-CN" w:bidi="ar-SA"/>
        </w:rPr>
        <w:t>组合电器</w:t>
      </w:r>
      <w:r>
        <w:rPr>
          <w:rFonts w:hint="eastAsia" w:ascii="宋体" w:hAnsi="Times New Roman" w:eastAsia="宋体" w:cs="Times New Roman"/>
          <w:sz w:val="21"/>
          <w:szCs w:val="22"/>
          <w:highlight w:val="none"/>
          <w:lang w:val="en-US" w:eastAsia="zh-CN" w:bidi="ar-SA"/>
        </w:rPr>
        <w:t>、断路器）中，电压互感器应按相关设备的温度条件作规定。</w:t>
      </w:r>
    </w:p>
    <w:p w14:paraId="438312F6">
      <w:pPr>
        <w:numPr>
          <w:ilvl w:val="0"/>
          <w:numId w:val="0"/>
        </w:numPr>
        <w:tabs>
          <w:tab w:val="left" w:pos="360"/>
        </w:tabs>
        <w:spacing w:before="156" w:beforeLines="50" w:after="156" w:afterLines="50"/>
        <w:jc w:val="center"/>
        <w:rPr>
          <w:rFonts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 xml:space="preserve">表1 温度类别                         </w:t>
      </w:r>
      <w:bookmarkStart w:id="85" w:name="pindex186"/>
      <w:bookmarkEnd w:id="85"/>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68D0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14:paraId="46D3D80F">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类别</w:t>
            </w:r>
          </w:p>
        </w:tc>
        <w:tc>
          <w:tcPr>
            <w:tcW w:w="3190" w:type="dxa"/>
            <w:noWrap w:val="0"/>
            <w:vAlign w:val="center"/>
          </w:tcPr>
          <w:p w14:paraId="5E18E4F3">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最低温度</w:t>
            </w:r>
          </w:p>
          <w:p w14:paraId="62D5F6E6">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 xml:space="preserve"> ℃</w:t>
            </w:r>
          </w:p>
        </w:tc>
        <w:tc>
          <w:tcPr>
            <w:tcW w:w="3190" w:type="dxa"/>
            <w:noWrap w:val="0"/>
            <w:vAlign w:val="center"/>
          </w:tcPr>
          <w:p w14:paraId="562C7762">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最高温度</w:t>
            </w:r>
          </w:p>
          <w:p w14:paraId="1FC937A7">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 xml:space="preserve"> ℃</w:t>
            </w:r>
          </w:p>
        </w:tc>
      </w:tr>
      <w:tr w14:paraId="3A9E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14:paraId="35128245">
            <w:pPr>
              <w:ind w:firstLine="0" w:firstLineChars="0"/>
              <w:jc w:val="center"/>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-5/40</w:t>
            </w:r>
          </w:p>
        </w:tc>
        <w:tc>
          <w:tcPr>
            <w:tcW w:w="3190" w:type="dxa"/>
            <w:noWrap w:val="0"/>
            <w:vAlign w:val="center"/>
          </w:tcPr>
          <w:p w14:paraId="2AFD7B75">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-5</w:t>
            </w:r>
          </w:p>
        </w:tc>
        <w:tc>
          <w:tcPr>
            <w:tcW w:w="3190" w:type="dxa"/>
            <w:noWrap w:val="0"/>
            <w:vAlign w:val="center"/>
          </w:tcPr>
          <w:p w14:paraId="3A1EE1E2">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40</w:t>
            </w:r>
          </w:p>
        </w:tc>
      </w:tr>
      <w:tr w14:paraId="1AD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14:paraId="158A3ACF">
            <w:pPr>
              <w:ind w:firstLine="0" w:firstLineChars="0"/>
              <w:jc w:val="center"/>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-25/40</w:t>
            </w:r>
          </w:p>
        </w:tc>
        <w:tc>
          <w:tcPr>
            <w:tcW w:w="3190" w:type="dxa"/>
            <w:noWrap w:val="0"/>
            <w:vAlign w:val="center"/>
          </w:tcPr>
          <w:p w14:paraId="10432FE4">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-25</w:t>
            </w:r>
          </w:p>
        </w:tc>
        <w:tc>
          <w:tcPr>
            <w:tcW w:w="3190" w:type="dxa"/>
            <w:noWrap w:val="0"/>
            <w:vAlign w:val="center"/>
          </w:tcPr>
          <w:p w14:paraId="77612141">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40</w:t>
            </w:r>
          </w:p>
        </w:tc>
      </w:tr>
      <w:tr w14:paraId="013F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center"/>
          </w:tcPr>
          <w:p w14:paraId="2938CD49">
            <w:pPr>
              <w:ind w:firstLine="0" w:firstLineChars="0"/>
              <w:jc w:val="center"/>
              <w:rPr>
                <w:rFonts w:hint="default" w:ascii="Times New Roman" w:hAnsi="Times New Roman" w:eastAsia="宋体" w:cs="Times New Roman"/>
                <w:sz w:val="18"/>
                <w:szCs w:val="18"/>
                <w:highlight w:val="none"/>
                <w:lang w:val="en-US" w:eastAsia="zh-CN" w:bidi="ar-SA"/>
              </w:rPr>
            </w:pPr>
            <w:r>
              <w:rPr>
                <w:rFonts w:hint="eastAsia" w:cs="Times New Roman"/>
                <w:sz w:val="18"/>
                <w:szCs w:val="18"/>
                <w:highlight w:val="none"/>
                <w:lang w:val="en-US" w:eastAsia="zh-CN" w:bidi="ar-SA"/>
              </w:rPr>
              <w:t>-40/40</w:t>
            </w:r>
          </w:p>
        </w:tc>
        <w:tc>
          <w:tcPr>
            <w:tcW w:w="3190" w:type="dxa"/>
            <w:noWrap w:val="0"/>
            <w:vAlign w:val="center"/>
          </w:tcPr>
          <w:p w14:paraId="53146E31">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-40</w:t>
            </w:r>
          </w:p>
        </w:tc>
        <w:tc>
          <w:tcPr>
            <w:tcW w:w="3190" w:type="dxa"/>
            <w:noWrap w:val="0"/>
            <w:vAlign w:val="center"/>
          </w:tcPr>
          <w:p w14:paraId="748F942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40</w:t>
            </w:r>
          </w:p>
        </w:tc>
      </w:tr>
    </w:tbl>
    <w:p w14:paraId="0BFBCBF4">
      <w:pPr>
        <w:pStyle w:val="261"/>
        <w:bidi w:val="0"/>
        <w:ind w:left="142" w:leftChars="0" w:hanging="142" w:firstLineChars="0"/>
        <w:rPr>
          <w:highlight w:val="none"/>
          <w:lang w:val="en-US" w:eastAsia="zh-CN"/>
        </w:rPr>
      </w:pPr>
      <w:r>
        <w:rPr>
          <w:rFonts w:hint="eastAsia"/>
          <w:highlight w:val="none"/>
          <w:lang w:val="en-US" w:eastAsia="zh-CN"/>
        </w:rPr>
        <w:t>海拔</w:t>
      </w:r>
      <w:bookmarkStart w:id="86" w:name="pindex201"/>
      <w:bookmarkEnd w:id="86"/>
    </w:p>
    <w:p w14:paraId="6C16BD7B">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不超过1000 m。</w:t>
      </w:r>
    </w:p>
    <w:p w14:paraId="04025879">
      <w:pPr>
        <w:pStyle w:val="261"/>
        <w:bidi w:val="0"/>
        <w:ind w:left="142" w:leftChars="0" w:hanging="142" w:firstLineChars="0"/>
        <w:rPr>
          <w:highlight w:val="none"/>
          <w:lang w:val="en-US" w:eastAsia="zh-CN"/>
        </w:rPr>
      </w:pPr>
      <w:r>
        <w:rPr>
          <w:highlight w:val="none"/>
          <w:lang w:val="en-US" w:eastAsia="zh-CN"/>
        </w:rPr>
        <w:t>振动</w:t>
      </w:r>
      <w:bookmarkStart w:id="87" w:name="pindex203"/>
      <w:bookmarkEnd w:id="87"/>
    </w:p>
    <w:p w14:paraId="12B07357">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由外部原因引起的电压互感器振动可以忽略。</w:t>
      </w:r>
    </w:p>
    <w:p w14:paraId="7C1065BA">
      <w:pPr>
        <w:pStyle w:val="261"/>
        <w:bidi w:val="0"/>
        <w:ind w:left="142" w:leftChars="0" w:hanging="142" w:firstLineChars="0"/>
        <w:rPr>
          <w:highlight w:val="none"/>
          <w:lang w:val="en-US" w:eastAsia="zh-CN"/>
        </w:rPr>
      </w:pPr>
      <w:r>
        <w:rPr>
          <w:highlight w:val="none"/>
          <w:lang w:val="en-US" w:eastAsia="zh-CN"/>
        </w:rPr>
        <w:t>户内电压互感器的其他使用条件</w:t>
      </w:r>
      <w:bookmarkStart w:id="88" w:name="pindex205"/>
      <w:bookmarkEnd w:id="88"/>
    </w:p>
    <w:p w14:paraId="7BB8988E">
      <w:pPr>
        <w:autoSpaceDE w:val="0"/>
        <w:autoSpaceDN w:val="0"/>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所考虑的其它使用条件如下</w:t>
      </w:r>
      <w:r>
        <w:rPr>
          <w:rFonts w:ascii="宋体" w:hAnsi="Times New Roman" w:eastAsia="宋体" w:cs="Times New Roman"/>
          <w:sz w:val="21"/>
          <w:highlight w:val="none"/>
          <w:lang w:val="en-US" w:eastAsia="zh-CN" w:bidi="ar-SA"/>
        </w:rPr>
        <w:t>：</w:t>
      </w:r>
    </w:p>
    <w:p w14:paraId="10019FD3">
      <w:pPr>
        <w:numPr>
          <w:ilvl w:val="0"/>
          <w:numId w:val="29"/>
        </w:numPr>
        <w:autoSpaceDE/>
        <w:autoSpaceDN/>
        <w:ind w:left="839" w:leftChars="0" w:right="0" w:rightChars="0" w:hanging="419"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太阳幅射影响可以忽略</w:t>
      </w:r>
      <w:r>
        <w:rPr>
          <w:rFonts w:ascii="宋体" w:hAnsi="Times New Roman" w:eastAsia="宋体" w:cs="Times New Roman"/>
          <w:sz w:val="21"/>
          <w:highlight w:val="none"/>
          <w:lang w:val="en-US" w:eastAsia="zh-CN" w:bidi="ar-SA"/>
        </w:rPr>
        <w:t>；</w:t>
      </w:r>
    </w:p>
    <w:p w14:paraId="50B3364F">
      <w:pPr>
        <w:numPr>
          <w:ilvl w:val="0"/>
          <w:numId w:val="29"/>
        </w:numPr>
        <w:autoSpaceDE/>
        <w:autoSpaceDN/>
        <w:ind w:left="839" w:leftChars="0" w:right="0" w:rightChars="0" w:hanging="419"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环境空气无明显灰尘、烟、腐蚀性气体、蒸气或盐的污染</w:t>
      </w:r>
      <w:r>
        <w:rPr>
          <w:rFonts w:ascii="宋体" w:hAnsi="Times New Roman" w:eastAsia="宋体" w:cs="Times New Roman"/>
          <w:sz w:val="21"/>
          <w:highlight w:val="none"/>
          <w:lang w:val="en-US" w:eastAsia="zh-CN" w:bidi="ar-SA"/>
        </w:rPr>
        <w:t>；</w:t>
      </w:r>
    </w:p>
    <w:p w14:paraId="1576538E">
      <w:pPr>
        <w:numPr>
          <w:ilvl w:val="0"/>
          <w:numId w:val="29"/>
        </w:numPr>
        <w:autoSpaceDE/>
        <w:autoSpaceDN/>
        <w:ind w:left="839" w:leftChars="0" w:right="0" w:rightChars="0" w:hanging="419"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湿度条件如下</w:t>
      </w:r>
      <w:r>
        <w:rPr>
          <w:rFonts w:ascii="宋体" w:hAnsi="Times New Roman" w:eastAsia="宋体" w:cs="Times New Roman"/>
          <w:sz w:val="21"/>
          <w:highlight w:val="none"/>
          <w:lang w:val="en-US" w:eastAsia="zh-CN" w:bidi="ar-SA"/>
        </w:rPr>
        <w:t>：</w:t>
      </w:r>
    </w:p>
    <w:p w14:paraId="0C57F0F6">
      <w:pPr>
        <w:numPr>
          <w:ilvl w:val="0"/>
          <w:numId w:val="30"/>
        </w:numPr>
        <w:autoSpaceDE w:val="0"/>
        <w:autoSpaceDN w:val="0"/>
        <w:ind w:left="425" w:leftChars="0" w:firstLine="415" w:firstLineChars="0"/>
        <w:jc w:val="both"/>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t>24h</w:t>
      </w:r>
      <w:r>
        <w:rPr>
          <w:rFonts w:hint="eastAsia" w:ascii="宋体" w:hAnsi="Times New Roman" w:eastAsia="宋体" w:cs="Times New Roman"/>
          <w:sz w:val="21"/>
          <w:highlight w:val="none"/>
          <w:lang w:val="en-US" w:eastAsia="zh-CN" w:bidi="ar-SA"/>
        </w:rPr>
        <w:t>内测得的相对湿度平均值不超过</w:t>
      </w:r>
      <w:r>
        <w:rPr>
          <w:rFonts w:ascii="宋体" w:hAnsi="Times New Roman" w:eastAsia="宋体" w:cs="Times New Roman"/>
          <w:sz w:val="21"/>
          <w:highlight w:val="none"/>
          <w:lang w:val="en-US" w:eastAsia="zh-CN" w:bidi="ar-SA"/>
        </w:rPr>
        <w:t>95%；</w:t>
      </w:r>
    </w:p>
    <w:p w14:paraId="4FEFEE91">
      <w:pPr>
        <w:numPr>
          <w:ilvl w:val="0"/>
          <w:numId w:val="30"/>
        </w:numPr>
        <w:autoSpaceDE w:val="0"/>
        <w:autoSpaceDN w:val="0"/>
        <w:ind w:left="425" w:leftChars="0" w:firstLine="415" w:firstLineChars="0"/>
        <w:jc w:val="both"/>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t>24h</w:t>
      </w:r>
      <w:r>
        <w:rPr>
          <w:rFonts w:hint="eastAsia" w:ascii="宋体" w:hAnsi="Times New Roman" w:eastAsia="宋体" w:cs="Times New Roman"/>
          <w:sz w:val="21"/>
          <w:highlight w:val="none"/>
          <w:lang w:val="en-US" w:eastAsia="zh-CN" w:bidi="ar-SA"/>
        </w:rPr>
        <w:t>内的水蒸气压强平均值不超过</w:t>
      </w:r>
      <w:r>
        <w:rPr>
          <w:rFonts w:ascii="宋体" w:hAnsi="Times New Roman" w:eastAsia="宋体" w:cs="Times New Roman"/>
          <w:sz w:val="21"/>
          <w:highlight w:val="none"/>
          <w:lang w:val="en-US" w:eastAsia="zh-CN" w:bidi="ar-SA"/>
        </w:rPr>
        <w:t>2.2kPa；</w:t>
      </w:r>
    </w:p>
    <w:p w14:paraId="0A1D44EF">
      <w:pPr>
        <w:numPr>
          <w:ilvl w:val="0"/>
          <w:numId w:val="30"/>
        </w:numPr>
        <w:autoSpaceDE w:val="0"/>
        <w:autoSpaceDN w:val="0"/>
        <w:ind w:left="425" w:leftChars="0" w:firstLine="415"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一个月内的相对湿度平均值不超过</w:t>
      </w:r>
      <w:r>
        <w:rPr>
          <w:rFonts w:ascii="宋体" w:hAnsi="Times New Roman" w:eastAsia="宋体" w:cs="Times New Roman"/>
          <w:sz w:val="21"/>
          <w:highlight w:val="none"/>
          <w:lang w:val="en-US" w:eastAsia="zh-CN" w:bidi="ar-SA"/>
        </w:rPr>
        <w:t>90%；</w:t>
      </w:r>
    </w:p>
    <w:p w14:paraId="121E4001">
      <w:pPr>
        <w:numPr>
          <w:ilvl w:val="0"/>
          <w:numId w:val="30"/>
        </w:numPr>
        <w:autoSpaceDE w:val="0"/>
        <w:autoSpaceDN w:val="0"/>
        <w:ind w:left="425" w:leftChars="0" w:firstLine="415"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一个月内的水蒸气压强平均值不超过</w:t>
      </w:r>
      <w:r>
        <w:rPr>
          <w:rFonts w:ascii="宋体" w:hAnsi="Times New Roman" w:eastAsia="宋体" w:cs="Times New Roman"/>
          <w:sz w:val="21"/>
          <w:highlight w:val="none"/>
          <w:lang w:val="en-US" w:eastAsia="zh-CN" w:bidi="ar-SA"/>
        </w:rPr>
        <w:t>1.8kPa。</w:t>
      </w:r>
    </w:p>
    <w:p w14:paraId="0BD2941F">
      <w:pPr>
        <w:autoSpaceDE w:val="0"/>
        <w:autoSpaceDN w:val="0"/>
        <w:ind w:left="420" w:leftChars="200" w:firstLine="0" w:firstLineChars="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在上述条件下，凝露可能会偶尔出现。</w:t>
      </w:r>
    </w:p>
    <w:p w14:paraId="7BCE2CAE">
      <w:pPr>
        <w:numPr>
          <w:ilvl w:val="0"/>
          <w:numId w:val="0"/>
        </w:numPr>
        <w:ind w:left="811" w:hanging="448"/>
        <w:jc w:val="both"/>
        <w:rPr>
          <w:rFonts w:ascii="宋体" w:hAnsi="Times New Roman" w:eastAsia="宋体" w:cs="Times New Roman"/>
          <w:sz w:val="18"/>
          <w:highlight w:val="none"/>
          <w:lang w:val="en-US" w:eastAsia="zh-CN" w:bidi="ar-SA"/>
        </w:rPr>
      </w:pPr>
      <w:r>
        <w:rPr>
          <w:rFonts w:hint="eastAsia" w:ascii="黑体" w:hAnsi="Times New Roman" w:eastAsia="黑体" w:cs="Times New Roman"/>
          <w:sz w:val="18"/>
          <w:highlight w:val="none"/>
          <w:lang w:val="en-US" w:eastAsia="zh-CN" w:bidi="ar-SA"/>
        </w:rPr>
        <w:t>注1：</w:t>
      </w:r>
      <w:r>
        <w:rPr>
          <w:rFonts w:hint="eastAsia" w:ascii="宋体" w:hAnsi="Times New Roman" w:eastAsia="宋体" w:cs="Times New Roman"/>
          <w:sz w:val="18"/>
          <w:highlight w:val="none"/>
          <w:lang w:val="en-US" w:eastAsia="zh-CN" w:bidi="ar-SA"/>
        </w:rPr>
        <w:t>在高湿度期间，凝露可能在温度突然变化时出现。</w:t>
      </w:r>
    </w:p>
    <w:p w14:paraId="5AA03364">
      <w:pPr>
        <w:numPr>
          <w:ilvl w:val="0"/>
          <w:numId w:val="0"/>
        </w:numPr>
        <w:ind w:left="811" w:hanging="448"/>
        <w:jc w:val="both"/>
        <w:rPr>
          <w:rFonts w:ascii="宋体" w:hAnsi="Times New Roman" w:eastAsia="宋体" w:cs="Times New Roman"/>
          <w:sz w:val="18"/>
          <w:highlight w:val="none"/>
          <w:lang w:val="en-US" w:eastAsia="zh-CN" w:bidi="ar-SA"/>
        </w:rPr>
      </w:pPr>
      <w:r>
        <w:rPr>
          <w:rFonts w:hint="eastAsia" w:ascii="黑体" w:hAnsi="Times New Roman" w:eastAsia="黑体" w:cs="Times New Roman"/>
          <w:sz w:val="18"/>
          <w:highlight w:val="none"/>
          <w:lang w:val="en-US" w:eastAsia="zh-CN" w:bidi="ar-SA"/>
        </w:rPr>
        <w:t>注2：</w:t>
      </w:r>
      <w:r>
        <w:rPr>
          <w:rFonts w:hint="eastAsia" w:ascii="宋体" w:hAnsi="Times New Roman" w:eastAsia="宋体" w:cs="Times New Roman"/>
          <w:sz w:val="18"/>
          <w:highlight w:val="none"/>
          <w:lang w:val="en-US" w:eastAsia="zh-CN" w:bidi="ar-SA"/>
        </w:rPr>
        <w:t>为了能够承受高湿度和凝露的作用，防止绝缘击穿或金属件腐蚀，应采用按此条件设计的低频电流互感器。</w:t>
      </w:r>
    </w:p>
    <w:p w14:paraId="3B6FF36E">
      <w:pPr>
        <w:numPr>
          <w:ilvl w:val="0"/>
          <w:numId w:val="0"/>
        </w:numPr>
        <w:ind w:left="811" w:hanging="448" w:firstLineChars="0"/>
        <w:jc w:val="both"/>
        <w:rPr>
          <w:highlight w:val="none"/>
        </w:rPr>
      </w:pPr>
      <w:r>
        <w:rPr>
          <w:rFonts w:hint="eastAsia" w:ascii="黑体" w:hAnsi="Times New Roman" w:eastAsia="黑体" w:cs="Times New Roman"/>
          <w:sz w:val="18"/>
          <w:highlight w:val="none"/>
          <w:lang w:val="en-US" w:eastAsia="zh-CN" w:bidi="ar-SA"/>
        </w:rPr>
        <w:t>注3：</w:t>
      </w:r>
      <w:r>
        <w:rPr>
          <w:rFonts w:hint="eastAsia" w:ascii="宋体" w:hAnsi="Times New Roman" w:eastAsia="宋体" w:cs="Times New Roman"/>
          <w:sz w:val="18"/>
          <w:highlight w:val="none"/>
          <w:lang w:val="en-US" w:eastAsia="zh-CN" w:bidi="ar-SA"/>
        </w:rPr>
        <w:t>采用特殊设计的壳套，采取适当的通风和加热或者使用除湿设备，可以防止凝露。</w:t>
      </w:r>
    </w:p>
    <w:p w14:paraId="3E394936">
      <w:pPr>
        <w:pStyle w:val="261"/>
        <w:bidi w:val="0"/>
        <w:ind w:left="142" w:leftChars="0" w:hanging="142" w:firstLineChars="0"/>
        <w:rPr>
          <w:highlight w:val="none"/>
          <w:lang w:val="en-US" w:eastAsia="zh-CN"/>
        </w:rPr>
      </w:pPr>
      <w:r>
        <w:rPr>
          <w:highlight w:val="none"/>
          <w:lang w:val="en-US" w:eastAsia="zh-CN"/>
        </w:rPr>
        <w:t>户外电压互感器的其他使用条件</w:t>
      </w:r>
      <w:bookmarkStart w:id="89" w:name="pindex207"/>
      <w:bookmarkEnd w:id="89"/>
    </w:p>
    <w:p w14:paraId="67AB4ED5">
      <w:pPr>
        <w:ind w:left="210" w:firstLine="210"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所考虑的其它使用条件如下</w:t>
      </w:r>
      <w:r>
        <w:rPr>
          <w:rFonts w:ascii="Times New Roman" w:hAnsi="Times New Roman" w:eastAsia="宋体" w:cs="Times New Roman"/>
          <w:sz w:val="21"/>
          <w:szCs w:val="21"/>
          <w:highlight w:val="none"/>
          <w:lang w:val="en-US" w:eastAsia="zh-CN" w:bidi="ar-SA"/>
        </w:rPr>
        <w:t>：</w:t>
      </w:r>
    </w:p>
    <w:p w14:paraId="1479F8E0">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ascii="Times New Roman" w:hAnsi="Times New Roman" w:eastAsia="宋体" w:cs="Times New Roman"/>
          <w:sz w:val="21"/>
          <w:szCs w:val="21"/>
          <w:highlight w:val="none"/>
          <w:lang w:val="en-US" w:eastAsia="zh-CN" w:bidi="ar-SA"/>
        </w:rPr>
        <w:t xml:space="preserve">24 h </w:t>
      </w:r>
      <w:r>
        <w:rPr>
          <w:rFonts w:hint="eastAsia" w:ascii="Times New Roman" w:hAnsi="Times New Roman" w:eastAsia="宋体" w:cs="Times New Roman"/>
          <w:sz w:val="21"/>
          <w:szCs w:val="21"/>
          <w:highlight w:val="none"/>
          <w:lang w:val="en-US" w:eastAsia="zh-CN" w:bidi="ar-SA"/>
        </w:rPr>
        <w:t>内测得的环境气温平均值不超过</w:t>
      </w:r>
      <w:r>
        <w:rPr>
          <w:rFonts w:ascii="Times New Roman" w:hAnsi="Times New Roman" w:eastAsia="宋体" w:cs="Times New Roman"/>
          <w:sz w:val="21"/>
          <w:szCs w:val="21"/>
          <w:highlight w:val="none"/>
          <w:lang w:val="en-US" w:eastAsia="zh-CN" w:bidi="ar-SA"/>
        </w:rPr>
        <w:t>35 °C；</w:t>
      </w:r>
    </w:p>
    <w:p w14:paraId="33087EB4">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太阳幅射水平高达</w:t>
      </w:r>
      <w:r>
        <w:rPr>
          <w:rFonts w:ascii="Times New Roman" w:hAnsi="Times New Roman" w:eastAsia="宋体" w:cs="Times New Roman"/>
          <w:sz w:val="21"/>
          <w:szCs w:val="21"/>
          <w:highlight w:val="none"/>
          <w:lang w:val="en-US" w:eastAsia="zh-CN" w:bidi="ar-SA"/>
        </w:rPr>
        <w:t>1000W/m2</w:t>
      </w:r>
      <w:r>
        <w:rPr>
          <w:rFonts w:hint="eastAsia" w:ascii="Times New Roman" w:hAnsi="Times New Roman" w:eastAsia="宋体" w:cs="Times New Roman"/>
          <w:sz w:val="21"/>
          <w:szCs w:val="21"/>
          <w:highlight w:val="none"/>
          <w:lang w:val="en-US" w:eastAsia="zh-CN" w:bidi="ar-SA"/>
        </w:rPr>
        <w:t>（晴天中午）时应予考虑</w:t>
      </w:r>
      <w:r>
        <w:rPr>
          <w:rFonts w:ascii="Times New Roman" w:hAnsi="Times New Roman" w:eastAsia="宋体" w:cs="Times New Roman"/>
          <w:sz w:val="21"/>
          <w:szCs w:val="21"/>
          <w:highlight w:val="none"/>
          <w:lang w:val="en-US" w:eastAsia="zh-CN" w:bidi="ar-SA"/>
        </w:rPr>
        <w:t>；</w:t>
      </w:r>
    </w:p>
    <w:p w14:paraId="6FCF5C15">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环境空气可能有灰尘、烟、腐蚀性气体、蒸气或盐的污染。其污染不超过</w:t>
      </w:r>
      <w:r>
        <w:rPr>
          <w:rFonts w:ascii="Times New Roman" w:hAnsi="Times New Roman" w:eastAsia="宋体" w:cs="Times New Roman"/>
          <w:sz w:val="21"/>
          <w:szCs w:val="21"/>
          <w:highlight w:val="none"/>
          <w:lang w:val="en-US" w:eastAsia="zh-CN" w:bidi="ar-SA"/>
        </w:rPr>
        <w:t>GB</w:t>
      </w:r>
      <w:r>
        <w:rPr>
          <w:rFonts w:hint="eastAsia" w:ascii="Times New Roman" w:hAnsi="Times New Roman" w:eastAsia="宋体" w:cs="Times New Roman"/>
          <w:sz w:val="21"/>
          <w:szCs w:val="21"/>
          <w:highlight w:val="none"/>
          <w:lang w:val="en-US" w:eastAsia="zh-CN" w:bidi="ar-SA"/>
        </w:rPr>
        <w:t>/T 262</w:t>
      </w:r>
      <w:r>
        <w:rPr>
          <w:rFonts w:ascii="Times New Roman" w:hAnsi="Times New Roman" w:eastAsia="宋体" w:cs="Times New Roman"/>
          <w:sz w:val="21"/>
          <w:szCs w:val="21"/>
          <w:highlight w:val="none"/>
          <w:lang w:val="en-US" w:eastAsia="zh-CN" w:bidi="ar-SA"/>
        </w:rPr>
        <w:t>18.1</w:t>
      </w:r>
      <w:r>
        <w:rPr>
          <w:rFonts w:hint="eastAsia" w:ascii="Times New Roman" w:hAnsi="Times New Roman" w:eastAsia="宋体" w:cs="Times New Roman"/>
          <w:sz w:val="21"/>
          <w:szCs w:val="21"/>
          <w:highlight w:val="none"/>
          <w:lang w:val="en-US" w:eastAsia="zh-CN" w:bidi="ar-SA"/>
        </w:rPr>
        <w:t>规定的</w:t>
      </w:r>
      <w:r>
        <w:rPr>
          <w:rFonts w:ascii="Times New Roman" w:hAnsi="Times New Roman" w:eastAsia="宋体" w:cs="Times New Roman"/>
          <w:sz w:val="21"/>
          <w:szCs w:val="21"/>
          <w:highlight w:val="none"/>
          <w:lang w:val="en-US" w:eastAsia="zh-CN" w:bidi="ar-SA"/>
        </w:rPr>
        <w:t>污</w:t>
      </w:r>
      <w:r>
        <w:rPr>
          <w:rFonts w:hint="eastAsia" w:ascii="Times New Roman" w:hAnsi="Times New Roman" w:eastAsia="宋体" w:cs="Times New Roman"/>
          <w:sz w:val="21"/>
          <w:szCs w:val="21"/>
          <w:highlight w:val="none"/>
          <w:lang w:val="en-US" w:eastAsia="zh-CN" w:bidi="ar-SA"/>
        </w:rPr>
        <w:t>秽等级</w:t>
      </w:r>
      <w:r>
        <w:rPr>
          <w:rFonts w:ascii="Times New Roman" w:hAnsi="Times New Roman" w:eastAsia="宋体" w:cs="Times New Roman"/>
          <w:sz w:val="21"/>
          <w:szCs w:val="21"/>
          <w:highlight w:val="none"/>
          <w:lang w:val="en-US" w:eastAsia="zh-CN" w:bidi="ar-SA"/>
        </w:rPr>
        <w:t>；</w:t>
      </w:r>
    </w:p>
    <w:p w14:paraId="4864B4B7">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风压不超过</w:t>
      </w:r>
      <w:r>
        <w:rPr>
          <w:rFonts w:ascii="Times New Roman" w:hAnsi="Times New Roman" w:eastAsia="宋体" w:cs="Times New Roman"/>
          <w:sz w:val="21"/>
          <w:szCs w:val="21"/>
          <w:highlight w:val="none"/>
          <w:lang w:val="en-US" w:eastAsia="zh-CN" w:bidi="ar-SA"/>
        </w:rPr>
        <w:t>0.7 kPa</w:t>
      </w:r>
      <w:r>
        <w:rPr>
          <w:rFonts w:hint="eastAsia" w:ascii="Times New Roman" w:hAnsi="Times New Roman" w:eastAsia="宋体" w:cs="Times New Roman"/>
          <w:sz w:val="21"/>
          <w:szCs w:val="21"/>
          <w:highlight w:val="none"/>
          <w:lang w:val="en-US" w:eastAsia="zh-CN" w:bidi="ar-SA"/>
        </w:rPr>
        <w:t>（相当于风速为</w:t>
      </w:r>
      <w:r>
        <w:rPr>
          <w:rFonts w:ascii="Times New Roman" w:hAnsi="Times New Roman" w:eastAsia="宋体" w:cs="Times New Roman"/>
          <w:sz w:val="21"/>
          <w:szCs w:val="21"/>
          <w:highlight w:val="none"/>
          <w:lang w:val="en-US" w:eastAsia="zh-CN" w:bidi="ar-SA"/>
        </w:rPr>
        <w:t>34 m/s</w:t>
      </w:r>
      <w:r>
        <w:rPr>
          <w:rFonts w:hint="eastAsia" w:ascii="Times New Roman" w:hAnsi="Times New Roman" w:eastAsia="宋体" w:cs="Times New Roman"/>
          <w:sz w:val="21"/>
          <w:szCs w:val="21"/>
          <w:highlight w:val="none"/>
          <w:lang w:val="en-US" w:eastAsia="zh-CN" w:bidi="ar-SA"/>
        </w:rPr>
        <w:t>）</w:t>
      </w:r>
      <w:r>
        <w:rPr>
          <w:rFonts w:ascii="Times New Roman" w:hAnsi="Times New Roman" w:eastAsia="宋体" w:cs="Times New Roman"/>
          <w:sz w:val="21"/>
          <w:szCs w:val="21"/>
          <w:highlight w:val="none"/>
          <w:lang w:val="en-US" w:eastAsia="zh-CN" w:bidi="ar-SA"/>
        </w:rPr>
        <w:t>；</w:t>
      </w:r>
    </w:p>
    <w:p w14:paraId="12B2426E">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应考虑出现凝露或降水</w:t>
      </w:r>
      <w:r>
        <w:rPr>
          <w:rFonts w:ascii="Times New Roman" w:hAnsi="Times New Roman" w:eastAsia="宋体" w:cs="Times New Roman"/>
          <w:sz w:val="21"/>
          <w:szCs w:val="21"/>
          <w:highlight w:val="none"/>
          <w:lang w:val="en-US" w:eastAsia="zh-CN" w:bidi="ar-SA"/>
        </w:rPr>
        <w:t>；</w:t>
      </w:r>
    </w:p>
    <w:p w14:paraId="7F25BAD0">
      <w:pPr>
        <w:numPr>
          <w:ilvl w:val="0"/>
          <w:numId w:val="31"/>
        </w:numPr>
        <w:ind w:left="839" w:right="420" w:rightChars="200" w:hanging="419" w:firstLineChars="0"/>
        <w:jc w:val="both"/>
        <w:rPr>
          <w:rFonts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覆冰厚度不超过</w:t>
      </w:r>
      <w:r>
        <w:rPr>
          <w:rFonts w:ascii="Times New Roman" w:hAnsi="Times New Roman" w:eastAsia="宋体" w:cs="Times New Roman"/>
          <w:sz w:val="21"/>
          <w:szCs w:val="21"/>
          <w:highlight w:val="none"/>
          <w:lang w:val="en-US" w:eastAsia="zh-CN" w:bidi="ar-SA"/>
        </w:rPr>
        <w:t>20 mm。</w:t>
      </w:r>
    </w:p>
    <w:p w14:paraId="47A28940">
      <w:pPr>
        <w:ind w:firstLine="407" w:firstLineChars="194"/>
        <w:jc w:val="both"/>
        <w:rPr>
          <w:rFonts w:ascii="Times New Roman" w:hAnsi="Times New Roman" w:eastAsia="宋体" w:cs="Times New Roman"/>
          <w:sz w:val="21"/>
          <w:szCs w:val="21"/>
          <w:highlight w:val="none"/>
          <w:lang w:val="en-US" w:eastAsia="zh-CN" w:bidi="ar-SA"/>
        </w:rPr>
      </w:pPr>
    </w:p>
    <w:p w14:paraId="0495E0D1">
      <w:pPr>
        <w:pStyle w:val="260"/>
        <w:bidi w:val="0"/>
        <w:ind w:left="710" w:leftChars="0" w:hanging="710" w:firstLineChars="0"/>
        <w:rPr>
          <w:highlight w:val="none"/>
          <w:lang w:val="en-US" w:eastAsia="zh-CN"/>
        </w:rPr>
      </w:pPr>
      <w:bookmarkStart w:id="90" w:name="_Toc170918022"/>
      <w:bookmarkStart w:id="91" w:name="_Toc2845"/>
      <w:bookmarkStart w:id="92" w:name="_Toc27021"/>
      <w:bookmarkStart w:id="93" w:name="_Toc6525"/>
      <w:bookmarkStart w:id="94" w:name="_Toc25697"/>
      <w:r>
        <w:rPr>
          <w:highlight w:val="none"/>
          <w:lang w:val="en-US" w:eastAsia="zh-CN"/>
        </w:rPr>
        <w:t>特殊使用条件</w:t>
      </w:r>
      <w:bookmarkEnd w:id="90"/>
      <w:bookmarkEnd w:id="91"/>
      <w:bookmarkEnd w:id="92"/>
      <w:bookmarkEnd w:id="93"/>
      <w:bookmarkEnd w:id="94"/>
      <w:bookmarkStart w:id="95" w:name="pindex209"/>
      <w:bookmarkEnd w:id="95"/>
    </w:p>
    <w:p w14:paraId="293FC6A6">
      <w:pPr>
        <w:pStyle w:val="261"/>
        <w:bidi w:val="0"/>
        <w:ind w:left="142" w:leftChars="0" w:hanging="142" w:firstLineChars="0"/>
        <w:rPr>
          <w:highlight w:val="none"/>
          <w:lang w:val="en-US" w:eastAsia="zh-CN"/>
        </w:rPr>
      </w:pPr>
      <w:r>
        <w:rPr>
          <w:highlight w:val="none"/>
          <w:lang w:val="en-US" w:eastAsia="zh-CN"/>
        </w:rPr>
        <w:t>环境温度</w:t>
      </w:r>
      <w:bookmarkStart w:id="96" w:name="pindex210"/>
      <w:bookmarkEnd w:id="96"/>
    </w:p>
    <w:p w14:paraId="068F89D6">
      <w:pPr>
        <w:ind w:left="0" w:leftChars="0" w:firstLine="407" w:firstLineChars="194"/>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安装地点的环境温度超出4.1.1所列的正常使用条件范围时，</w:t>
      </w:r>
      <w:r>
        <w:rPr>
          <w:rFonts w:hint="eastAsia" w:ascii="Times New Roman" w:hAnsi="Times New Roman" w:eastAsia="宋体" w:cs="Times New Roman"/>
          <w:sz w:val="21"/>
          <w:highlight w:val="none"/>
          <w:lang w:val="en-US" w:eastAsia="zh-CN" w:bidi="ar-SA"/>
        </w:rPr>
        <w:t>优先考虑的最低和最高温度范围应规定为：</w:t>
      </w:r>
    </w:p>
    <w:p w14:paraId="748D04AA">
      <w:pPr>
        <w:numPr>
          <w:ilvl w:val="0"/>
          <w:numId w:val="32"/>
        </w:numPr>
        <w:ind w:left="839" w:leftChars="0" w:hanging="419" w:firstLineChars="0"/>
        <w:jc w:val="both"/>
        <w:rPr>
          <w:rFonts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特别寒冷的气候：-50℃～40℃；</w:t>
      </w:r>
    </w:p>
    <w:p w14:paraId="700A9660">
      <w:pPr>
        <w:numPr>
          <w:ilvl w:val="0"/>
          <w:numId w:val="32"/>
        </w:numPr>
        <w:ind w:left="839" w:leftChars="0" w:hanging="419" w:firstLineChars="0"/>
        <w:jc w:val="both"/>
        <w:rPr>
          <w:rFonts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特别炎热的气候：-5℃～50℃。</w:t>
      </w:r>
    </w:p>
    <w:p w14:paraId="04273842">
      <w:pPr>
        <w:ind w:left="0" w:leftChars="0" w:firstLine="349" w:firstLineChars="194"/>
        <w:jc w:val="both"/>
        <w:rPr>
          <w:rFonts w:ascii="Times New Roman" w:hAnsi="Times New Roman" w:eastAsia="宋体" w:cs="Times New Roman"/>
          <w:sz w:val="21"/>
          <w:highlight w:val="none"/>
          <w:lang w:val="en-US" w:eastAsia="zh-CN" w:bidi="ar-SA"/>
        </w:rPr>
      </w:pPr>
      <w:r>
        <w:rPr>
          <w:rFonts w:hint="eastAsia" w:ascii="黑体" w:hAnsi="Times New Roman" w:eastAsia="黑体" w:cs="Times New Roman"/>
          <w:sz w:val="18"/>
          <w:highlight w:val="none"/>
          <w:lang w:val="en-US" w:eastAsia="zh-CN" w:bidi="ar-SA"/>
        </w:rPr>
        <w:t>注1：</w:t>
      </w:r>
      <w:r>
        <w:rPr>
          <w:rFonts w:hint="eastAsia" w:ascii="宋体" w:hAnsi="Times New Roman" w:eastAsia="宋体" w:cs="Times New Roman"/>
          <w:sz w:val="18"/>
          <w:highlight w:val="none"/>
          <w:lang w:val="en-US" w:eastAsia="zh-CN" w:bidi="ar-SA"/>
        </w:rPr>
        <w:t>上述环境温度指设备附近的大气温度，因太阳日照引起的设备温升需另外考虑；</w:t>
      </w:r>
    </w:p>
    <w:p w14:paraId="52299A90">
      <w:pPr>
        <w:ind w:left="0" w:leftChars="0" w:firstLine="349" w:firstLineChars="194"/>
        <w:jc w:val="both"/>
        <w:rPr>
          <w:rFonts w:hint="eastAsia" w:ascii="宋体" w:hAnsi="Times New Roman" w:eastAsia="宋体" w:cs="Times New Roman"/>
          <w:sz w:val="18"/>
          <w:highlight w:val="none"/>
          <w:lang w:val="en-US" w:eastAsia="zh-CN" w:bidi="ar-SA"/>
        </w:rPr>
      </w:pPr>
      <w:r>
        <w:rPr>
          <w:rFonts w:hint="eastAsia" w:ascii="黑体" w:hAnsi="Times New Roman" w:eastAsia="黑体" w:cs="Times New Roman"/>
          <w:sz w:val="18"/>
          <w:highlight w:val="none"/>
          <w:lang w:val="en-US" w:eastAsia="zh-CN" w:bidi="ar-SA"/>
        </w:rPr>
        <w:t>注2：</w:t>
      </w:r>
      <w:r>
        <w:rPr>
          <w:rFonts w:hint="eastAsia" w:ascii="宋体" w:hAnsi="Times New Roman" w:eastAsia="宋体" w:cs="Times New Roman"/>
          <w:sz w:val="18"/>
          <w:highlight w:val="none"/>
          <w:lang w:val="en-US" w:eastAsia="zh-CN" w:bidi="ar-SA"/>
        </w:rPr>
        <w:t>当环境温度超出以上温度范围的，由供需双方协商。</w:t>
      </w:r>
    </w:p>
    <w:p w14:paraId="754E6749">
      <w:pPr>
        <w:ind w:left="0" w:leftChars="0" w:firstLine="407" w:firstLineChars="194"/>
        <w:jc w:val="both"/>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21"/>
          <w:highlight w:val="none"/>
          <w:lang w:val="en-US" w:eastAsia="zh-CN" w:bidi="ar-SA"/>
        </w:rPr>
        <w:t>。</w:t>
      </w:r>
    </w:p>
    <w:p w14:paraId="62351543">
      <w:pPr>
        <w:pStyle w:val="261"/>
        <w:bidi w:val="0"/>
        <w:ind w:left="142" w:leftChars="0" w:hanging="142" w:firstLineChars="0"/>
        <w:rPr>
          <w:highlight w:val="none"/>
          <w:lang w:val="en-US" w:eastAsia="zh-CN"/>
        </w:rPr>
      </w:pPr>
      <w:r>
        <w:rPr>
          <w:highlight w:val="none"/>
          <w:lang w:val="en-US" w:eastAsia="zh-CN"/>
        </w:rPr>
        <w:t>海拔</w:t>
      </w:r>
      <w:bookmarkStart w:id="97" w:name="pindex212"/>
      <w:bookmarkEnd w:id="97"/>
    </w:p>
    <w:p w14:paraId="6A652D35">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海拔超过1000 m时，电压互感器外绝缘</w:t>
      </w:r>
      <w:r>
        <w:rPr>
          <w:rFonts w:hint="eastAsia" w:cs="Times New Roman"/>
          <w:sz w:val="21"/>
          <w:highlight w:val="none"/>
          <w:lang w:val="en-US" w:eastAsia="zh-CN" w:bidi="ar-SA"/>
        </w:rPr>
        <w:t>水平应按照GB 311.1进行修正</w:t>
      </w:r>
      <w:r>
        <w:rPr>
          <w:rFonts w:ascii="Times New Roman" w:hAnsi="Times New Roman" w:eastAsia="宋体" w:cs="Times New Roman"/>
          <w:sz w:val="21"/>
          <w:highlight w:val="none"/>
          <w:lang w:val="en-US" w:eastAsia="zh-CN" w:bidi="ar-SA"/>
        </w:rPr>
        <w:t>。</w:t>
      </w:r>
    </w:p>
    <w:p w14:paraId="51530F31">
      <w:pPr>
        <w:pStyle w:val="261"/>
        <w:bidi w:val="0"/>
        <w:ind w:left="142" w:leftChars="0" w:hanging="142" w:firstLineChars="0"/>
        <w:rPr>
          <w:highlight w:val="none"/>
          <w:lang w:val="en-US" w:eastAsia="zh-CN"/>
        </w:rPr>
      </w:pPr>
      <w:r>
        <w:rPr>
          <w:highlight w:val="none"/>
          <w:lang w:val="en-US" w:eastAsia="zh-CN"/>
        </w:rPr>
        <w:t>振动</w:t>
      </w:r>
      <w:bookmarkStart w:id="98" w:name="pindex214"/>
      <w:bookmarkEnd w:id="98"/>
    </w:p>
    <w:p w14:paraId="1732788A">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开关操作或短路电动力可引发振动。</w:t>
      </w:r>
    </w:p>
    <w:p w14:paraId="25C0E74D">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组装在其他设备（</w:t>
      </w:r>
      <w:r>
        <w:rPr>
          <w:rFonts w:ascii="Times New Roman" w:hAnsi="Times New Roman" w:eastAsia="宋体" w:cs="Times New Roman"/>
          <w:sz w:val="21"/>
          <w:szCs w:val="22"/>
          <w:highlight w:val="none"/>
          <w:lang w:val="en-US" w:eastAsia="zh-CN" w:bidi="ar-SA"/>
        </w:rPr>
        <w:t>组合电器</w:t>
      </w:r>
      <w:r>
        <w:rPr>
          <w:rFonts w:ascii="Times New Roman" w:hAnsi="Times New Roman" w:eastAsia="宋体" w:cs="Times New Roman"/>
          <w:sz w:val="21"/>
          <w:highlight w:val="none"/>
          <w:lang w:val="en-US" w:eastAsia="zh-CN" w:bidi="ar-SA"/>
        </w:rPr>
        <w:t>或空气绝缘变电站）内的电压互感器，应考虑该设备产生的振动。</w:t>
      </w:r>
    </w:p>
    <w:p w14:paraId="5AE26B49">
      <w:pPr>
        <w:pStyle w:val="261"/>
        <w:bidi w:val="0"/>
        <w:ind w:left="142" w:leftChars="0" w:hanging="142" w:firstLineChars="0"/>
        <w:rPr>
          <w:highlight w:val="none"/>
          <w:lang w:val="en-US" w:eastAsia="zh-CN"/>
        </w:rPr>
      </w:pPr>
      <w:r>
        <w:rPr>
          <w:highlight w:val="none"/>
          <w:lang w:val="en-US" w:eastAsia="zh-CN"/>
        </w:rPr>
        <w:t>地震</w:t>
      </w:r>
      <w:bookmarkStart w:id="99" w:name="pindex217"/>
      <w:bookmarkEnd w:id="99"/>
    </w:p>
    <w:p w14:paraId="6D8034DE">
      <w:pPr>
        <w:ind w:firstLine="420" w:firstLineChars="200"/>
        <w:rPr>
          <w:rFonts w:ascii="Times New Roman" w:hAnsi="Times New Roman" w:eastAsia="宋体" w:cs="Times New Roman"/>
          <w:highlight w:val="none"/>
        </w:rPr>
      </w:pPr>
      <w:r>
        <w:rPr>
          <w:rFonts w:hint="eastAsia" w:cs="Times New Roman"/>
          <w:szCs w:val="21"/>
          <w:highlight w:val="none"/>
          <w:lang w:val="en-US" w:eastAsia="zh-CN"/>
        </w:rPr>
        <w:t>抗震水平及试验应满足</w:t>
      </w:r>
      <w:r>
        <w:rPr>
          <w:rFonts w:ascii="Times New Roman" w:hAnsi="Times New Roman" w:eastAsia="宋体" w:cs="Times New Roman"/>
          <w:highlight w:val="none"/>
        </w:rPr>
        <w:t>GB 50260和GB/T 13540</w:t>
      </w:r>
      <w:r>
        <w:rPr>
          <w:rFonts w:hint="eastAsia" w:cs="Times New Roman"/>
          <w:highlight w:val="none"/>
          <w:lang w:val="en-US" w:eastAsia="zh-CN"/>
        </w:rPr>
        <w:t>的要求</w:t>
      </w:r>
      <w:r>
        <w:rPr>
          <w:rFonts w:ascii="Times New Roman" w:hAnsi="Times New Roman" w:eastAsia="宋体" w:cs="Times New Roman"/>
          <w:highlight w:val="none"/>
        </w:rPr>
        <w:t>。</w:t>
      </w:r>
    </w:p>
    <w:p w14:paraId="6DA3CEB6">
      <w:pPr>
        <w:pStyle w:val="259"/>
        <w:bidi w:val="0"/>
        <w:ind w:left="0" w:leftChars="0" w:firstLine="0" w:firstLineChars="0"/>
        <w:rPr>
          <w:highlight w:val="none"/>
          <w:lang w:val="en-US" w:eastAsia="zh-CN"/>
        </w:rPr>
      </w:pPr>
      <w:bookmarkStart w:id="100" w:name="_Toc289677003"/>
      <w:bookmarkStart w:id="101" w:name="_Toc279248603"/>
      <w:bookmarkStart w:id="102" w:name="_Toc279244618"/>
      <w:bookmarkStart w:id="103" w:name="_Toc287623642"/>
      <w:bookmarkStart w:id="104" w:name="_Toc279246775"/>
      <w:bookmarkStart w:id="105" w:name="_Toc289698027"/>
      <w:bookmarkStart w:id="106" w:name="_Toc279249669"/>
      <w:bookmarkStart w:id="107" w:name="_Toc262827039"/>
      <w:bookmarkStart w:id="108" w:name="_Toc170918023"/>
      <w:bookmarkStart w:id="109" w:name="_Toc25003"/>
      <w:bookmarkStart w:id="110" w:name="_Toc25984"/>
      <w:bookmarkStart w:id="111" w:name="_Toc16733"/>
      <w:bookmarkStart w:id="112" w:name="_Toc31262"/>
      <w:bookmarkStart w:id="113" w:name="_Toc2080"/>
      <w:bookmarkStart w:id="114" w:name="_Toc287623605"/>
      <w:r>
        <w:rPr>
          <w:highlight w:val="none"/>
          <w:lang w:val="en-US" w:eastAsia="zh-CN"/>
        </w:rPr>
        <w:t>基本分类</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5" w:name="pindex219"/>
      <w:bookmarkEnd w:id="115"/>
    </w:p>
    <w:p w14:paraId="6E7151CC">
      <w:pPr>
        <w:ind w:firstLine="420" w:firstLineChars="200"/>
        <w:rPr>
          <w:rFonts w:ascii="宋体" w:hAnsi="宋体" w:eastAsia="宋体" w:cs="Times New Roman"/>
          <w:sz w:val="18"/>
          <w:szCs w:val="18"/>
          <w:highlight w:val="none"/>
        </w:rPr>
      </w:pPr>
      <w:r>
        <w:rPr>
          <w:rFonts w:ascii="宋体" w:hAnsi="宋体" w:eastAsia="宋体" w:cs="Times New Roman"/>
          <w:szCs w:val="21"/>
          <w:highlight w:val="none"/>
        </w:rPr>
        <w:t>电</w:t>
      </w:r>
      <w:r>
        <w:rPr>
          <w:rFonts w:hint="eastAsia" w:ascii="宋体" w:hAnsi="宋体" w:eastAsia="宋体" w:cs="Times New Roman"/>
          <w:szCs w:val="21"/>
          <w:highlight w:val="none"/>
        </w:rPr>
        <w:t>压</w:t>
      </w:r>
      <w:r>
        <w:rPr>
          <w:rFonts w:ascii="宋体" w:hAnsi="宋体" w:eastAsia="宋体" w:cs="Times New Roman"/>
          <w:szCs w:val="21"/>
          <w:highlight w:val="none"/>
        </w:rPr>
        <w:t>互感器的</w:t>
      </w:r>
      <w:r>
        <w:rPr>
          <w:rFonts w:hint="eastAsia" w:ascii="宋体" w:hAnsi="宋体" w:eastAsia="宋体" w:cs="Times New Roman"/>
          <w:szCs w:val="21"/>
          <w:highlight w:val="none"/>
        </w:rPr>
        <w:t>基本</w:t>
      </w:r>
      <w:r>
        <w:rPr>
          <w:rFonts w:ascii="宋体" w:hAnsi="宋体" w:eastAsia="宋体" w:cs="Times New Roman"/>
          <w:szCs w:val="21"/>
          <w:highlight w:val="none"/>
        </w:rPr>
        <w:t>分类</w:t>
      </w:r>
      <w:r>
        <w:rPr>
          <w:rFonts w:hint="eastAsia" w:ascii="宋体" w:hAnsi="宋体" w:eastAsia="宋体" w:cs="Times New Roman"/>
          <w:szCs w:val="21"/>
          <w:highlight w:val="none"/>
        </w:rPr>
        <w:t>见</w:t>
      </w:r>
      <w:r>
        <w:rPr>
          <w:rFonts w:ascii="宋体" w:hAnsi="宋体" w:eastAsia="宋体" w:cs="Times New Roman"/>
          <w:szCs w:val="21"/>
          <w:highlight w:val="none"/>
        </w:rPr>
        <w:t>表</w:t>
      </w:r>
      <w:r>
        <w:rPr>
          <w:rFonts w:hint="eastAsia" w:ascii="Times New Roman" w:hAnsi="Times New Roman" w:eastAsia="宋体" w:cs="Times New Roman"/>
          <w:szCs w:val="21"/>
          <w:highlight w:val="none"/>
        </w:rPr>
        <w:t>2</w:t>
      </w:r>
      <w:r>
        <w:rPr>
          <w:rFonts w:ascii="宋体" w:hAnsi="宋体" w:eastAsia="宋体" w:cs="Times New Roman"/>
          <w:szCs w:val="21"/>
          <w:highlight w:val="none"/>
        </w:rPr>
        <w:t>。</w:t>
      </w:r>
    </w:p>
    <w:p w14:paraId="208C432A">
      <w:pPr>
        <w:numPr>
          <w:ilvl w:val="0"/>
          <w:numId w:val="0"/>
        </w:numPr>
        <w:tabs>
          <w:tab w:val="left" w:pos="360"/>
        </w:tabs>
        <w:spacing w:before="156" w:beforeLines="50" w:after="156" w:afterLines="50"/>
        <w:jc w:val="center"/>
        <w:rPr>
          <w:rFonts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表2</w:t>
      </w:r>
      <w:r>
        <w:rPr>
          <w:rFonts w:ascii="黑体" w:hAnsi="Times New Roman" w:eastAsia="黑体" w:cs="Times New Roman"/>
          <w:sz w:val="21"/>
          <w:szCs w:val="21"/>
          <w:highlight w:val="none"/>
          <w:lang w:val="en-US" w:eastAsia="zh-CN" w:bidi="ar-SA"/>
        </w:rPr>
        <w:t xml:space="preserve"> </w:t>
      </w:r>
      <w:r>
        <w:rPr>
          <w:rFonts w:hint="eastAsia" w:ascii="黑体" w:hAnsi="Times New Roman" w:eastAsia="黑体" w:cs="Times New Roman"/>
          <w:sz w:val="21"/>
          <w:szCs w:val="21"/>
          <w:highlight w:val="none"/>
          <w:lang w:val="en-US" w:eastAsia="zh-CN" w:bidi="ar-SA"/>
        </w:rPr>
        <w:t>电压互感器的基本分类</w:t>
      </w:r>
      <w:bookmarkStart w:id="116" w:name="pindex221"/>
      <w:bookmarkEnd w:id="116"/>
    </w:p>
    <w:tbl>
      <w:tblPr>
        <w:tblStyle w:val="8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7524"/>
      </w:tblGrid>
      <w:tr w14:paraId="1ED0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5269F3E0">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使用场所</w:t>
            </w:r>
          </w:p>
        </w:tc>
        <w:tc>
          <w:tcPr>
            <w:tcW w:w="3930" w:type="pct"/>
            <w:noWrap w:val="0"/>
            <w:vAlign w:val="top"/>
          </w:tcPr>
          <w:p w14:paraId="197D75B8">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户内、户外</w:t>
            </w:r>
          </w:p>
        </w:tc>
      </w:tr>
      <w:tr w14:paraId="6054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61C38290">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安装位置</w:t>
            </w:r>
          </w:p>
        </w:tc>
        <w:tc>
          <w:tcPr>
            <w:tcW w:w="3930" w:type="pct"/>
            <w:noWrap w:val="0"/>
            <w:vAlign w:val="top"/>
          </w:tcPr>
          <w:p w14:paraId="34BC226E">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空气绝缘变电站（AIS）、</w:t>
            </w:r>
            <w:r>
              <w:rPr>
                <w:rFonts w:hint="eastAsia" w:cs="Times New Roman"/>
                <w:sz w:val="18"/>
                <w:szCs w:val="21"/>
                <w:highlight w:val="none"/>
                <w:lang w:val="en-US" w:eastAsia="zh-CN"/>
              </w:rPr>
              <w:t>气体绝缘变电站</w:t>
            </w:r>
            <w:r>
              <w:rPr>
                <w:rFonts w:hint="eastAsia" w:cs="Times New Roman"/>
                <w:sz w:val="18"/>
                <w:szCs w:val="21"/>
                <w:highlight w:val="none"/>
                <w:lang w:eastAsia="zh-CN"/>
              </w:rPr>
              <w:t>（</w:t>
            </w:r>
            <w:r>
              <w:rPr>
                <w:rFonts w:hint="eastAsia" w:cs="Times New Roman"/>
                <w:sz w:val="18"/>
                <w:szCs w:val="21"/>
                <w:highlight w:val="none"/>
                <w:lang w:val="en-US" w:eastAsia="zh-CN"/>
              </w:rPr>
              <w:t>GIS</w:t>
            </w:r>
            <w:r>
              <w:rPr>
                <w:rFonts w:hint="eastAsia" w:cs="Times New Roman"/>
                <w:sz w:val="18"/>
                <w:szCs w:val="21"/>
                <w:highlight w:val="none"/>
                <w:lang w:eastAsia="zh-CN"/>
              </w:rPr>
              <w:t>）</w:t>
            </w:r>
            <w:r>
              <w:rPr>
                <w:rFonts w:ascii="Times New Roman" w:hAnsi="Times New Roman" w:eastAsia="宋体" w:cs="Times New Roman"/>
                <w:sz w:val="18"/>
                <w:szCs w:val="21"/>
                <w:highlight w:val="none"/>
              </w:rPr>
              <w:t>、开关柜、其他</w:t>
            </w:r>
          </w:p>
        </w:tc>
      </w:tr>
      <w:tr w14:paraId="430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603FD5BE">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接线方式</w:t>
            </w:r>
          </w:p>
        </w:tc>
        <w:tc>
          <w:tcPr>
            <w:tcW w:w="3930" w:type="pct"/>
            <w:noWrap w:val="0"/>
            <w:vAlign w:val="top"/>
          </w:tcPr>
          <w:p w14:paraId="1B2CEE34">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相对相、相对地</w:t>
            </w:r>
          </w:p>
        </w:tc>
      </w:tr>
      <w:tr w14:paraId="63F2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5BF596B6">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用    途</w:t>
            </w:r>
          </w:p>
        </w:tc>
        <w:tc>
          <w:tcPr>
            <w:tcW w:w="3930" w:type="pct"/>
            <w:noWrap w:val="0"/>
            <w:vAlign w:val="top"/>
          </w:tcPr>
          <w:p w14:paraId="1F6D7769">
            <w:pPr>
              <w:autoSpaceDE w:val="0"/>
              <w:autoSpaceDN w:val="0"/>
              <w:jc w:val="center"/>
              <w:rPr>
                <w:rFonts w:ascii="Times New Roman" w:hAnsi="Times New Roman" w:eastAsia="宋体" w:cs="Times New Roman"/>
                <w:sz w:val="18"/>
                <w:szCs w:val="21"/>
                <w:highlight w:val="none"/>
              </w:rPr>
            </w:pPr>
            <w:r>
              <w:rPr>
                <w:rFonts w:hint="eastAsia" w:cs="Times New Roman"/>
                <w:sz w:val="18"/>
                <w:szCs w:val="21"/>
                <w:highlight w:val="none"/>
                <w:lang w:val="en-US" w:eastAsia="zh-CN"/>
              </w:rPr>
              <w:t>计量用、</w:t>
            </w:r>
            <w:r>
              <w:rPr>
                <w:rFonts w:ascii="Times New Roman" w:hAnsi="Times New Roman" w:eastAsia="宋体" w:cs="Times New Roman"/>
                <w:sz w:val="18"/>
                <w:szCs w:val="21"/>
                <w:highlight w:val="none"/>
              </w:rPr>
              <w:t>测量用、保护用</w:t>
            </w:r>
          </w:p>
        </w:tc>
      </w:tr>
      <w:tr w14:paraId="3186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6C888AF8">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结构型式</w:t>
            </w:r>
          </w:p>
        </w:tc>
        <w:tc>
          <w:tcPr>
            <w:tcW w:w="3930" w:type="pct"/>
            <w:noWrap w:val="0"/>
            <w:vAlign w:val="top"/>
          </w:tcPr>
          <w:p w14:paraId="200062DC">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单级式、串级式</w:t>
            </w:r>
          </w:p>
        </w:tc>
      </w:tr>
      <w:tr w14:paraId="3311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14:paraId="1E83FFA7">
            <w:pPr>
              <w:autoSpaceDE w:val="0"/>
              <w:autoSpaceDN w:val="0"/>
              <w:jc w:val="center"/>
              <w:rPr>
                <w:rFonts w:ascii="Times New Roman" w:hAnsi="Times New Roman" w:eastAsia="宋体" w:cs="Times New Roman"/>
                <w:sz w:val="18"/>
                <w:szCs w:val="21"/>
                <w:highlight w:val="none"/>
              </w:rPr>
            </w:pPr>
            <w:r>
              <w:rPr>
                <w:rFonts w:ascii="Times New Roman" w:hAnsi="Times New Roman" w:eastAsia="宋体" w:cs="Times New Roman"/>
                <w:sz w:val="18"/>
                <w:szCs w:val="21"/>
                <w:highlight w:val="none"/>
              </w:rPr>
              <w:t>绝缘介质种类</w:t>
            </w:r>
          </w:p>
        </w:tc>
        <w:tc>
          <w:tcPr>
            <w:tcW w:w="3930" w:type="pct"/>
            <w:noWrap w:val="0"/>
            <w:vAlign w:val="top"/>
          </w:tcPr>
          <w:p w14:paraId="51E3FE09">
            <w:pPr>
              <w:autoSpaceDE w:val="0"/>
              <w:autoSpaceDN w:val="0"/>
              <w:jc w:val="center"/>
              <w:rPr>
                <w:rFonts w:ascii="Times New Roman" w:hAnsi="Times New Roman" w:eastAsia="宋体" w:cs="Times New Roman"/>
                <w:sz w:val="18"/>
                <w:szCs w:val="21"/>
                <w:highlight w:val="none"/>
              </w:rPr>
            </w:pPr>
            <w:bookmarkStart w:id="117" w:name="bkReivew3063430"/>
            <w:r>
              <w:rPr>
                <w:rFonts w:ascii="Times New Roman" w:hAnsi="Times New Roman" w:eastAsia="宋体" w:cs="Times New Roman"/>
                <w:color w:val="auto"/>
                <w:sz w:val="18"/>
                <w:szCs w:val="21"/>
                <w:highlight w:val="none"/>
              </w:rPr>
              <w:t>油纸</w:t>
            </w:r>
            <w:bookmarkEnd w:id="117"/>
            <w:r>
              <w:rPr>
                <w:rFonts w:ascii="Times New Roman" w:hAnsi="Times New Roman" w:eastAsia="宋体" w:cs="Times New Roman"/>
                <w:sz w:val="18"/>
                <w:szCs w:val="21"/>
                <w:highlight w:val="none"/>
              </w:rPr>
              <w:t>、气体、树脂</w:t>
            </w:r>
          </w:p>
        </w:tc>
      </w:tr>
    </w:tbl>
    <w:p w14:paraId="5DB68911">
      <w:pPr>
        <w:pStyle w:val="259"/>
        <w:bidi w:val="0"/>
        <w:ind w:left="0" w:leftChars="0" w:firstLine="0" w:firstLineChars="0"/>
        <w:rPr>
          <w:highlight w:val="none"/>
          <w:lang w:val="en-US" w:eastAsia="zh-CN"/>
        </w:rPr>
      </w:pPr>
      <w:bookmarkStart w:id="118" w:name="_Toc4239"/>
      <w:bookmarkStart w:id="119" w:name="_Toc21438"/>
      <w:bookmarkStart w:id="120" w:name="_Toc21047"/>
      <w:bookmarkStart w:id="121" w:name="_Toc289677004"/>
      <w:bookmarkStart w:id="122" w:name="_Toc170918024"/>
      <w:bookmarkStart w:id="123" w:name="_Toc289698028"/>
      <w:bookmarkStart w:id="124" w:name="_Toc29372"/>
      <w:bookmarkStart w:id="125" w:name="_Toc5235"/>
      <w:r>
        <w:rPr>
          <w:highlight w:val="none"/>
          <w:lang w:val="en-US" w:eastAsia="zh-CN"/>
        </w:rPr>
        <w:t>技术要求</w:t>
      </w:r>
      <w:bookmarkEnd w:id="118"/>
      <w:bookmarkEnd w:id="119"/>
      <w:bookmarkEnd w:id="120"/>
      <w:bookmarkEnd w:id="121"/>
      <w:bookmarkEnd w:id="122"/>
      <w:bookmarkEnd w:id="123"/>
      <w:bookmarkEnd w:id="124"/>
      <w:bookmarkEnd w:id="125"/>
      <w:bookmarkStart w:id="126" w:name="pindex234"/>
      <w:bookmarkEnd w:id="126"/>
    </w:p>
    <w:p w14:paraId="31974B12">
      <w:pPr>
        <w:pStyle w:val="260"/>
        <w:bidi w:val="0"/>
        <w:ind w:left="710" w:leftChars="0" w:hanging="710" w:firstLineChars="0"/>
        <w:rPr>
          <w:highlight w:val="none"/>
          <w:lang w:val="en-US" w:eastAsia="zh-CN"/>
        </w:rPr>
      </w:pPr>
      <w:bookmarkStart w:id="127" w:name="_Toc14950"/>
      <w:bookmarkStart w:id="128" w:name="_Toc9440"/>
      <w:bookmarkStart w:id="129" w:name="_Toc5120"/>
      <w:bookmarkStart w:id="130" w:name="_Toc19186"/>
      <w:bookmarkStart w:id="131" w:name="_Toc170918025"/>
      <w:r>
        <w:rPr>
          <w:highlight w:val="none"/>
          <w:lang w:val="en-US" w:eastAsia="zh-CN"/>
        </w:rPr>
        <w:t>额定电压及设备最高电压标准值</w:t>
      </w:r>
      <w:bookmarkEnd w:id="127"/>
      <w:bookmarkEnd w:id="128"/>
      <w:bookmarkEnd w:id="129"/>
      <w:bookmarkStart w:id="132" w:name="pindex235"/>
      <w:bookmarkEnd w:id="132"/>
      <w:r>
        <w:rPr>
          <w:highlight w:val="none"/>
          <w:lang w:val="en-US" w:eastAsia="zh-CN"/>
        </w:rPr>
        <w:t>要求</w:t>
      </w:r>
      <w:bookmarkEnd w:id="130"/>
      <w:bookmarkEnd w:id="131"/>
    </w:p>
    <w:p w14:paraId="6E08CDBC">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 xml:space="preserve">额定一次电压、额定二次电压、保护用电压互感器剩余电压绕组额定电压标准值按GB/T 20840.3选取。电压互感器额定电压及设备最高电压标准值见表3。        </w:t>
      </w:r>
      <w:r>
        <w:rPr>
          <w:rFonts w:ascii="Times New Roman" w:hAnsi="Times New Roman" w:eastAsia="宋体" w:cs="Times New Roman"/>
          <w:color w:val="FF0000"/>
          <w:highlight w:val="none"/>
        </w:rPr>
        <w:t xml:space="preserve"> </w:t>
      </w:r>
      <w:r>
        <w:rPr>
          <w:rFonts w:ascii="Times New Roman" w:hAnsi="Times New Roman" w:eastAsia="宋体" w:cs="Times New Roman"/>
          <w:highlight w:val="none"/>
        </w:rPr>
        <w:t xml:space="preserve">                     </w:t>
      </w:r>
    </w:p>
    <w:p w14:paraId="55E5D9BF">
      <w:pPr>
        <w:numPr>
          <w:ilvl w:val="0"/>
          <w:numId w:val="0"/>
        </w:numPr>
        <w:tabs>
          <w:tab w:val="left" w:pos="360"/>
          <w:tab w:val="left" w:pos="4536"/>
        </w:tabs>
        <w:spacing w:before="156" w:beforeLines="50" w:after="156" w:afterLines="50"/>
        <w:jc w:val="center"/>
        <w:rPr>
          <w:rFonts w:ascii="Times New Roman" w:hAnsi="Times New Roman" w:eastAsia="黑体" w:cs="Times New Roman"/>
          <w:sz w:val="21"/>
          <w:szCs w:val="21"/>
          <w:highlight w:val="none"/>
          <w:lang w:val="en-US" w:eastAsia="zh-CN" w:bidi="ar-SA"/>
        </w:rPr>
      </w:pPr>
      <w:r>
        <w:rPr>
          <w:rFonts w:ascii="Times New Roman" w:hAnsi="Times New Roman" w:eastAsia="黑体" w:cs="Times New Roman"/>
          <w:sz w:val="21"/>
          <w:szCs w:val="21"/>
          <w:highlight w:val="none"/>
          <w:lang w:val="en-US" w:eastAsia="zh-CN" w:bidi="ar-SA"/>
        </w:rPr>
        <w:t>表3 电压互感器额定电压及设备最高电压标准值</w:t>
      </w:r>
      <w:bookmarkStart w:id="133" w:name="pindex237"/>
      <w:bookmarkEnd w:id="133"/>
    </w:p>
    <w:p w14:paraId="7EE0D1C3">
      <w:pPr>
        <w:numPr>
          <w:ilvl w:val="0"/>
          <w:numId w:val="0"/>
        </w:numPr>
        <w:tabs>
          <w:tab w:val="left" w:pos="360"/>
        </w:tabs>
        <w:spacing w:before="0" w:beforeLines="0" w:after="0" w:afterLines="0"/>
        <w:ind w:left="2268" w:leftChars="1080" w:firstLine="5243" w:firstLineChars="2913"/>
        <w:jc w:val="right"/>
        <w:rPr>
          <w:rFonts w:ascii="Times New Roman" w:hAnsi="Times New Roman" w:eastAsia="黑体" w:cs="Times New Roman"/>
          <w:sz w:val="21"/>
          <w:szCs w:val="21"/>
          <w:highlight w:val="none"/>
          <w:lang w:val="en-US" w:eastAsia="zh-CN" w:bidi="ar-SA"/>
        </w:rPr>
      </w:pPr>
      <w:r>
        <w:rPr>
          <w:rFonts w:ascii="Times New Roman" w:hAnsi="Times New Roman" w:eastAsia="宋体" w:cs="Times New Roman"/>
          <w:sz w:val="18"/>
          <w:szCs w:val="18"/>
          <w:highlight w:val="none"/>
          <w:lang w:val="en-US" w:eastAsia="zh-CN" w:bidi="ar-SA"/>
        </w:rPr>
        <w:t>单位：kV</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2038"/>
        <w:gridCol w:w="2103"/>
        <w:gridCol w:w="3119"/>
      </w:tblGrid>
      <w:tr w14:paraId="1527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6A74E8C8">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设备最高电压</w:t>
            </w:r>
            <w:r>
              <w:rPr>
                <w:rFonts w:ascii="Times New Roman" w:hAnsi="Times New Roman" w:eastAsia="宋体" w:cs="Times New Roman"/>
                <w:i/>
                <w:iCs/>
                <w:sz w:val="18"/>
                <w:szCs w:val="18"/>
                <w:highlight w:val="none"/>
                <w:lang w:val="en-US" w:eastAsia="zh-CN" w:bidi="ar-SA"/>
              </w:rPr>
              <w:t>U</w:t>
            </w:r>
            <w:r>
              <w:rPr>
                <w:rFonts w:ascii="Times New Roman" w:hAnsi="Times New Roman" w:eastAsia="宋体" w:cs="Times New Roman"/>
                <w:sz w:val="18"/>
                <w:szCs w:val="18"/>
                <w:highlight w:val="none"/>
                <w:vertAlign w:val="subscript"/>
                <w:lang w:val="en-US" w:eastAsia="zh-CN" w:bidi="ar-SA"/>
              </w:rPr>
              <w:t>m</w:t>
            </w:r>
          </w:p>
        </w:tc>
        <w:tc>
          <w:tcPr>
            <w:tcW w:w="1065" w:type="pct"/>
            <w:noWrap w:val="0"/>
            <w:vAlign w:val="center"/>
          </w:tcPr>
          <w:p w14:paraId="30B892C3">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额定一次电压</w:t>
            </w:r>
            <w:r>
              <w:rPr>
                <w:rFonts w:ascii="Times New Roman" w:hAnsi="Times New Roman" w:eastAsia="宋体" w:cs="Times New Roman"/>
                <w:i/>
                <w:iCs/>
                <w:sz w:val="18"/>
                <w:szCs w:val="18"/>
                <w:highlight w:val="none"/>
                <w:lang w:val="en-US" w:eastAsia="zh-CN" w:bidi="ar-SA"/>
              </w:rPr>
              <w:t>U</w:t>
            </w:r>
            <w:r>
              <w:rPr>
                <w:rFonts w:ascii="Times New Roman" w:hAnsi="Times New Roman" w:eastAsia="宋体" w:cs="Times New Roman"/>
                <w:sz w:val="18"/>
                <w:szCs w:val="18"/>
                <w:highlight w:val="none"/>
                <w:vertAlign w:val="subscript"/>
                <w:lang w:val="en-US" w:eastAsia="zh-CN" w:bidi="ar-SA"/>
              </w:rPr>
              <w:t>pr</w:t>
            </w:r>
            <w:r>
              <w:rPr>
                <w:rFonts w:ascii="Times New Roman" w:hAnsi="Times New Roman" w:eastAsia="宋体" w:cs="Times New Roman"/>
                <w:sz w:val="18"/>
                <w:szCs w:val="18"/>
                <w:highlight w:val="none"/>
                <w:lang w:val="en-US" w:eastAsia="zh-CN" w:bidi="ar-SA"/>
              </w:rPr>
              <w:t xml:space="preserve"> </w:t>
            </w:r>
          </w:p>
        </w:tc>
        <w:tc>
          <w:tcPr>
            <w:tcW w:w="1099" w:type="pct"/>
            <w:noWrap w:val="0"/>
            <w:vAlign w:val="center"/>
          </w:tcPr>
          <w:p w14:paraId="211B6F4D">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额定二次电压</w:t>
            </w:r>
            <w:r>
              <w:rPr>
                <w:rFonts w:ascii="Times New Roman" w:hAnsi="Times New Roman" w:eastAsia="宋体" w:cs="Times New Roman"/>
                <w:i/>
                <w:iCs/>
                <w:sz w:val="18"/>
                <w:szCs w:val="18"/>
                <w:highlight w:val="none"/>
                <w:lang w:val="en-US" w:eastAsia="zh-CN" w:bidi="ar-SA"/>
              </w:rPr>
              <w:t>U</w:t>
            </w:r>
            <w:r>
              <w:rPr>
                <w:rFonts w:ascii="Times New Roman" w:hAnsi="Times New Roman" w:eastAsia="宋体" w:cs="Times New Roman"/>
                <w:sz w:val="18"/>
                <w:szCs w:val="18"/>
                <w:highlight w:val="none"/>
                <w:vertAlign w:val="subscript"/>
                <w:lang w:val="en-US" w:eastAsia="zh-CN" w:bidi="ar-SA"/>
              </w:rPr>
              <w:t>sr</w:t>
            </w:r>
            <w:r>
              <w:rPr>
                <w:rFonts w:ascii="Times New Roman" w:hAnsi="Times New Roman" w:eastAsia="宋体" w:cs="Times New Roman"/>
                <w:sz w:val="18"/>
                <w:szCs w:val="18"/>
                <w:highlight w:val="none"/>
                <w:lang w:val="en-US" w:eastAsia="zh-CN" w:bidi="ar-SA"/>
              </w:rPr>
              <w:t xml:space="preserve"> </w:t>
            </w:r>
          </w:p>
        </w:tc>
        <w:tc>
          <w:tcPr>
            <w:tcW w:w="1630" w:type="pct"/>
            <w:noWrap w:val="0"/>
            <w:vAlign w:val="center"/>
          </w:tcPr>
          <w:p w14:paraId="198C2D11">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剩余电压绕组额定电压</w:t>
            </w:r>
            <w:r>
              <w:rPr>
                <w:rFonts w:ascii="Times New Roman" w:hAnsi="Times New Roman" w:eastAsia="宋体" w:cs="Times New Roman"/>
                <w:i/>
                <w:iCs/>
                <w:sz w:val="18"/>
                <w:szCs w:val="18"/>
                <w:highlight w:val="none"/>
                <w:lang w:val="en-US" w:eastAsia="zh-CN" w:bidi="ar-SA"/>
              </w:rPr>
              <w:t>U</w:t>
            </w:r>
            <w:r>
              <w:rPr>
                <w:rFonts w:ascii="Times New Roman" w:hAnsi="Times New Roman" w:eastAsia="宋体" w:cs="Times New Roman"/>
                <w:sz w:val="18"/>
                <w:szCs w:val="18"/>
                <w:highlight w:val="none"/>
                <w:vertAlign w:val="subscript"/>
                <w:lang w:val="en-US" w:eastAsia="zh-CN" w:bidi="ar-SA"/>
              </w:rPr>
              <w:t>dn</w:t>
            </w:r>
            <w:r>
              <w:rPr>
                <w:rFonts w:ascii="Times New Roman" w:hAnsi="Times New Roman" w:eastAsia="宋体" w:cs="Times New Roman"/>
                <w:sz w:val="18"/>
                <w:szCs w:val="18"/>
                <w:highlight w:val="none"/>
                <w:lang w:val="en-US" w:eastAsia="zh-CN" w:bidi="ar-SA"/>
              </w:rPr>
              <w:t xml:space="preserve"> </w:t>
            </w:r>
          </w:p>
        </w:tc>
      </w:tr>
      <w:tr w14:paraId="7A2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476518A8">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12</w:t>
            </w:r>
          </w:p>
        </w:tc>
        <w:tc>
          <w:tcPr>
            <w:tcW w:w="1065" w:type="pct"/>
            <w:noWrap w:val="0"/>
            <w:vAlign w:val="center"/>
          </w:tcPr>
          <w:p w14:paraId="337F6519">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10, 10/</w:t>
            </w:r>
            <w:r>
              <w:rPr>
                <w:rFonts w:ascii="Times New Roman" w:hAnsi="Times New Roman" w:eastAsia="宋体" w:cs="Times New Roman"/>
                <w:position w:val="-8"/>
                <w:sz w:val="18"/>
                <w:szCs w:val="18"/>
                <w:highlight w:val="none"/>
                <w:lang w:val="en-US" w:eastAsia="zh-CN" w:bidi="ar-SA"/>
              </w:rPr>
              <w:object>
                <v:shape id="_x0000_i1025"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25" DrawAspect="Content" ObjectID="_1468075725" r:id="rId16">
                  <o:LockedField>false</o:LockedField>
                </o:OLEObject>
              </w:object>
            </w:r>
          </w:p>
        </w:tc>
        <w:tc>
          <w:tcPr>
            <w:tcW w:w="1099" w:type="pct"/>
            <w:noWrap w:val="0"/>
            <w:vAlign w:val="center"/>
          </w:tcPr>
          <w:p w14:paraId="7722481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 0.1/</w:t>
            </w:r>
            <w:r>
              <w:rPr>
                <w:rFonts w:ascii="Times New Roman" w:hAnsi="Times New Roman" w:eastAsia="宋体" w:cs="Times New Roman"/>
                <w:position w:val="-8"/>
                <w:sz w:val="18"/>
                <w:szCs w:val="18"/>
                <w:highlight w:val="none"/>
                <w:lang w:val="en-US" w:eastAsia="zh-CN" w:bidi="ar-SA"/>
              </w:rPr>
              <w:object>
                <v:shape id="_x0000_i1026"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26" DrawAspect="Content" ObjectID="_1468075726" r:id="rId18">
                  <o:LockedField>false</o:LockedField>
                </o:OLEObject>
              </w:object>
            </w:r>
          </w:p>
        </w:tc>
        <w:tc>
          <w:tcPr>
            <w:tcW w:w="1630" w:type="pct"/>
            <w:noWrap w:val="0"/>
            <w:vAlign w:val="center"/>
          </w:tcPr>
          <w:p w14:paraId="39CF371C">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0.1/3</w:t>
            </w:r>
          </w:p>
        </w:tc>
      </w:tr>
      <w:tr w14:paraId="0D71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3AD4DB80">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24</w:t>
            </w:r>
          </w:p>
        </w:tc>
        <w:tc>
          <w:tcPr>
            <w:tcW w:w="1065" w:type="pct"/>
            <w:noWrap w:val="0"/>
            <w:vAlign w:val="center"/>
          </w:tcPr>
          <w:p w14:paraId="6D92E8B8">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20, 20/</w:t>
            </w:r>
            <w:r>
              <w:rPr>
                <w:rFonts w:ascii="Times New Roman" w:hAnsi="Times New Roman" w:eastAsia="宋体" w:cs="Times New Roman"/>
                <w:position w:val="-8"/>
                <w:sz w:val="18"/>
                <w:szCs w:val="18"/>
                <w:highlight w:val="none"/>
                <w:lang w:val="en-US" w:eastAsia="zh-CN" w:bidi="ar-SA"/>
              </w:rPr>
              <w:object>
                <v:shape id="_x0000_i1027"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27" DrawAspect="Content" ObjectID="_1468075727" r:id="rId19">
                  <o:LockedField>false</o:LockedField>
                </o:OLEObject>
              </w:object>
            </w:r>
          </w:p>
        </w:tc>
        <w:tc>
          <w:tcPr>
            <w:tcW w:w="1099" w:type="pct"/>
            <w:noWrap w:val="0"/>
            <w:vAlign w:val="center"/>
          </w:tcPr>
          <w:p w14:paraId="50839AE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 0.1/</w:t>
            </w:r>
            <w:r>
              <w:rPr>
                <w:rFonts w:ascii="Times New Roman" w:hAnsi="Times New Roman" w:eastAsia="宋体" w:cs="Times New Roman"/>
                <w:position w:val="-8"/>
                <w:sz w:val="18"/>
                <w:szCs w:val="18"/>
                <w:highlight w:val="none"/>
                <w:lang w:val="en-US" w:eastAsia="zh-CN" w:bidi="ar-SA"/>
              </w:rPr>
              <w:object>
                <v:shape id="_x0000_i1028"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28" DrawAspect="Content" ObjectID="_1468075728" r:id="rId20">
                  <o:LockedField>false</o:LockedField>
                </o:OLEObject>
              </w:object>
            </w:r>
          </w:p>
        </w:tc>
        <w:tc>
          <w:tcPr>
            <w:tcW w:w="1630" w:type="pct"/>
            <w:noWrap w:val="0"/>
            <w:vAlign w:val="center"/>
          </w:tcPr>
          <w:p w14:paraId="6FD8DAA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0.1/3</w:t>
            </w:r>
          </w:p>
        </w:tc>
      </w:tr>
      <w:tr w14:paraId="2083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1AAF84B5">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40.5</w:t>
            </w:r>
          </w:p>
        </w:tc>
        <w:tc>
          <w:tcPr>
            <w:tcW w:w="1065" w:type="pct"/>
            <w:noWrap w:val="0"/>
            <w:vAlign w:val="center"/>
          </w:tcPr>
          <w:p w14:paraId="24839096">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35, 35/</w:t>
            </w:r>
            <w:r>
              <w:rPr>
                <w:rFonts w:ascii="Times New Roman" w:hAnsi="Times New Roman" w:eastAsia="宋体" w:cs="Times New Roman"/>
                <w:position w:val="-8"/>
                <w:sz w:val="18"/>
                <w:szCs w:val="18"/>
                <w:highlight w:val="none"/>
                <w:lang w:val="en-US" w:eastAsia="zh-CN" w:bidi="ar-SA"/>
              </w:rPr>
              <w:object>
                <v:shape id="_x0000_i1029"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29" DrawAspect="Content" ObjectID="_1468075729" r:id="rId21">
                  <o:LockedField>false</o:LockedField>
                </o:OLEObject>
              </w:object>
            </w:r>
          </w:p>
        </w:tc>
        <w:tc>
          <w:tcPr>
            <w:tcW w:w="1099" w:type="pct"/>
            <w:noWrap w:val="0"/>
            <w:vAlign w:val="center"/>
          </w:tcPr>
          <w:p w14:paraId="2C1C9A8F">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 0.1/</w:t>
            </w:r>
            <w:r>
              <w:rPr>
                <w:rFonts w:ascii="Times New Roman" w:hAnsi="Times New Roman" w:eastAsia="宋体" w:cs="Times New Roman"/>
                <w:position w:val="-8"/>
                <w:sz w:val="18"/>
                <w:szCs w:val="18"/>
                <w:highlight w:val="none"/>
                <w:lang w:val="en-US" w:eastAsia="zh-CN" w:bidi="ar-SA"/>
              </w:rPr>
              <w:object>
                <v:shape id="_x0000_i1030"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0" DrawAspect="Content" ObjectID="_1468075730" r:id="rId22">
                  <o:LockedField>false</o:LockedField>
                </o:OLEObject>
              </w:object>
            </w:r>
          </w:p>
        </w:tc>
        <w:tc>
          <w:tcPr>
            <w:tcW w:w="1630" w:type="pct"/>
            <w:noWrap w:val="0"/>
            <w:vAlign w:val="center"/>
          </w:tcPr>
          <w:p w14:paraId="67DB7DEB">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0.1/3</w:t>
            </w:r>
          </w:p>
        </w:tc>
      </w:tr>
      <w:tr w14:paraId="3CB1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65A9EEEF">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72.5</w:t>
            </w:r>
          </w:p>
        </w:tc>
        <w:tc>
          <w:tcPr>
            <w:tcW w:w="1065" w:type="pct"/>
            <w:noWrap w:val="0"/>
            <w:vAlign w:val="center"/>
          </w:tcPr>
          <w:p w14:paraId="2DA2F790">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66/</w:t>
            </w:r>
            <w:r>
              <w:rPr>
                <w:rFonts w:ascii="Times New Roman" w:hAnsi="Times New Roman" w:eastAsia="宋体" w:cs="Times New Roman"/>
                <w:position w:val="-8"/>
                <w:sz w:val="18"/>
                <w:szCs w:val="18"/>
                <w:highlight w:val="none"/>
                <w:lang w:val="en-US" w:eastAsia="zh-CN" w:bidi="ar-SA"/>
              </w:rPr>
              <w:object>
                <v:shape id="_x0000_i1031"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1" DrawAspect="Content" ObjectID="_1468075731" r:id="rId23">
                  <o:LockedField>false</o:LockedField>
                </o:OLEObject>
              </w:object>
            </w:r>
          </w:p>
        </w:tc>
        <w:tc>
          <w:tcPr>
            <w:tcW w:w="1099" w:type="pct"/>
            <w:noWrap w:val="0"/>
            <w:vAlign w:val="center"/>
          </w:tcPr>
          <w:p w14:paraId="16DC98D9">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w:t>
            </w:r>
            <w:r>
              <w:rPr>
                <w:rFonts w:ascii="Times New Roman" w:hAnsi="Times New Roman" w:eastAsia="宋体" w:cs="Times New Roman"/>
                <w:position w:val="-8"/>
                <w:sz w:val="18"/>
                <w:szCs w:val="18"/>
                <w:highlight w:val="none"/>
                <w:lang w:val="en-US" w:eastAsia="zh-CN" w:bidi="ar-SA"/>
              </w:rPr>
              <w:object>
                <v:shape id="_x0000_i1032"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2" DrawAspect="Content" ObjectID="_1468075732" r:id="rId24">
                  <o:LockedField>false</o:LockedField>
                </o:OLEObject>
              </w:object>
            </w:r>
          </w:p>
        </w:tc>
        <w:tc>
          <w:tcPr>
            <w:tcW w:w="1630" w:type="pct"/>
            <w:noWrap w:val="0"/>
            <w:vAlign w:val="center"/>
          </w:tcPr>
          <w:p w14:paraId="115EF56C">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0.1/3</w:t>
            </w:r>
          </w:p>
        </w:tc>
      </w:tr>
      <w:tr w14:paraId="4FA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02F96AA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126</w:t>
            </w:r>
          </w:p>
        </w:tc>
        <w:tc>
          <w:tcPr>
            <w:tcW w:w="1065" w:type="pct"/>
            <w:noWrap w:val="0"/>
            <w:vAlign w:val="center"/>
          </w:tcPr>
          <w:p w14:paraId="47D882F9">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110/</w:t>
            </w:r>
            <w:r>
              <w:rPr>
                <w:rFonts w:ascii="Times New Roman" w:hAnsi="Times New Roman" w:eastAsia="宋体" w:cs="Times New Roman"/>
                <w:position w:val="-8"/>
                <w:sz w:val="18"/>
                <w:szCs w:val="18"/>
                <w:highlight w:val="none"/>
                <w:lang w:val="en-US" w:eastAsia="zh-CN" w:bidi="ar-SA"/>
              </w:rPr>
              <w:object>
                <v:shape id="_x0000_i1033"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3" DrawAspect="Content" ObjectID="_1468075733" r:id="rId25">
                  <o:LockedField>false</o:LockedField>
                </o:OLEObject>
              </w:object>
            </w:r>
          </w:p>
        </w:tc>
        <w:tc>
          <w:tcPr>
            <w:tcW w:w="1099" w:type="pct"/>
            <w:noWrap w:val="0"/>
            <w:vAlign w:val="center"/>
          </w:tcPr>
          <w:p w14:paraId="6697601C">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w:t>
            </w:r>
            <w:r>
              <w:rPr>
                <w:rFonts w:ascii="Times New Roman" w:hAnsi="Times New Roman" w:eastAsia="宋体" w:cs="Times New Roman"/>
                <w:position w:val="-8"/>
                <w:sz w:val="18"/>
                <w:szCs w:val="18"/>
                <w:highlight w:val="none"/>
                <w:lang w:val="en-US" w:eastAsia="zh-CN" w:bidi="ar-SA"/>
              </w:rPr>
              <w:object>
                <v:shape id="_x0000_i1034"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4" DrawAspect="Content" ObjectID="_1468075734" r:id="rId26">
                  <o:LockedField>false</o:LockedField>
                </o:OLEObject>
              </w:object>
            </w:r>
          </w:p>
        </w:tc>
        <w:tc>
          <w:tcPr>
            <w:tcW w:w="1630" w:type="pct"/>
            <w:noWrap w:val="0"/>
            <w:vAlign w:val="center"/>
          </w:tcPr>
          <w:p w14:paraId="3B316493">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w:t>
            </w:r>
          </w:p>
        </w:tc>
      </w:tr>
      <w:tr w14:paraId="7F50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pct"/>
            <w:noWrap w:val="0"/>
            <w:vAlign w:val="center"/>
          </w:tcPr>
          <w:p w14:paraId="5BD94064">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252</w:t>
            </w:r>
          </w:p>
        </w:tc>
        <w:tc>
          <w:tcPr>
            <w:tcW w:w="1065" w:type="pct"/>
            <w:noWrap w:val="0"/>
            <w:vAlign w:val="center"/>
          </w:tcPr>
          <w:p w14:paraId="51A848BA">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220/</w:t>
            </w:r>
            <w:r>
              <w:rPr>
                <w:rFonts w:ascii="Times New Roman" w:hAnsi="Times New Roman" w:eastAsia="宋体" w:cs="Times New Roman"/>
                <w:position w:val="-8"/>
                <w:sz w:val="18"/>
                <w:szCs w:val="18"/>
                <w:highlight w:val="none"/>
                <w:lang w:val="en-US" w:eastAsia="zh-CN" w:bidi="ar-SA"/>
              </w:rPr>
              <w:object>
                <v:shape id="_x0000_i1035"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5" DrawAspect="Content" ObjectID="_1468075735" r:id="rId27">
                  <o:LockedField>false</o:LockedField>
                </o:OLEObject>
              </w:object>
            </w:r>
          </w:p>
        </w:tc>
        <w:tc>
          <w:tcPr>
            <w:tcW w:w="1099" w:type="pct"/>
            <w:noWrap w:val="0"/>
            <w:vAlign w:val="center"/>
          </w:tcPr>
          <w:p w14:paraId="39D0C513">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w:t>
            </w:r>
            <w:r>
              <w:rPr>
                <w:rFonts w:ascii="Times New Roman" w:hAnsi="Times New Roman" w:eastAsia="宋体" w:cs="Times New Roman"/>
                <w:position w:val="-8"/>
                <w:sz w:val="18"/>
                <w:szCs w:val="18"/>
                <w:highlight w:val="none"/>
                <w:lang w:val="en-US" w:eastAsia="zh-CN" w:bidi="ar-SA"/>
              </w:rPr>
              <w:object>
                <v:shape id="_x0000_i1036" o:spt="75" type="#_x0000_t75" style="height:10.35pt;width:11.05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6" DrawAspect="Content" ObjectID="_1468075736" r:id="rId28">
                  <o:LockedField>false</o:LockedField>
                </o:OLEObject>
              </w:object>
            </w:r>
          </w:p>
        </w:tc>
        <w:tc>
          <w:tcPr>
            <w:tcW w:w="1630" w:type="pct"/>
            <w:noWrap w:val="0"/>
            <w:vAlign w:val="center"/>
          </w:tcPr>
          <w:p w14:paraId="1537C5CC">
            <w:pPr>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0.1</w:t>
            </w:r>
          </w:p>
        </w:tc>
      </w:tr>
    </w:tbl>
    <w:p w14:paraId="1DE6597B">
      <w:pPr>
        <w:pStyle w:val="260"/>
        <w:bidi w:val="0"/>
        <w:ind w:left="710" w:leftChars="0" w:hanging="710" w:firstLineChars="0"/>
        <w:rPr>
          <w:highlight w:val="none"/>
          <w:lang w:val="en-US" w:eastAsia="zh-CN"/>
        </w:rPr>
      </w:pPr>
      <w:bookmarkStart w:id="134" w:name="_Toc26808"/>
      <w:bookmarkStart w:id="135" w:name="_Toc170918026"/>
      <w:bookmarkStart w:id="136" w:name="_Toc14051"/>
      <w:r>
        <w:rPr>
          <w:highlight w:val="none"/>
          <w:lang w:val="en-US" w:eastAsia="zh-CN"/>
        </w:rPr>
        <w:t>额定输出</w:t>
      </w:r>
      <w:bookmarkEnd w:id="134"/>
      <w:bookmarkStart w:id="137" w:name="pindex307"/>
      <w:bookmarkEnd w:id="137"/>
      <w:r>
        <w:rPr>
          <w:highlight w:val="none"/>
          <w:lang w:val="en-US" w:eastAsia="zh-CN"/>
        </w:rPr>
        <w:t>要求</w:t>
      </w:r>
      <w:bookmarkEnd w:id="135"/>
      <w:bookmarkEnd w:id="136"/>
    </w:p>
    <w:p w14:paraId="65CEC1AC">
      <w:pPr>
        <w:ind w:firstLine="420" w:firstLineChars="200"/>
        <w:jc w:val="both"/>
        <w:rPr>
          <w:rFonts w:ascii="Times New Roman" w:hAnsi="Times New Roman" w:eastAsia="宋体" w:cs="Times New Roman"/>
          <w:sz w:val="21"/>
          <w:highlight w:val="none"/>
          <w:lang w:val="en-US" w:eastAsia="zh-CN" w:bidi="ar-SA"/>
        </w:rPr>
      </w:pPr>
      <w:r>
        <w:rPr>
          <w:rFonts w:hint="eastAsia" w:cs="Times New Roman"/>
          <w:sz w:val="21"/>
          <w:szCs w:val="21"/>
          <w:highlight w:val="none"/>
          <w:lang w:val="en-US" w:eastAsia="zh-CN" w:bidi="ar-SA"/>
        </w:rPr>
        <w:t>以伏安表示的功率因数为1.0的额定输出标准值为：5VA、7.5VA、</w:t>
      </w:r>
      <w:r>
        <w:rPr>
          <w:rFonts w:hint="eastAsia" w:cs="Times New Roman"/>
          <w:sz w:val="21"/>
          <w:szCs w:val="21"/>
          <w:highlight w:val="none"/>
          <w:u w:val="single"/>
          <w:lang w:val="en-US" w:eastAsia="zh-CN" w:bidi="ar-SA"/>
        </w:rPr>
        <w:t>10VA</w:t>
      </w:r>
      <w:r>
        <w:rPr>
          <w:rFonts w:hint="eastAsia" w:cs="Times New Roman"/>
          <w:sz w:val="21"/>
          <w:szCs w:val="21"/>
          <w:highlight w:val="none"/>
          <w:lang w:val="en-US" w:eastAsia="zh-CN" w:bidi="ar-SA"/>
        </w:rPr>
        <w:t>。</w:t>
      </w:r>
    </w:p>
    <w:p w14:paraId="4C0EEC45">
      <w:pPr>
        <w:pStyle w:val="260"/>
        <w:bidi w:val="0"/>
        <w:ind w:left="710" w:leftChars="0" w:hanging="710" w:firstLineChars="0"/>
        <w:rPr>
          <w:highlight w:val="none"/>
          <w:lang w:val="en-US" w:eastAsia="zh-CN"/>
        </w:rPr>
      </w:pPr>
      <w:bookmarkStart w:id="138" w:name="_Toc18115"/>
      <w:bookmarkStart w:id="139" w:name="_Toc170918027"/>
      <w:bookmarkStart w:id="140" w:name="_Toc9496"/>
      <w:r>
        <w:rPr>
          <w:highlight w:val="none"/>
          <w:lang w:val="en-US" w:eastAsia="zh-CN"/>
        </w:rPr>
        <w:t>额定准确级</w:t>
      </w:r>
      <w:bookmarkEnd w:id="138"/>
      <w:bookmarkStart w:id="141" w:name="pindex309"/>
      <w:bookmarkEnd w:id="141"/>
      <w:r>
        <w:rPr>
          <w:highlight w:val="none"/>
          <w:lang w:val="en-US" w:eastAsia="zh-CN"/>
        </w:rPr>
        <w:t>要求</w:t>
      </w:r>
      <w:bookmarkEnd w:id="139"/>
      <w:bookmarkEnd w:id="140"/>
    </w:p>
    <w:p w14:paraId="1D9E8822">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szCs w:val="21"/>
          <w:highlight w:val="none"/>
          <w:lang w:val="en-US" w:eastAsia="zh-CN" w:bidi="ar-SA"/>
        </w:rPr>
        <w:t>电压互感器的额定准确级应</w:t>
      </w:r>
      <w:r>
        <w:rPr>
          <w:rFonts w:ascii="Times New Roman" w:hAnsi="Times New Roman" w:eastAsia="宋体" w:cs="Times New Roman"/>
          <w:sz w:val="21"/>
          <w:highlight w:val="none"/>
          <w:lang w:val="en-US" w:eastAsia="zh-CN" w:bidi="ar-SA"/>
        </w:rPr>
        <w:t>符合</w:t>
      </w:r>
      <w:r>
        <w:rPr>
          <w:rFonts w:ascii="Times New Roman" w:hAnsi="Times New Roman" w:eastAsia="宋体" w:cs="Times New Roman"/>
          <w:sz w:val="21"/>
          <w:szCs w:val="21"/>
          <w:highlight w:val="none"/>
          <w:lang w:val="en-US" w:eastAsia="zh-CN" w:bidi="ar-SA"/>
        </w:rPr>
        <w:t>GB/T 20840.3的要求。</w:t>
      </w:r>
    </w:p>
    <w:p w14:paraId="2E6698D1">
      <w:pPr>
        <w:pStyle w:val="260"/>
        <w:bidi w:val="0"/>
        <w:ind w:left="710" w:leftChars="0" w:hanging="710" w:firstLineChars="0"/>
        <w:rPr>
          <w:highlight w:val="none"/>
          <w:lang w:val="en-US" w:eastAsia="zh-CN"/>
        </w:rPr>
      </w:pPr>
      <w:bookmarkStart w:id="142" w:name="_Toc509"/>
      <w:bookmarkStart w:id="143" w:name="_Toc170918028"/>
      <w:bookmarkStart w:id="144" w:name="_Toc26381"/>
      <w:r>
        <w:rPr>
          <w:highlight w:val="none"/>
          <w:lang w:val="en-US" w:eastAsia="zh-CN"/>
        </w:rPr>
        <w:t>额定电压因数标准值</w:t>
      </w:r>
      <w:bookmarkEnd w:id="142"/>
      <w:bookmarkStart w:id="145" w:name="pindex311"/>
      <w:bookmarkEnd w:id="145"/>
      <w:r>
        <w:rPr>
          <w:highlight w:val="none"/>
          <w:lang w:val="en-US" w:eastAsia="zh-CN"/>
        </w:rPr>
        <w:t>要求</w:t>
      </w:r>
      <w:bookmarkEnd w:id="143"/>
      <w:bookmarkEnd w:id="144"/>
    </w:p>
    <w:p w14:paraId="237B7541">
      <w:pPr>
        <w:ind w:firstLine="420" w:firstLineChars="200"/>
        <w:jc w:val="both"/>
        <w:rPr>
          <w:rFonts w:ascii="Times New Roman" w:hAnsi="Times New Roman" w:eastAsia="宋体" w:cs="Times New Roman"/>
          <w:color w:val="auto"/>
          <w:sz w:val="21"/>
          <w:highlight w:val="none"/>
          <w:lang w:val="en-US" w:eastAsia="zh-CN" w:bidi="ar-SA"/>
        </w:rPr>
      </w:pPr>
      <w:bookmarkStart w:id="146" w:name="sys312034"/>
      <w:r>
        <w:rPr>
          <w:rFonts w:ascii="Times New Roman" w:hAnsi="Times New Roman" w:eastAsia="宋体" w:cs="Times New Roman"/>
          <w:color w:val="auto"/>
          <w:sz w:val="21"/>
          <w:szCs w:val="21"/>
          <w:highlight w:val="none"/>
          <w:lang w:val="en-US" w:eastAsia="zh-CN" w:bidi="ar-SA"/>
        </w:rPr>
        <w:t>电压互感器的额定电压因数标准值应</w:t>
      </w:r>
      <w:r>
        <w:rPr>
          <w:rFonts w:ascii="Times New Roman" w:hAnsi="Times New Roman" w:eastAsia="宋体" w:cs="Times New Roman"/>
          <w:color w:val="auto"/>
          <w:sz w:val="21"/>
          <w:highlight w:val="none"/>
          <w:lang w:val="en-US" w:eastAsia="zh-CN" w:bidi="ar-SA"/>
        </w:rPr>
        <w:t>符合</w:t>
      </w:r>
      <w:r>
        <w:rPr>
          <w:rFonts w:ascii="Times New Roman" w:hAnsi="Times New Roman" w:eastAsia="宋体" w:cs="Times New Roman"/>
          <w:color w:val="auto"/>
          <w:sz w:val="21"/>
          <w:szCs w:val="21"/>
          <w:highlight w:val="none"/>
          <w:lang w:val="en-US" w:eastAsia="zh-CN" w:bidi="ar-SA"/>
        </w:rPr>
        <w:t>GB/T 20840.3的要求。</w:t>
      </w:r>
      <w:bookmarkEnd w:id="146"/>
    </w:p>
    <w:p w14:paraId="4437DE05">
      <w:pPr>
        <w:pStyle w:val="260"/>
        <w:bidi w:val="0"/>
        <w:ind w:left="710" w:leftChars="0" w:hanging="710" w:firstLineChars="0"/>
        <w:rPr>
          <w:highlight w:val="none"/>
          <w:lang w:val="en-US" w:eastAsia="zh-CN"/>
        </w:rPr>
      </w:pPr>
      <w:bookmarkStart w:id="147" w:name="_Toc21104"/>
      <w:bookmarkStart w:id="148" w:name="_Toc21342"/>
      <w:bookmarkStart w:id="149" w:name="_Toc170918029"/>
      <w:r>
        <w:rPr>
          <w:highlight w:val="none"/>
          <w:lang w:val="en-US" w:eastAsia="zh-CN"/>
        </w:rPr>
        <w:t>一次端额定绝缘水平</w:t>
      </w:r>
      <w:bookmarkEnd w:id="147"/>
      <w:bookmarkStart w:id="150" w:name="pindex313"/>
      <w:bookmarkEnd w:id="150"/>
      <w:r>
        <w:rPr>
          <w:highlight w:val="none"/>
          <w:lang w:val="en-US" w:eastAsia="zh-CN"/>
        </w:rPr>
        <w:t>要求</w:t>
      </w:r>
      <w:bookmarkEnd w:id="148"/>
      <w:bookmarkEnd w:id="149"/>
    </w:p>
    <w:p w14:paraId="2301BB3A">
      <w:pPr>
        <w:numPr>
          <w:ilvl w:val="-1"/>
          <w:numId w:val="0"/>
        </w:numPr>
        <w:ind w:left="0" w:leftChars="0"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一次端额定绝缘水平应符合下列要求：</w:t>
      </w:r>
    </w:p>
    <w:p w14:paraId="42B4BA3C">
      <w:pPr>
        <w:numPr>
          <w:ilvl w:val="0"/>
          <w:numId w:val="33"/>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一次端额定绝缘水平应以设备最高电压</w:t>
      </w:r>
      <w:r>
        <w:rPr>
          <w:rFonts w:ascii="Times New Roman" w:hAnsi="Times New Roman" w:eastAsia="宋体" w:cs="Times New Roman"/>
          <w:i/>
          <w:iCs/>
          <w:sz w:val="21"/>
          <w:highlight w:val="none"/>
          <w:lang w:val="en-US" w:eastAsia="zh-CN" w:bidi="ar-SA"/>
        </w:rPr>
        <w:t>U</w:t>
      </w:r>
      <w:r>
        <w:rPr>
          <w:rFonts w:ascii="Times New Roman" w:hAnsi="Times New Roman" w:eastAsia="宋体" w:cs="Times New Roman"/>
          <w:sz w:val="21"/>
          <w:highlight w:val="none"/>
          <w:vertAlign w:val="subscript"/>
          <w:lang w:val="en-US" w:eastAsia="zh-CN" w:bidi="ar-SA"/>
        </w:rPr>
        <w:t>m</w:t>
      </w:r>
      <w:r>
        <w:rPr>
          <w:rFonts w:ascii="Times New Roman" w:hAnsi="Times New Roman" w:eastAsia="宋体" w:cs="Times New Roman"/>
          <w:sz w:val="21"/>
          <w:highlight w:val="none"/>
          <w:lang w:val="en-US" w:eastAsia="zh-CN" w:bidi="ar-SA"/>
        </w:rPr>
        <w:t>为依据，按表4选择；</w:t>
      </w:r>
    </w:p>
    <w:p w14:paraId="12F20119">
      <w:pPr>
        <w:numPr>
          <w:ilvl w:val="0"/>
          <w:numId w:val="33"/>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对于暴露安装的产品，宜选择最高的绝缘水平；</w:t>
      </w:r>
    </w:p>
    <w:p w14:paraId="35CA8C0F">
      <w:pPr>
        <w:numPr>
          <w:ilvl w:val="0"/>
          <w:numId w:val="33"/>
        </w:numPr>
        <w:ind w:left="839" w:leftChars="0" w:hanging="419" w:firstLineChars="0"/>
        <w:jc w:val="both"/>
        <w:rPr>
          <w:rFonts w:ascii="Times New Roman" w:hAnsi="Times New Roman" w:eastAsia="宋体" w:cs="Times New Roman"/>
          <w:sz w:val="21"/>
          <w:szCs w:val="21"/>
          <w:highlight w:val="none"/>
          <w:lang w:val="en-US" w:eastAsia="zh-CN" w:bidi="ar-SA"/>
        </w:rPr>
      </w:pPr>
      <w:r>
        <w:rPr>
          <w:rFonts w:ascii="Times New Roman" w:hAnsi="Times New Roman" w:eastAsia="宋体" w:cs="Times New Roman"/>
          <w:sz w:val="21"/>
          <w:szCs w:val="21"/>
          <w:highlight w:val="none"/>
          <w:lang w:val="en-US" w:eastAsia="zh-CN" w:bidi="ar-SA"/>
        </w:rPr>
        <w:t>对于安装在</w:t>
      </w:r>
      <w:r>
        <w:rPr>
          <w:rFonts w:ascii="Times New Roman" w:hAnsi="Times New Roman" w:eastAsia="宋体" w:cs="Times New Roman"/>
          <w:sz w:val="21"/>
          <w:szCs w:val="22"/>
          <w:highlight w:val="none"/>
          <w:lang w:val="en-US" w:eastAsia="zh-CN" w:bidi="ar-SA"/>
        </w:rPr>
        <w:t>气体绝缘</w:t>
      </w:r>
      <w:r>
        <w:rPr>
          <w:rFonts w:hint="eastAsia"/>
          <w:highlight w:val="none"/>
          <w:lang w:val="en-US" w:eastAsia="zh-CN"/>
        </w:rPr>
        <w:t>变电站</w:t>
      </w:r>
      <w:r>
        <w:rPr>
          <w:rFonts w:ascii="Times New Roman" w:hAnsi="Times New Roman" w:eastAsia="宋体" w:cs="Times New Roman"/>
          <w:sz w:val="21"/>
          <w:szCs w:val="21"/>
          <w:highlight w:val="none"/>
          <w:lang w:val="en-US" w:eastAsia="zh-CN" w:bidi="ar-SA"/>
        </w:rPr>
        <w:t>的电压互感器，其额定</w:t>
      </w:r>
      <w:r>
        <w:rPr>
          <w:rFonts w:hint="eastAsia" w:cs="Times New Roman"/>
          <w:sz w:val="21"/>
          <w:szCs w:val="21"/>
          <w:highlight w:val="none"/>
          <w:lang w:val="en-US" w:eastAsia="zh-CN" w:bidi="ar-SA"/>
        </w:rPr>
        <w:t>交流</w:t>
      </w:r>
      <w:r>
        <w:rPr>
          <w:rFonts w:ascii="Times New Roman" w:hAnsi="Times New Roman" w:eastAsia="宋体" w:cs="Times New Roman"/>
          <w:sz w:val="21"/>
          <w:szCs w:val="21"/>
          <w:highlight w:val="none"/>
          <w:lang w:val="en-US" w:eastAsia="zh-CN" w:bidi="ar-SA"/>
        </w:rPr>
        <w:t>耐受电压水平应按GB/T 7674；</w:t>
      </w:r>
    </w:p>
    <w:p w14:paraId="756DBB45">
      <w:pPr>
        <w:numPr>
          <w:ilvl w:val="0"/>
          <w:numId w:val="33"/>
        </w:numPr>
        <w:ind w:left="839" w:leftChars="0" w:hanging="419" w:firstLineChars="0"/>
        <w:jc w:val="left"/>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设备最高电压为</w:t>
      </w:r>
      <w:r>
        <w:rPr>
          <w:rFonts w:hint="eastAsia" w:cs="Times New Roman"/>
          <w:sz w:val="21"/>
          <w:highlight w:val="none"/>
          <w:lang w:val="en-US" w:eastAsia="zh-CN" w:bidi="ar-SA"/>
        </w:rPr>
        <w:t>12</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kV～40.5</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kV的户内电压互感器外绝缘应能承受凝露耐受电压。凝露下的耐受电压值按表4选择。</w:t>
      </w:r>
    </w:p>
    <w:p w14:paraId="5174DDC0">
      <w:pPr>
        <w:numPr>
          <w:ilvl w:val="0"/>
          <w:numId w:val="0"/>
        </w:numPr>
        <w:tabs>
          <w:tab w:val="left" w:pos="360"/>
          <w:tab w:val="left" w:pos="4536"/>
        </w:tabs>
        <w:spacing w:before="156" w:beforeLines="50" w:after="156" w:afterLines="50"/>
        <w:jc w:val="center"/>
        <w:rPr>
          <w:rFonts w:ascii="Times New Roman" w:hAnsi="Times New Roman" w:eastAsia="黑体" w:cs="Times New Roman"/>
          <w:sz w:val="21"/>
          <w:szCs w:val="21"/>
          <w:highlight w:val="none"/>
          <w:lang w:val="en-US" w:eastAsia="zh-CN" w:bidi="ar-SA"/>
        </w:rPr>
      </w:pPr>
      <w:r>
        <w:rPr>
          <w:rFonts w:ascii="Times New Roman" w:hAnsi="Times New Roman" w:eastAsia="黑体" w:cs="Times New Roman"/>
          <w:sz w:val="21"/>
          <w:szCs w:val="21"/>
          <w:highlight w:val="none"/>
          <w:lang w:val="en-US" w:eastAsia="zh-CN" w:bidi="ar-SA"/>
        </w:rPr>
        <w:t>表4 电压互感器一次端额定绝缘水平和耐受电压</w:t>
      </w:r>
      <w:bookmarkStart w:id="151" w:name="pindex319"/>
      <w:bookmarkEnd w:id="151"/>
    </w:p>
    <w:p w14:paraId="626AE4F6">
      <w:pPr>
        <w:numPr>
          <w:ilvl w:val="0"/>
          <w:numId w:val="0"/>
        </w:numPr>
        <w:tabs>
          <w:tab w:val="left" w:pos="360"/>
        </w:tabs>
        <w:spacing w:before="0" w:beforeLines="0" w:after="0" w:afterLines="0"/>
        <w:ind w:left="2268" w:leftChars="1080" w:firstLine="5243" w:firstLineChars="2913"/>
        <w:jc w:val="right"/>
        <w:rPr>
          <w:rFonts w:ascii="Times New Roman" w:hAnsi="Times New Roman" w:eastAsia="黑体" w:cs="Times New Roman"/>
          <w:sz w:val="21"/>
          <w:szCs w:val="21"/>
          <w:highlight w:val="none"/>
          <w:lang w:val="en-US" w:eastAsia="zh-CN" w:bidi="ar-SA"/>
        </w:rPr>
      </w:pPr>
      <w:r>
        <w:rPr>
          <w:rFonts w:ascii="Times New Roman" w:hAnsi="Times New Roman" w:eastAsia="宋体" w:cs="Times New Roman"/>
          <w:sz w:val="18"/>
          <w:szCs w:val="18"/>
          <w:highlight w:val="none"/>
          <w:lang w:val="en-US" w:eastAsia="zh-CN" w:bidi="ar-SA"/>
        </w:rPr>
        <w:t>单位：kV</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45"/>
        <w:gridCol w:w="1513"/>
        <w:gridCol w:w="1786"/>
        <w:gridCol w:w="1710"/>
        <w:gridCol w:w="2161"/>
      </w:tblGrid>
      <w:tr w14:paraId="1721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pct"/>
            <w:noWrap w:val="0"/>
            <w:vAlign w:val="center"/>
          </w:tcPr>
          <w:p w14:paraId="6EBE7485">
            <w:pPr>
              <w:ind w:leftChars="-41" w:right="-92" w:rightChars="-44" w:hanging="86" w:hangingChars="48"/>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系统标称电压</w:t>
            </w:r>
          </w:p>
          <w:p w14:paraId="3DA7AAD5">
            <w:pPr>
              <w:ind w:leftChars="-41" w:right="-92" w:rightChars="-44" w:hanging="86" w:hangingChars="48"/>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651" w:type="pct"/>
            <w:noWrap w:val="0"/>
            <w:vAlign w:val="center"/>
          </w:tcPr>
          <w:p w14:paraId="1384B453">
            <w:pPr>
              <w:ind w:leftChars="-41" w:right="-92" w:rightChars="-44" w:hanging="86" w:hangingChars="48"/>
              <w:jc w:val="center"/>
              <w:rPr>
                <w:rFonts w:ascii="Times New Roman" w:hAnsi="Times New Roman" w:eastAsia="宋体" w:cs="Times New Roman"/>
                <w:sz w:val="18"/>
                <w:highlight w:val="none"/>
                <w:vertAlign w:val="subscript"/>
                <w:lang w:val="en-US" w:eastAsia="zh-CN" w:bidi="ar-SA"/>
              </w:rPr>
            </w:pPr>
            <w:r>
              <w:rPr>
                <w:rFonts w:ascii="Times New Roman" w:hAnsi="Times New Roman" w:eastAsia="宋体" w:cs="Times New Roman"/>
                <w:sz w:val="18"/>
                <w:highlight w:val="none"/>
                <w:lang w:val="en-US" w:eastAsia="zh-CN" w:bidi="ar-SA"/>
              </w:rPr>
              <w:t>设备最高电压</w:t>
            </w:r>
            <w:r>
              <w:rPr>
                <w:rFonts w:ascii="Times New Roman" w:hAnsi="Times New Roman" w:eastAsia="宋体" w:cs="Times New Roman"/>
                <w:i/>
                <w:iCs/>
                <w:sz w:val="18"/>
                <w:highlight w:val="none"/>
                <w:lang w:val="en-US" w:eastAsia="zh-CN" w:bidi="ar-SA"/>
              </w:rPr>
              <w:t>U</w:t>
            </w:r>
            <w:r>
              <w:rPr>
                <w:rFonts w:ascii="Times New Roman" w:hAnsi="Times New Roman" w:eastAsia="宋体" w:cs="Times New Roman"/>
                <w:sz w:val="18"/>
                <w:highlight w:val="none"/>
                <w:vertAlign w:val="subscript"/>
                <w:lang w:val="en-US" w:eastAsia="zh-CN" w:bidi="ar-SA"/>
              </w:rPr>
              <w:t>m</w:t>
            </w:r>
          </w:p>
          <w:p w14:paraId="34DBC7D9">
            <w:pPr>
              <w:ind w:leftChars="-41" w:right="-92" w:rightChars="-44" w:hanging="86" w:hangingChars="48"/>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791" w:type="pct"/>
            <w:noWrap w:val="0"/>
            <w:vAlign w:val="center"/>
          </w:tcPr>
          <w:p w14:paraId="0E2178F7">
            <w:pPr>
              <w:ind w:left="1" w:leftChars="-45" w:right="-84" w:rightChars="-40" w:hanging="95" w:hangingChars="53"/>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w:t>
            </w:r>
            <w:r>
              <w:rPr>
                <w:rFonts w:hint="eastAsia" w:cs="Times New Roman"/>
                <w:sz w:val="18"/>
                <w:highlight w:val="none"/>
                <w:lang w:val="en-US" w:eastAsia="zh-CN" w:bidi="ar-SA"/>
              </w:rPr>
              <w:t>交流</w:t>
            </w:r>
            <w:r>
              <w:rPr>
                <w:rFonts w:ascii="Times New Roman" w:hAnsi="Times New Roman" w:eastAsia="宋体" w:cs="Times New Roman"/>
                <w:sz w:val="18"/>
                <w:highlight w:val="none"/>
                <w:lang w:val="en-US" w:eastAsia="zh-CN" w:bidi="ar-SA"/>
              </w:rPr>
              <w:t>耐受电压</w:t>
            </w:r>
          </w:p>
          <w:p w14:paraId="2F5FF210">
            <w:pPr>
              <w:ind w:left="1" w:leftChars="-45" w:right="-84" w:rightChars="-40" w:hanging="95" w:hangingChars="53"/>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934" w:type="pct"/>
            <w:noWrap w:val="0"/>
            <w:vAlign w:val="center"/>
          </w:tcPr>
          <w:p w14:paraId="579192BE">
            <w:pPr>
              <w:ind w:left="1" w:leftChars="-44" w:right="-94" w:rightChars="-45" w:hanging="93" w:hangingChars="52"/>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额定雷电冲击</w:t>
            </w:r>
          </w:p>
          <w:p w14:paraId="0C453A35">
            <w:pPr>
              <w:ind w:left="1" w:leftChars="-44" w:right="-94" w:rightChars="-45" w:hanging="93" w:hangingChars="52"/>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耐受电压</w:t>
            </w:r>
          </w:p>
          <w:p w14:paraId="2C133779">
            <w:pPr>
              <w:ind w:left="1" w:leftChars="-44" w:right="-94" w:rightChars="-45" w:hanging="93" w:hangingChars="52"/>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（峰值）</w:t>
            </w:r>
          </w:p>
        </w:tc>
        <w:tc>
          <w:tcPr>
            <w:tcW w:w="894" w:type="pct"/>
            <w:noWrap w:val="0"/>
            <w:vAlign w:val="center"/>
          </w:tcPr>
          <w:p w14:paraId="603B4BDC">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额定操作冲击</w:t>
            </w:r>
          </w:p>
          <w:p w14:paraId="50319955">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耐受电压</w:t>
            </w:r>
          </w:p>
          <w:p w14:paraId="6C376DAF">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（峰值）</w:t>
            </w:r>
          </w:p>
        </w:tc>
        <w:tc>
          <w:tcPr>
            <w:tcW w:w="1130" w:type="pct"/>
            <w:noWrap w:val="0"/>
            <w:vAlign w:val="center"/>
          </w:tcPr>
          <w:p w14:paraId="71311BF4">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截断雷电冲击（内绝缘）</w:t>
            </w:r>
          </w:p>
          <w:p w14:paraId="5AE43936">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耐受电压（峰值）</w:t>
            </w:r>
          </w:p>
        </w:tc>
      </w:tr>
      <w:tr w14:paraId="5BBD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9" w:type="pct"/>
            <w:noWrap w:val="0"/>
            <w:vAlign w:val="center"/>
          </w:tcPr>
          <w:p w14:paraId="0EEC0255">
            <w:pPr>
              <w:tabs>
                <w:tab w:val="center" w:pos="4201"/>
                <w:tab w:val="right" w:leader="dot" w:pos="9298"/>
              </w:tabs>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10</w:t>
            </w:r>
          </w:p>
        </w:tc>
        <w:tc>
          <w:tcPr>
            <w:tcW w:w="651" w:type="pct"/>
            <w:noWrap w:val="0"/>
            <w:vAlign w:val="center"/>
          </w:tcPr>
          <w:p w14:paraId="2E052A93">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12</w:t>
            </w:r>
          </w:p>
        </w:tc>
        <w:tc>
          <w:tcPr>
            <w:tcW w:w="791" w:type="pct"/>
            <w:noWrap w:val="0"/>
            <w:vAlign w:val="center"/>
          </w:tcPr>
          <w:p w14:paraId="5A4633CB">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30/42</w:t>
            </w:r>
          </w:p>
        </w:tc>
        <w:tc>
          <w:tcPr>
            <w:tcW w:w="934" w:type="pct"/>
            <w:noWrap w:val="0"/>
            <w:vAlign w:val="center"/>
          </w:tcPr>
          <w:p w14:paraId="35491493">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75</w:t>
            </w:r>
          </w:p>
        </w:tc>
        <w:tc>
          <w:tcPr>
            <w:tcW w:w="894" w:type="pct"/>
            <w:noWrap w:val="0"/>
            <w:vAlign w:val="top"/>
          </w:tcPr>
          <w:p w14:paraId="4A3F4137">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0" w:type="pct"/>
            <w:noWrap w:val="0"/>
            <w:vAlign w:val="center"/>
          </w:tcPr>
          <w:p w14:paraId="7EBB3B29">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85</w:t>
            </w:r>
          </w:p>
        </w:tc>
      </w:tr>
      <w:tr w14:paraId="3B27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9" w:type="pct"/>
            <w:shd w:val="clear" w:color="auto" w:fill="auto"/>
            <w:noWrap w:val="0"/>
            <w:vAlign w:val="center"/>
          </w:tcPr>
          <w:p w14:paraId="7C1FB3B3">
            <w:pPr>
              <w:tabs>
                <w:tab w:val="center" w:pos="4201"/>
                <w:tab w:val="right" w:leader="dot" w:pos="9298"/>
              </w:tabs>
              <w:ind w:firstLine="0" w:firstLineChars="0"/>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20</w:t>
            </w:r>
          </w:p>
        </w:tc>
        <w:tc>
          <w:tcPr>
            <w:tcW w:w="651" w:type="pct"/>
            <w:shd w:val="clear" w:color="auto" w:fill="auto"/>
            <w:noWrap w:val="0"/>
            <w:vAlign w:val="center"/>
          </w:tcPr>
          <w:p w14:paraId="4738666F">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24</w:t>
            </w:r>
          </w:p>
        </w:tc>
        <w:tc>
          <w:tcPr>
            <w:tcW w:w="791" w:type="pct"/>
            <w:shd w:val="clear" w:color="auto" w:fill="auto"/>
            <w:noWrap w:val="0"/>
            <w:vAlign w:val="center"/>
          </w:tcPr>
          <w:p w14:paraId="7803AA79">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50/65</w:t>
            </w:r>
          </w:p>
        </w:tc>
        <w:tc>
          <w:tcPr>
            <w:tcW w:w="934" w:type="pct"/>
            <w:shd w:val="clear" w:color="auto" w:fill="auto"/>
            <w:noWrap w:val="0"/>
            <w:vAlign w:val="center"/>
          </w:tcPr>
          <w:p w14:paraId="031A7C32">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125</w:t>
            </w:r>
          </w:p>
        </w:tc>
        <w:tc>
          <w:tcPr>
            <w:tcW w:w="894" w:type="pct"/>
            <w:shd w:val="clear" w:color="auto" w:fill="auto"/>
            <w:noWrap w:val="0"/>
            <w:vAlign w:val="top"/>
          </w:tcPr>
          <w:p w14:paraId="374FE155">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0" w:type="pct"/>
            <w:shd w:val="clear" w:color="auto" w:fill="auto"/>
            <w:noWrap w:val="0"/>
            <w:vAlign w:val="center"/>
          </w:tcPr>
          <w:p w14:paraId="332C0CDD">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140</w:t>
            </w:r>
          </w:p>
        </w:tc>
      </w:tr>
      <w:tr w14:paraId="59CD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9" w:type="pct"/>
            <w:shd w:val="clear" w:color="auto" w:fill="auto"/>
            <w:noWrap w:val="0"/>
            <w:vAlign w:val="center"/>
          </w:tcPr>
          <w:p w14:paraId="5F59C5B3">
            <w:pPr>
              <w:tabs>
                <w:tab w:val="center" w:pos="4201"/>
                <w:tab w:val="right" w:leader="dot" w:pos="9298"/>
              </w:tabs>
              <w:ind w:firstLine="0" w:firstLineChars="0"/>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lang w:val="en-US" w:eastAsia="zh-CN" w:bidi="ar-SA"/>
              </w:rPr>
              <w:t>35</w:t>
            </w:r>
          </w:p>
        </w:tc>
        <w:tc>
          <w:tcPr>
            <w:tcW w:w="651" w:type="pct"/>
            <w:shd w:val="clear" w:color="auto" w:fill="auto"/>
            <w:noWrap w:val="0"/>
            <w:vAlign w:val="center"/>
          </w:tcPr>
          <w:p w14:paraId="1BE3F576">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40.5</w:t>
            </w:r>
          </w:p>
        </w:tc>
        <w:tc>
          <w:tcPr>
            <w:tcW w:w="791" w:type="pct"/>
            <w:shd w:val="clear" w:color="auto" w:fill="auto"/>
            <w:noWrap w:val="0"/>
            <w:vAlign w:val="center"/>
          </w:tcPr>
          <w:p w14:paraId="3CF00C85">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80/95</w:t>
            </w:r>
          </w:p>
        </w:tc>
        <w:tc>
          <w:tcPr>
            <w:tcW w:w="934" w:type="pct"/>
            <w:shd w:val="clear" w:color="auto" w:fill="auto"/>
            <w:noWrap w:val="0"/>
            <w:vAlign w:val="center"/>
          </w:tcPr>
          <w:p w14:paraId="67CE81E6">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185/200</w:t>
            </w:r>
          </w:p>
        </w:tc>
        <w:tc>
          <w:tcPr>
            <w:tcW w:w="894" w:type="pct"/>
            <w:shd w:val="clear" w:color="auto" w:fill="auto"/>
            <w:noWrap w:val="0"/>
            <w:vAlign w:val="top"/>
          </w:tcPr>
          <w:p w14:paraId="35F0B143">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0" w:type="pct"/>
            <w:shd w:val="clear" w:color="auto" w:fill="auto"/>
            <w:noWrap w:val="0"/>
            <w:vAlign w:val="center"/>
          </w:tcPr>
          <w:p w14:paraId="37299D8A">
            <w:pPr>
              <w:ind w:firstLine="0" w:firstLineChars="0"/>
              <w:jc w:val="center"/>
              <w:rPr>
                <w:rFonts w:ascii="Times New Roman" w:hAnsi="Times New Roman" w:eastAsia="宋体" w:cs="Times New Roman"/>
                <w:kern w:val="2"/>
                <w:sz w:val="18"/>
                <w:szCs w:val="32"/>
                <w:highlight w:val="none"/>
                <w:lang w:val="en-US" w:eastAsia="zh-CN" w:bidi="ar-SA"/>
              </w:rPr>
            </w:pPr>
            <w:r>
              <w:rPr>
                <w:rFonts w:ascii="Times New Roman" w:hAnsi="Times New Roman" w:eastAsia="宋体" w:cs="Times New Roman"/>
                <w:sz w:val="18"/>
                <w:szCs w:val="32"/>
                <w:highlight w:val="none"/>
                <w:lang w:val="en-US" w:eastAsia="zh-CN" w:bidi="ar-SA"/>
              </w:rPr>
              <w:t>220</w:t>
            </w:r>
          </w:p>
        </w:tc>
      </w:tr>
    </w:tbl>
    <w:p w14:paraId="652118D8">
      <w:pPr>
        <w:numPr>
          <w:ilvl w:val="0"/>
          <w:numId w:val="0"/>
        </w:numPr>
        <w:tabs>
          <w:tab w:val="left" w:pos="360"/>
          <w:tab w:val="left" w:pos="4536"/>
        </w:tabs>
        <w:spacing w:before="156" w:beforeLines="50" w:after="156" w:afterLines="50"/>
        <w:jc w:val="center"/>
        <w:rPr>
          <w:rFonts w:hint="default" w:eastAsia="黑体"/>
          <w:szCs w:val="21"/>
          <w:highlight w:val="none"/>
          <w:lang w:val="en-US" w:eastAsia="zh-CN"/>
        </w:rPr>
      </w:pPr>
    </w:p>
    <w:p w14:paraId="2028500E">
      <w:pPr>
        <w:numPr>
          <w:ilvl w:val="0"/>
          <w:numId w:val="0"/>
        </w:numPr>
        <w:tabs>
          <w:tab w:val="left" w:pos="360"/>
          <w:tab w:val="left" w:pos="4536"/>
        </w:tabs>
        <w:spacing w:before="156" w:beforeLines="50" w:after="156" w:afterLines="50"/>
        <w:jc w:val="center"/>
        <w:rPr>
          <w:rFonts w:hint="default" w:eastAsia="黑体"/>
          <w:szCs w:val="21"/>
          <w:highlight w:val="none"/>
          <w:lang w:val="en-US" w:eastAsia="zh-CN"/>
        </w:rPr>
      </w:pPr>
      <w:r>
        <w:rPr>
          <w:rFonts w:hint="default" w:eastAsia="黑体"/>
          <w:szCs w:val="21"/>
          <w:highlight w:val="none"/>
          <w:lang w:val="en-US" w:eastAsia="zh-CN"/>
        </w:rPr>
        <w:t>表4（续）</w:t>
      </w:r>
    </w:p>
    <w:tbl>
      <w:tblPr>
        <w:tblStyle w:val="8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244"/>
        <w:gridCol w:w="1513"/>
        <w:gridCol w:w="1786"/>
        <w:gridCol w:w="1710"/>
        <w:gridCol w:w="2167"/>
      </w:tblGrid>
      <w:tr w14:paraId="312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7" w:type="pct"/>
            <w:shd w:val="clear" w:color="auto" w:fill="auto"/>
            <w:noWrap w:val="0"/>
            <w:vAlign w:val="center"/>
          </w:tcPr>
          <w:p w14:paraId="511F87B1">
            <w:pPr>
              <w:ind w:leftChars="-41" w:right="-92" w:rightChars="-44" w:hanging="86" w:hangingChars="48"/>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系统标称电压</w:t>
            </w:r>
          </w:p>
          <w:p w14:paraId="45FE852D">
            <w:pPr>
              <w:ind w:left="0" w:leftChars="-41" w:right="-92" w:rightChars="-44" w:hanging="86" w:hangingChars="48"/>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651" w:type="pct"/>
            <w:shd w:val="clear" w:color="auto" w:fill="auto"/>
            <w:noWrap w:val="0"/>
            <w:vAlign w:val="center"/>
          </w:tcPr>
          <w:p w14:paraId="13413828">
            <w:pPr>
              <w:ind w:leftChars="-41" w:right="-92" w:rightChars="-44" w:hanging="86" w:hangingChars="48"/>
              <w:jc w:val="center"/>
              <w:rPr>
                <w:rFonts w:ascii="Times New Roman" w:hAnsi="Times New Roman" w:eastAsia="宋体" w:cs="Times New Roman"/>
                <w:sz w:val="18"/>
                <w:highlight w:val="none"/>
                <w:vertAlign w:val="subscript"/>
                <w:lang w:val="en-US" w:eastAsia="zh-CN" w:bidi="ar-SA"/>
              </w:rPr>
            </w:pPr>
            <w:r>
              <w:rPr>
                <w:rFonts w:ascii="Times New Roman" w:hAnsi="Times New Roman" w:eastAsia="宋体" w:cs="Times New Roman"/>
                <w:sz w:val="18"/>
                <w:highlight w:val="none"/>
                <w:lang w:val="en-US" w:eastAsia="zh-CN" w:bidi="ar-SA"/>
              </w:rPr>
              <w:t>设备最高电压</w:t>
            </w:r>
            <w:r>
              <w:rPr>
                <w:rFonts w:ascii="Times New Roman" w:hAnsi="Times New Roman" w:eastAsia="宋体" w:cs="Times New Roman"/>
                <w:i/>
                <w:iCs/>
                <w:sz w:val="18"/>
                <w:highlight w:val="none"/>
                <w:lang w:val="en-US" w:eastAsia="zh-CN" w:bidi="ar-SA"/>
              </w:rPr>
              <w:t>U</w:t>
            </w:r>
            <w:r>
              <w:rPr>
                <w:rFonts w:ascii="Times New Roman" w:hAnsi="Times New Roman" w:eastAsia="宋体" w:cs="Times New Roman"/>
                <w:sz w:val="18"/>
                <w:highlight w:val="none"/>
                <w:vertAlign w:val="subscript"/>
                <w:lang w:val="en-US" w:eastAsia="zh-CN" w:bidi="ar-SA"/>
              </w:rPr>
              <w:t>m</w:t>
            </w:r>
          </w:p>
          <w:p w14:paraId="3B985891">
            <w:pPr>
              <w:ind w:left="0" w:leftChars="-41" w:right="-92" w:rightChars="-44" w:hanging="86" w:hangingChars="48"/>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791" w:type="pct"/>
            <w:shd w:val="clear" w:color="auto" w:fill="auto"/>
            <w:noWrap w:val="0"/>
            <w:vAlign w:val="center"/>
          </w:tcPr>
          <w:p w14:paraId="40EA426E">
            <w:pPr>
              <w:ind w:left="1" w:leftChars="-45" w:right="-84" w:rightChars="-40" w:hanging="95" w:hangingChars="53"/>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w:t>
            </w:r>
            <w:r>
              <w:rPr>
                <w:rFonts w:hint="eastAsia" w:cs="Times New Roman"/>
                <w:sz w:val="18"/>
                <w:highlight w:val="none"/>
                <w:lang w:val="en-US" w:eastAsia="zh-CN" w:bidi="ar-SA"/>
              </w:rPr>
              <w:t>交流</w:t>
            </w:r>
            <w:r>
              <w:rPr>
                <w:rFonts w:ascii="Times New Roman" w:hAnsi="Times New Roman" w:eastAsia="宋体" w:cs="Times New Roman"/>
                <w:sz w:val="18"/>
                <w:highlight w:val="none"/>
                <w:lang w:val="en-US" w:eastAsia="zh-CN" w:bidi="ar-SA"/>
              </w:rPr>
              <w:t>耐受电压</w:t>
            </w:r>
          </w:p>
          <w:p w14:paraId="341E65DB">
            <w:pPr>
              <w:ind w:left="1" w:leftChars="-45" w:right="-84" w:rightChars="-40" w:hanging="95" w:hangingChars="53"/>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（方均根值）</w:t>
            </w:r>
          </w:p>
        </w:tc>
        <w:tc>
          <w:tcPr>
            <w:tcW w:w="934" w:type="pct"/>
            <w:shd w:val="clear" w:color="auto" w:fill="auto"/>
            <w:noWrap w:val="0"/>
            <w:vAlign w:val="center"/>
          </w:tcPr>
          <w:p w14:paraId="29442DFC">
            <w:pPr>
              <w:ind w:left="1" w:leftChars="-44" w:right="-94" w:rightChars="-45" w:hanging="93" w:hangingChars="52"/>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额定雷电冲击</w:t>
            </w:r>
          </w:p>
          <w:p w14:paraId="70B456E3">
            <w:pPr>
              <w:ind w:left="1" w:leftChars="-44" w:right="-94" w:rightChars="-45" w:hanging="93" w:hangingChars="52"/>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耐受电压</w:t>
            </w:r>
          </w:p>
          <w:p w14:paraId="02E930E5">
            <w:pPr>
              <w:ind w:left="1" w:leftChars="-44" w:right="-94" w:rightChars="-45" w:hanging="93" w:hangingChars="52"/>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（峰值）</w:t>
            </w:r>
          </w:p>
        </w:tc>
        <w:tc>
          <w:tcPr>
            <w:tcW w:w="894" w:type="pct"/>
            <w:shd w:val="clear" w:color="auto" w:fill="auto"/>
            <w:noWrap w:val="0"/>
            <w:vAlign w:val="center"/>
          </w:tcPr>
          <w:p w14:paraId="424A9583">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额定操作冲击</w:t>
            </w:r>
          </w:p>
          <w:p w14:paraId="3266B7A2">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耐受电压</w:t>
            </w:r>
          </w:p>
          <w:p w14:paraId="6D525DF7">
            <w:pPr>
              <w:ind w:left="2" w:leftChars="-46" w:right="-90" w:rightChars="-43" w:hanging="99" w:hangingChars="55"/>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（峰值）</w:t>
            </w:r>
          </w:p>
        </w:tc>
        <w:tc>
          <w:tcPr>
            <w:tcW w:w="1132" w:type="pct"/>
            <w:shd w:val="clear" w:color="auto" w:fill="auto"/>
            <w:noWrap w:val="0"/>
            <w:vAlign w:val="center"/>
          </w:tcPr>
          <w:p w14:paraId="69F464A7">
            <w:pPr>
              <w:ind w:left="2" w:leftChars="-46" w:right="-90" w:rightChars="-43" w:hanging="99" w:hangingChars="55"/>
              <w:jc w:val="center"/>
              <w:rPr>
                <w:rFonts w:ascii="Times New Roman" w:hAnsi="Times New Roman" w:eastAsia="宋体" w:cs="Times New Roman"/>
                <w:sz w:val="18"/>
                <w:highlight w:val="none"/>
                <w:lang w:val="en-US" w:eastAsia="zh-CN" w:bidi="ar-SA"/>
              </w:rPr>
            </w:pPr>
            <w:r>
              <w:rPr>
                <w:rFonts w:ascii="Times New Roman" w:hAnsi="Times New Roman" w:eastAsia="宋体" w:cs="Times New Roman"/>
                <w:sz w:val="18"/>
                <w:highlight w:val="none"/>
                <w:lang w:val="en-US" w:eastAsia="zh-CN" w:bidi="ar-SA"/>
              </w:rPr>
              <w:t>截断雷电冲击（内绝缘）</w:t>
            </w:r>
          </w:p>
          <w:p w14:paraId="0B33E976">
            <w:pPr>
              <w:ind w:left="2" w:leftChars="-46" w:right="-90" w:rightChars="-43" w:hanging="99" w:hangingChars="55"/>
              <w:jc w:val="center"/>
              <w:rPr>
                <w:rFonts w:ascii="Times New Roman" w:hAnsi="Times New Roman" w:eastAsia="宋体" w:cs="Times New Roman"/>
                <w:kern w:val="2"/>
                <w:sz w:val="18"/>
                <w:szCs w:val="24"/>
                <w:highlight w:val="none"/>
                <w:lang w:val="en-US" w:eastAsia="zh-CN" w:bidi="ar-SA"/>
              </w:rPr>
            </w:pPr>
            <w:r>
              <w:rPr>
                <w:rFonts w:ascii="Times New Roman" w:hAnsi="Times New Roman" w:eastAsia="宋体" w:cs="Times New Roman"/>
                <w:sz w:val="18"/>
                <w:highlight w:val="none"/>
                <w:lang w:val="en-US" w:eastAsia="zh-CN" w:bidi="ar-SA"/>
              </w:rPr>
              <w:t>耐受电压（峰值）</w:t>
            </w:r>
          </w:p>
        </w:tc>
      </w:tr>
      <w:tr w14:paraId="25A5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7" w:type="pct"/>
            <w:vMerge w:val="restart"/>
            <w:noWrap w:val="0"/>
            <w:vAlign w:val="center"/>
          </w:tcPr>
          <w:p w14:paraId="3CF2D770">
            <w:pPr>
              <w:tabs>
                <w:tab w:val="center" w:pos="4201"/>
                <w:tab w:val="right" w:leader="dot" w:pos="9298"/>
              </w:tabs>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66</w:t>
            </w:r>
          </w:p>
        </w:tc>
        <w:tc>
          <w:tcPr>
            <w:tcW w:w="651" w:type="pct"/>
            <w:vMerge w:val="restart"/>
            <w:noWrap w:val="0"/>
            <w:vAlign w:val="center"/>
          </w:tcPr>
          <w:p w14:paraId="5136C6DD">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72.5</w:t>
            </w:r>
          </w:p>
        </w:tc>
        <w:tc>
          <w:tcPr>
            <w:tcW w:w="791" w:type="pct"/>
            <w:noWrap w:val="0"/>
            <w:vAlign w:val="center"/>
          </w:tcPr>
          <w:p w14:paraId="141F6B31">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140</w:t>
            </w:r>
          </w:p>
        </w:tc>
        <w:tc>
          <w:tcPr>
            <w:tcW w:w="934" w:type="pct"/>
            <w:noWrap w:val="0"/>
            <w:vAlign w:val="center"/>
          </w:tcPr>
          <w:p w14:paraId="2D7663DD">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325</w:t>
            </w:r>
          </w:p>
        </w:tc>
        <w:tc>
          <w:tcPr>
            <w:tcW w:w="894" w:type="pct"/>
            <w:noWrap w:val="0"/>
            <w:vAlign w:val="center"/>
          </w:tcPr>
          <w:p w14:paraId="6CE48D3E">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2" w:type="pct"/>
            <w:noWrap w:val="0"/>
            <w:vAlign w:val="center"/>
          </w:tcPr>
          <w:p w14:paraId="5E66BBDE">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360</w:t>
            </w:r>
          </w:p>
        </w:tc>
      </w:tr>
      <w:tr w14:paraId="3B0B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597" w:type="pct"/>
            <w:vMerge w:val="continue"/>
            <w:noWrap w:val="0"/>
            <w:vAlign w:val="center"/>
          </w:tcPr>
          <w:p w14:paraId="365108A1">
            <w:pPr>
              <w:ind w:firstLine="0" w:firstLineChars="0"/>
              <w:jc w:val="center"/>
              <w:rPr>
                <w:rFonts w:ascii="Times New Roman" w:hAnsi="Times New Roman" w:eastAsia="宋体" w:cs="Times New Roman"/>
                <w:sz w:val="18"/>
                <w:szCs w:val="32"/>
                <w:highlight w:val="none"/>
                <w:lang w:val="en-US" w:eastAsia="zh-CN" w:bidi="ar-SA"/>
              </w:rPr>
            </w:pPr>
          </w:p>
        </w:tc>
        <w:tc>
          <w:tcPr>
            <w:tcW w:w="651" w:type="pct"/>
            <w:vMerge w:val="continue"/>
            <w:noWrap w:val="0"/>
            <w:vAlign w:val="center"/>
          </w:tcPr>
          <w:p w14:paraId="159249F6">
            <w:pPr>
              <w:ind w:firstLine="0" w:firstLineChars="0"/>
              <w:jc w:val="center"/>
              <w:rPr>
                <w:rFonts w:ascii="Times New Roman" w:hAnsi="Times New Roman" w:eastAsia="宋体" w:cs="Times New Roman"/>
                <w:sz w:val="18"/>
                <w:szCs w:val="32"/>
                <w:highlight w:val="none"/>
                <w:lang w:val="en-US" w:eastAsia="zh-CN" w:bidi="ar-SA"/>
              </w:rPr>
            </w:pPr>
          </w:p>
        </w:tc>
        <w:tc>
          <w:tcPr>
            <w:tcW w:w="791" w:type="pct"/>
            <w:noWrap w:val="0"/>
            <w:vAlign w:val="center"/>
          </w:tcPr>
          <w:p w14:paraId="38FDFB3B">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160</w:t>
            </w:r>
          </w:p>
        </w:tc>
        <w:tc>
          <w:tcPr>
            <w:tcW w:w="934" w:type="pct"/>
            <w:noWrap w:val="0"/>
            <w:vAlign w:val="center"/>
          </w:tcPr>
          <w:p w14:paraId="0286263F">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350</w:t>
            </w:r>
          </w:p>
        </w:tc>
        <w:tc>
          <w:tcPr>
            <w:tcW w:w="894" w:type="pct"/>
            <w:noWrap w:val="0"/>
            <w:vAlign w:val="center"/>
          </w:tcPr>
          <w:p w14:paraId="1BD87ACE">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2" w:type="pct"/>
            <w:noWrap w:val="0"/>
            <w:vAlign w:val="center"/>
          </w:tcPr>
          <w:p w14:paraId="04670378">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385</w:t>
            </w:r>
          </w:p>
        </w:tc>
      </w:tr>
      <w:tr w14:paraId="77ED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97" w:type="pct"/>
            <w:vMerge w:val="restart"/>
            <w:noWrap w:val="0"/>
            <w:vAlign w:val="center"/>
          </w:tcPr>
          <w:p w14:paraId="508EDEC3">
            <w:pPr>
              <w:tabs>
                <w:tab w:val="center" w:pos="4201"/>
                <w:tab w:val="right" w:leader="dot" w:pos="9298"/>
              </w:tabs>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110</w:t>
            </w:r>
          </w:p>
        </w:tc>
        <w:tc>
          <w:tcPr>
            <w:tcW w:w="651" w:type="pct"/>
            <w:vMerge w:val="restart"/>
            <w:noWrap w:val="0"/>
            <w:vAlign w:val="center"/>
          </w:tcPr>
          <w:p w14:paraId="07DCAE7F">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126</w:t>
            </w:r>
          </w:p>
        </w:tc>
        <w:tc>
          <w:tcPr>
            <w:tcW w:w="791" w:type="pct"/>
            <w:noWrap w:val="0"/>
            <w:vAlign w:val="center"/>
          </w:tcPr>
          <w:p w14:paraId="42A72839">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185/200</w:t>
            </w:r>
          </w:p>
        </w:tc>
        <w:tc>
          <w:tcPr>
            <w:tcW w:w="934" w:type="pct"/>
            <w:noWrap w:val="0"/>
            <w:vAlign w:val="center"/>
          </w:tcPr>
          <w:p w14:paraId="52F519FF">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450/480</w:t>
            </w:r>
          </w:p>
        </w:tc>
        <w:tc>
          <w:tcPr>
            <w:tcW w:w="894" w:type="pct"/>
            <w:vMerge w:val="restart"/>
            <w:noWrap w:val="0"/>
            <w:vAlign w:val="center"/>
          </w:tcPr>
          <w:p w14:paraId="667B1E78">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2" w:type="pct"/>
            <w:noWrap w:val="0"/>
            <w:vAlign w:val="center"/>
          </w:tcPr>
          <w:p w14:paraId="45ABF825">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530</w:t>
            </w:r>
          </w:p>
        </w:tc>
      </w:tr>
      <w:tr w14:paraId="7EDC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97" w:type="pct"/>
            <w:vMerge w:val="continue"/>
            <w:noWrap w:val="0"/>
            <w:vAlign w:val="center"/>
          </w:tcPr>
          <w:p w14:paraId="1D03621D">
            <w:pPr>
              <w:ind w:firstLine="0" w:firstLineChars="0"/>
              <w:jc w:val="center"/>
              <w:rPr>
                <w:rFonts w:ascii="Times New Roman" w:hAnsi="Times New Roman" w:eastAsia="宋体" w:cs="Times New Roman"/>
                <w:sz w:val="18"/>
                <w:szCs w:val="32"/>
                <w:highlight w:val="none"/>
                <w:lang w:val="en-US" w:eastAsia="zh-CN" w:bidi="ar-SA"/>
              </w:rPr>
            </w:pPr>
          </w:p>
        </w:tc>
        <w:tc>
          <w:tcPr>
            <w:tcW w:w="651" w:type="pct"/>
            <w:vMerge w:val="continue"/>
            <w:noWrap w:val="0"/>
            <w:vAlign w:val="center"/>
          </w:tcPr>
          <w:p w14:paraId="620F84E8">
            <w:pPr>
              <w:ind w:firstLine="0" w:firstLineChars="0"/>
              <w:jc w:val="center"/>
              <w:rPr>
                <w:rFonts w:ascii="Times New Roman" w:hAnsi="Times New Roman" w:eastAsia="宋体" w:cs="Times New Roman"/>
                <w:sz w:val="18"/>
                <w:szCs w:val="32"/>
                <w:highlight w:val="none"/>
                <w:lang w:val="en-US" w:eastAsia="zh-CN" w:bidi="ar-SA"/>
              </w:rPr>
            </w:pPr>
          </w:p>
        </w:tc>
        <w:tc>
          <w:tcPr>
            <w:tcW w:w="791" w:type="pct"/>
            <w:noWrap w:val="0"/>
            <w:vAlign w:val="center"/>
          </w:tcPr>
          <w:p w14:paraId="0313F4D9">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200/230</w:t>
            </w:r>
          </w:p>
        </w:tc>
        <w:tc>
          <w:tcPr>
            <w:tcW w:w="934" w:type="pct"/>
            <w:noWrap w:val="0"/>
            <w:vAlign w:val="center"/>
          </w:tcPr>
          <w:p w14:paraId="78168A4A">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550</w:t>
            </w:r>
          </w:p>
        </w:tc>
        <w:tc>
          <w:tcPr>
            <w:tcW w:w="894" w:type="pct"/>
            <w:vMerge w:val="continue"/>
            <w:noWrap w:val="0"/>
            <w:vAlign w:val="center"/>
          </w:tcPr>
          <w:p w14:paraId="4292FF96">
            <w:pPr>
              <w:ind w:firstLine="0" w:firstLineChars="0"/>
              <w:jc w:val="center"/>
              <w:rPr>
                <w:rFonts w:ascii="Times New Roman" w:hAnsi="Times New Roman" w:eastAsia="宋体" w:cs="Times New Roman"/>
                <w:sz w:val="18"/>
                <w:szCs w:val="32"/>
                <w:highlight w:val="none"/>
                <w:lang w:val="en-US" w:eastAsia="zh-CN" w:bidi="ar-SA"/>
              </w:rPr>
            </w:pPr>
          </w:p>
        </w:tc>
        <w:tc>
          <w:tcPr>
            <w:tcW w:w="1132" w:type="pct"/>
            <w:noWrap w:val="0"/>
            <w:vAlign w:val="center"/>
          </w:tcPr>
          <w:p w14:paraId="09A7CDD0">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633</w:t>
            </w:r>
          </w:p>
        </w:tc>
      </w:tr>
      <w:tr w14:paraId="4F26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97" w:type="pct"/>
            <w:vMerge w:val="restart"/>
            <w:noWrap w:val="0"/>
            <w:vAlign w:val="center"/>
          </w:tcPr>
          <w:p w14:paraId="4E1FBE81">
            <w:pPr>
              <w:tabs>
                <w:tab w:val="center" w:pos="4201"/>
                <w:tab w:val="right" w:leader="dot" w:pos="9298"/>
              </w:tabs>
              <w:ind w:firstLine="0" w:firstLineChars="0"/>
              <w:jc w:val="center"/>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220</w:t>
            </w:r>
          </w:p>
        </w:tc>
        <w:tc>
          <w:tcPr>
            <w:tcW w:w="651" w:type="pct"/>
            <w:vMerge w:val="restart"/>
            <w:noWrap w:val="0"/>
            <w:vAlign w:val="center"/>
          </w:tcPr>
          <w:p w14:paraId="75236A23">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252</w:t>
            </w:r>
          </w:p>
        </w:tc>
        <w:tc>
          <w:tcPr>
            <w:tcW w:w="791" w:type="pct"/>
            <w:noWrap w:val="0"/>
            <w:vAlign w:val="center"/>
          </w:tcPr>
          <w:p w14:paraId="30A0DB4E">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395</w:t>
            </w:r>
          </w:p>
        </w:tc>
        <w:tc>
          <w:tcPr>
            <w:tcW w:w="934" w:type="pct"/>
            <w:noWrap w:val="0"/>
            <w:vAlign w:val="center"/>
          </w:tcPr>
          <w:p w14:paraId="51B7147F">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950</w:t>
            </w:r>
          </w:p>
        </w:tc>
        <w:tc>
          <w:tcPr>
            <w:tcW w:w="894" w:type="pct"/>
            <w:vMerge w:val="restart"/>
            <w:noWrap w:val="0"/>
            <w:vAlign w:val="center"/>
          </w:tcPr>
          <w:p w14:paraId="570A01AB">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w:t>
            </w:r>
          </w:p>
        </w:tc>
        <w:tc>
          <w:tcPr>
            <w:tcW w:w="1132" w:type="pct"/>
            <w:noWrap w:val="0"/>
            <w:vAlign w:val="center"/>
          </w:tcPr>
          <w:p w14:paraId="0C8C19C8">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1050</w:t>
            </w:r>
          </w:p>
        </w:tc>
      </w:tr>
      <w:tr w14:paraId="10AB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597" w:type="pct"/>
            <w:vMerge w:val="continue"/>
            <w:noWrap w:val="0"/>
            <w:vAlign w:val="center"/>
          </w:tcPr>
          <w:p w14:paraId="16FCD904">
            <w:pPr>
              <w:ind w:firstLine="0" w:firstLineChars="0"/>
              <w:jc w:val="center"/>
              <w:rPr>
                <w:rFonts w:ascii="Times New Roman" w:hAnsi="Times New Roman" w:eastAsia="宋体" w:cs="Times New Roman"/>
                <w:sz w:val="18"/>
                <w:szCs w:val="32"/>
                <w:highlight w:val="none"/>
                <w:lang w:val="en-US" w:eastAsia="zh-CN" w:bidi="ar-SA"/>
              </w:rPr>
            </w:pPr>
          </w:p>
        </w:tc>
        <w:tc>
          <w:tcPr>
            <w:tcW w:w="651" w:type="pct"/>
            <w:vMerge w:val="continue"/>
            <w:noWrap w:val="0"/>
            <w:vAlign w:val="center"/>
          </w:tcPr>
          <w:p w14:paraId="79187260">
            <w:pPr>
              <w:ind w:firstLine="0" w:firstLineChars="0"/>
              <w:jc w:val="center"/>
              <w:rPr>
                <w:rFonts w:ascii="Times New Roman" w:hAnsi="Times New Roman" w:eastAsia="宋体" w:cs="Times New Roman"/>
                <w:sz w:val="18"/>
                <w:szCs w:val="32"/>
                <w:highlight w:val="none"/>
                <w:lang w:val="en-US" w:eastAsia="zh-CN" w:bidi="ar-SA"/>
              </w:rPr>
            </w:pPr>
          </w:p>
        </w:tc>
        <w:tc>
          <w:tcPr>
            <w:tcW w:w="791" w:type="pct"/>
            <w:noWrap w:val="0"/>
            <w:vAlign w:val="center"/>
          </w:tcPr>
          <w:p w14:paraId="54E14AF2">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395/460</w:t>
            </w:r>
          </w:p>
        </w:tc>
        <w:tc>
          <w:tcPr>
            <w:tcW w:w="934" w:type="pct"/>
            <w:noWrap w:val="0"/>
            <w:vAlign w:val="center"/>
          </w:tcPr>
          <w:p w14:paraId="1919E279">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1050</w:t>
            </w:r>
          </w:p>
        </w:tc>
        <w:tc>
          <w:tcPr>
            <w:tcW w:w="894" w:type="pct"/>
            <w:vMerge w:val="continue"/>
            <w:noWrap w:val="0"/>
            <w:vAlign w:val="center"/>
          </w:tcPr>
          <w:p w14:paraId="464C64AB">
            <w:pPr>
              <w:ind w:firstLine="0" w:firstLineChars="0"/>
              <w:jc w:val="center"/>
              <w:rPr>
                <w:rFonts w:ascii="Times New Roman" w:hAnsi="Times New Roman" w:eastAsia="宋体" w:cs="Times New Roman"/>
                <w:sz w:val="18"/>
                <w:szCs w:val="32"/>
                <w:highlight w:val="none"/>
                <w:lang w:val="en-US" w:eastAsia="zh-CN" w:bidi="ar-SA"/>
              </w:rPr>
            </w:pPr>
          </w:p>
        </w:tc>
        <w:tc>
          <w:tcPr>
            <w:tcW w:w="1132" w:type="pct"/>
            <w:noWrap w:val="0"/>
            <w:vAlign w:val="center"/>
          </w:tcPr>
          <w:p w14:paraId="2F9A2DB1">
            <w:pPr>
              <w:ind w:firstLine="0" w:firstLineChars="0"/>
              <w:jc w:val="center"/>
              <w:rPr>
                <w:rFonts w:ascii="Times New Roman" w:hAnsi="Times New Roman" w:eastAsia="宋体" w:cs="Times New Roman"/>
                <w:sz w:val="18"/>
                <w:szCs w:val="32"/>
                <w:highlight w:val="none"/>
                <w:lang w:val="en-US" w:eastAsia="zh-CN" w:bidi="ar-SA"/>
              </w:rPr>
            </w:pPr>
            <w:r>
              <w:rPr>
                <w:rFonts w:ascii="Times New Roman" w:hAnsi="Times New Roman" w:eastAsia="宋体" w:cs="Times New Roman"/>
                <w:sz w:val="18"/>
                <w:szCs w:val="32"/>
                <w:highlight w:val="none"/>
                <w:lang w:val="en-US" w:eastAsia="zh-CN" w:bidi="ar-SA"/>
              </w:rPr>
              <w:t>1175</w:t>
            </w:r>
          </w:p>
        </w:tc>
      </w:tr>
      <w:tr w14:paraId="0D6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center"/>
          </w:tcPr>
          <w:p w14:paraId="3E3AE09B">
            <w:pPr>
              <w:widowControl w:val="0"/>
              <w:numPr>
                <w:ilvl w:val="0"/>
                <w:numId w:val="0"/>
              </w:numPr>
              <w:tabs>
                <w:tab w:val="left" w:pos="0"/>
                <w:tab w:val="left" w:pos="630"/>
              </w:tabs>
              <w:autoSpaceDE w:val="0"/>
              <w:autoSpaceDN w:val="0"/>
              <w:spacing w:before="78" w:after="78"/>
              <w:ind w:left="870" w:leftChars="200" w:hanging="450" w:hangingChars="250"/>
              <w:jc w:val="both"/>
              <w:rPr>
                <w:rFonts w:ascii="Times New Roman" w:hAnsi="Times New Roman" w:eastAsia="宋体" w:cs="Times New Roman"/>
                <w:sz w:val="18"/>
                <w:szCs w:val="18"/>
                <w:highlight w:val="none"/>
                <w:lang w:val="en-US" w:eastAsia="zh-CN" w:bidi="ar-SA"/>
              </w:rPr>
            </w:pPr>
            <w:r>
              <w:rPr>
                <w:rFonts w:ascii="Times New Roman" w:hAnsi="Times New Roman" w:eastAsia="黑体" w:cs="Times New Roman"/>
                <w:sz w:val="18"/>
                <w:szCs w:val="18"/>
                <w:highlight w:val="none"/>
                <w:lang w:val="en-US" w:eastAsia="zh-CN" w:bidi="ar-SA"/>
              </w:rPr>
              <w:t>注1：</w:t>
            </w:r>
            <w:r>
              <w:rPr>
                <w:rFonts w:ascii="Times New Roman" w:hAnsi="Times New Roman" w:eastAsia="宋体" w:cs="Times New Roman"/>
                <w:sz w:val="18"/>
                <w:szCs w:val="18"/>
                <w:highlight w:val="none"/>
                <w:lang w:val="en-US" w:eastAsia="zh-CN" w:bidi="ar-SA"/>
              </w:rPr>
              <w:t>对于斜线下的数值，额定</w:t>
            </w:r>
            <w:r>
              <w:rPr>
                <w:rFonts w:hint="eastAsia" w:cs="Times New Roman"/>
                <w:sz w:val="18"/>
                <w:szCs w:val="18"/>
                <w:highlight w:val="none"/>
                <w:lang w:val="en-US" w:eastAsia="zh-CN" w:bidi="ar-SA"/>
              </w:rPr>
              <w:t>交流</w:t>
            </w:r>
            <w:r>
              <w:rPr>
                <w:rFonts w:ascii="Times New Roman" w:hAnsi="Times New Roman" w:eastAsia="宋体" w:cs="Times New Roman"/>
                <w:sz w:val="18"/>
                <w:szCs w:val="18"/>
                <w:highlight w:val="none"/>
                <w:lang w:val="en-US" w:eastAsia="zh-CN" w:bidi="ar-SA"/>
              </w:rPr>
              <w:t>耐受电压为设备外绝缘干状态下的耐受电压值，额定雷电冲击耐受电压为设备内绝缘的耐受电压值。</w:t>
            </w:r>
          </w:p>
          <w:p w14:paraId="6A297D08">
            <w:pPr>
              <w:widowControl w:val="0"/>
              <w:numPr>
                <w:ilvl w:val="0"/>
                <w:numId w:val="0"/>
              </w:numPr>
              <w:tabs>
                <w:tab w:val="left" w:pos="630"/>
                <w:tab w:val="left" w:pos="900"/>
              </w:tabs>
              <w:autoSpaceDE w:val="0"/>
              <w:autoSpaceDN w:val="0"/>
              <w:spacing w:before="78" w:after="78"/>
              <w:ind w:left="870" w:leftChars="200" w:hanging="450" w:hangingChars="250"/>
              <w:jc w:val="both"/>
              <w:rPr>
                <w:rFonts w:ascii="Times New Roman" w:hAnsi="Times New Roman" w:eastAsia="宋体" w:cs="Times New Roman"/>
                <w:sz w:val="18"/>
                <w:szCs w:val="18"/>
                <w:highlight w:val="none"/>
                <w:lang w:val="en-US" w:eastAsia="zh-CN" w:bidi="ar-SA"/>
              </w:rPr>
            </w:pPr>
            <w:r>
              <w:rPr>
                <w:rFonts w:ascii="Times New Roman" w:hAnsi="Times New Roman" w:eastAsia="黑体" w:cs="Times New Roman"/>
                <w:sz w:val="18"/>
                <w:szCs w:val="18"/>
                <w:highlight w:val="none"/>
                <w:lang w:val="en-US" w:eastAsia="zh-CN" w:bidi="ar-SA"/>
              </w:rPr>
              <w:t>注2：</w:t>
            </w:r>
            <w:r>
              <w:rPr>
                <w:rFonts w:ascii="Times New Roman" w:hAnsi="Times New Roman" w:eastAsia="宋体" w:cs="Times New Roman"/>
                <w:iCs/>
                <w:sz w:val="18"/>
                <w:szCs w:val="18"/>
                <w:highlight w:val="none"/>
                <w:lang w:val="en-US" w:eastAsia="zh-CN" w:bidi="ar-SA"/>
              </w:rPr>
              <w:t>不接地电压互感器的感应耐压试验采用斜线上的额定短时</w:t>
            </w:r>
            <w:r>
              <w:rPr>
                <w:rFonts w:hint="eastAsia" w:cs="Times New Roman"/>
                <w:iCs/>
                <w:sz w:val="18"/>
                <w:szCs w:val="18"/>
                <w:highlight w:val="none"/>
                <w:lang w:val="en-US" w:eastAsia="zh-CN" w:bidi="ar-SA"/>
              </w:rPr>
              <w:t>交流</w:t>
            </w:r>
            <w:r>
              <w:rPr>
                <w:rFonts w:ascii="Times New Roman" w:hAnsi="Times New Roman" w:eastAsia="宋体" w:cs="Times New Roman"/>
                <w:iCs/>
                <w:sz w:val="18"/>
                <w:szCs w:val="18"/>
                <w:highlight w:val="none"/>
                <w:lang w:val="en-US" w:eastAsia="zh-CN" w:bidi="ar-SA"/>
              </w:rPr>
              <w:t>耐受电压值</w:t>
            </w:r>
            <w:r>
              <w:rPr>
                <w:rFonts w:ascii="Times New Roman" w:hAnsi="Times New Roman" w:eastAsia="宋体" w:cs="Times New Roman"/>
                <w:sz w:val="18"/>
                <w:szCs w:val="18"/>
                <w:highlight w:val="none"/>
                <w:lang w:val="en-US" w:eastAsia="zh-CN" w:bidi="ar-SA"/>
              </w:rPr>
              <w:t>。</w:t>
            </w:r>
          </w:p>
        </w:tc>
      </w:tr>
    </w:tbl>
    <w:p w14:paraId="7BBE087F">
      <w:pPr>
        <w:pStyle w:val="260"/>
        <w:bidi w:val="0"/>
        <w:ind w:left="710" w:leftChars="0" w:hanging="710" w:firstLineChars="0"/>
        <w:rPr>
          <w:highlight w:val="none"/>
          <w:lang w:val="en-US" w:eastAsia="zh-CN"/>
        </w:rPr>
      </w:pPr>
      <w:bookmarkStart w:id="152" w:name="_Toc5159"/>
      <w:bookmarkStart w:id="153" w:name="_Toc12300"/>
      <w:bookmarkStart w:id="154" w:name="_Toc170918030"/>
      <w:r>
        <w:rPr>
          <w:highlight w:val="none"/>
          <w:lang w:val="en-US" w:eastAsia="zh-CN"/>
        </w:rPr>
        <w:t>接地端子的</w:t>
      </w:r>
      <w:r>
        <w:rPr>
          <w:rFonts w:hint="eastAsia"/>
          <w:highlight w:val="none"/>
          <w:lang w:val="en-US" w:eastAsia="zh-CN"/>
        </w:rPr>
        <w:t>交流</w:t>
      </w:r>
      <w:r>
        <w:rPr>
          <w:highlight w:val="none"/>
          <w:lang w:val="en-US" w:eastAsia="zh-CN"/>
        </w:rPr>
        <w:t>耐受电压</w:t>
      </w:r>
      <w:bookmarkEnd w:id="152"/>
      <w:bookmarkStart w:id="155" w:name="pindex460"/>
      <w:bookmarkEnd w:id="155"/>
      <w:r>
        <w:rPr>
          <w:highlight w:val="none"/>
          <w:lang w:val="en-US" w:eastAsia="zh-CN"/>
        </w:rPr>
        <w:t>要求</w:t>
      </w:r>
      <w:bookmarkEnd w:id="153"/>
      <w:bookmarkEnd w:id="154"/>
    </w:p>
    <w:p w14:paraId="25A94660">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电压互感器接地端子的</w:t>
      </w:r>
      <w:r>
        <w:rPr>
          <w:rFonts w:hint="eastAsia" w:cs="Times New Roman"/>
          <w:sz w:val="21"/>
          <w:highlight w:val="none"/>
          <w:lang w:val="en-US" w:eastAsia="zh-CN" w:bidi="ar-SA"/>
        </w:rPr>
        <w:t>交流</w:t>
      </w:r>
      <w:r>
        <w:rPr>
          <w:rFonts w:ascii="Times New Roman" w:hAnsi="Times New Roman" w:eastAsia="宋体" w:cs="Times New Roman"/>
          <w:sz w:val="21"/>
          <w:highlight w:val="none"/>
          <w:lang w:val="en-US" w:eastAsia="zh-CN" w:bidi="ar-SA"/>
        </w:rPr>
        <w:t>耐受电压应</w:t>
      </w:r>
      <w:r>
        <w:rPr>
          <w:rFonts w:ascii="Times New Roman" w:hAnsi="Times New Roman" w:eastAsia="宋体" w:cs="Times New Roman"/>
          <w:sz w:val="21"/>
          <w:szCs w:val="21"/>
          <w:highlight w:val="none"/>
          <w:lang w:val="en-US" w:eastAsia="zh-CN" w:bidi="ar-SA"/>
        </w:rPr>
        <w:t>符合GB/T 20840.3</w:t>
      </w:r>
      <w:r>
        <w:rPr>
          <w:rFonts w:ascii="Times New Roman" w:hAnsi="Times New Roman" w:eastAsia="宋体" w:cs="Times New Roman"/>
          <w:sz w:val="21"/>
          <w:highlight w:val="none"/>
          <w:lang w:val="en-US" w:eastAsia="zh-CN" w:bidi="ar-SA"/>
        </w:rPr>
        <w:t>的要求。</w:t>
      </w:r>
    </w:p>
    <w:p w14:paraId="2CF69B26">
      <w:pPr>
        <w:pStyle w:val="260"/>
        <w:bidi w:val="0"/>
        <w:ind w:left="710" w:leftChars="0" w:hanging="710" w:firstLineChars="0"/>
        <w:rPr>
          <w:highlight w:val="none"/>
          <w:lang w:val="en-US" w:eastAsia="zh-CN"/>
        </w:rPr>
      </w:pPr>
      <w:bookmarkStart w:id="156" w:name="_Toc170918031"/>
      <w:bookmarkStart w:id="157" w:name="_Toc19604"/>
      <w:bookmarkStart w:id="158" w:name="_Toc18814"/>
      <w:r>
        <w:rPr>
          <w:highlight w:val="none"/>
          <w:lang w:val="en-US" w:eastAsia="zh-CN"/>
        </w:rPr>
        <w:t>段间绝缘、二次端绝缘要求</w:t>
      </w:r>
      <w:bookmarkEnd w:id="156"/>
      <w:bookmarkEnd w:id="157"/>
      <w:bookmarkEnd w:id="158"/>
      <w:bookmarkStart w:id="159" w:name="pindex462"/>
      <w:bookmarkEnd w:id="159"/>
    </w:p>
    <w:p w14:paraId="18788CC8">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段间绝缘、二次端绝缘的额定</w:t>
      </w:r>
      <w:r>
        <w:rPr>
          <w:rFonts w:hint="eastAsia" w:cs="Times New Roman"/>
          <w:sz w:val="21"/>
          <w:highlight w:val="none"/>
          <w:lang w:val="en-US" w:eastAsia="zh-CN" w:bidi="ar-SA"/>
        </w:rPr>
        <w:t>交流</w:t>
      </w:r>
      <w:r>
        <w:rPr>
          <w:rFonts w:ascii="Times New Roman" w:hAnsi="Times New Roman" w:eastAsia="宋体" w:cs="Times New Roman"/>
          <w:sz w:val="21"/>
          <w:highlight w:val="none"/>
          <w:lang w:val="en-US" w:eastAsia="zh-CN" w:bidi="ar-SA"/>
        </w:rPr>
        <w:t>耐受电压应符合GB/T 20840.1</w:t>
      </w:r>
      <w:r>
        <w:rPr>
          <w:rFonts w:ascii="Times New Roman" w:hAnsi="Times New Roman" w:eastAsia="宋体" w:cs="Times New Roman"/>
          <w:sz w:val="21"/>
          <w:szCs w:val="21"/>
          <w:highlight w:val="none"/>
          <w:lang w:val="en-US" w:eastAsia="zh-CN" w:bidi="ar-SA"/>
        </w:rPr>
        <w:t>的</w:t>
      </w:r>
      <w:r>
        <w:rPr>
          <w:rFonts w:ascii="Times New Roman" w:hAnsi="Times New Roman" w:eastAsia="宋体" w:cs="Times New Roman"/>
          <w:sz w:val="21"/>
          <w:highlight w:val="none"/>
          <w:lang w:val="en-US" w:eastAsia="zh-CN" w:bidi="ar-SA"/>
        </w:rPr>
        <w:t>要求。</w:t>
      </w:r>
    </w:p>
    <w:p w14:paraId="0ABA5989">
      <w:pPr>
        <w:pStyle w:val="260"/>
        <w:bidi w:val="0"/>
        <w:ind w:left="710" w:leftChars="0" w:hanging="710" w:firstLineChars="0"/>
        <w:rPr>
          <w:highlight w:val="none"/>
          <w:lang w:val="en-US" w:eastAsia="zh-CN"/>
        </w:rPr>
      </w:pPr>
      <w:bookmarkStart w:id="160" w:name="_Toc16115"/>
      <w:bookmarkStart w:id="161" w:name="_Toc22772"/>
      <w:bookmarkStart w:id="162" w:name="_Toc170918032"/>
      <w:r>
        <w:rPr>
          <w:highlight w:val="none"/>
          <w:lang w:val="en-US" w:eastAsia="zh-CN"/>
        </w:rPr>
        <w:t>局部放电水平</w:t>
      </w:r>
      <w:bookmarkEnd w:id="160"/>
      <w:bookmarkStart w:id="163" w:name="pindex464"/>
      <w:bookmarkEnd w:id="163"/>
      <w:r>
        <w:rPr>
          <w:highlight w:val="none"/>
          <w:lang w:val="en-US" w:eastAsia="zh-CN"/>
        </w:rPr>
        <w:t>要求</w:t>
      </w:r>
      <w:bookmarkEnd w:id="161"/>
      <w:bookmarkEnd w:id="162"/>
    </w:p>
    <w:p w14:paraId="2DD971C9">
      <w:pPr>
        <w:autoSpaceDE w:val="0"/>
        <w:autoSpaceDN w:val="0"/>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电压互感器的局部放电水平应符合下列要求：</w:t>
      </w:r>
    </w:p>
    <w:p w14:paraId="0AACCF7A">
      <w:pPr>
        <w:numPr>
          <w:ilvl w:val="0"/>
          <w:numId w:val="34"/>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对于设备最高电压为</w:t>
      </w:r>
      <w:r>
        <w:rPr>
          <w:rFonts w:hint="eastAsia" w:cs="Times New Roman"/>
          <w:szCs w:val="21"/>
          <w:highlight w:val="none"/>
          <w:lang w:val="en-US" w:eastAsia="zh-CN"/>
        </w:rPr>
        <w:t>12</w:t>
      </w:r>
      <w:r>
        <w:rPr>
          <w:rFonts w:ascii="Times New Roman" w:hAnsi="Times New Roman" w:eastAsia="宋体" w:cs="Times New Roman"/>
          <w:szCs w:val="21"/>
          <w:highlight w:val="none"/>
        </w:rPr>
        <w:t>kV及以上的电压互感器，其局部放电水平不应超过表5的规定数值；</w:t>
      </w:r>
    </w:p>
    <w:p w14:paraId="7A3EC636">
      <w:pPr>
        <w:numPr>
          <w:ilvl w:val="0"/>
          <w:numId w:val="34"/>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若中性点接地方式没有明确，局部放电水平可按中性点绝缘系统或非有效接地系统考虑；</w:t>
      </w:r>
    </w:p>
    <w:p w14:paraId="62B83569">
      <w:pPr>
        <w:numPr>
          <w:ilvl w:val="0"/>
          <w:numId w:val="34"/>
        </w:numPr>
        <w:ind w:left="839" w:leftChars="0" w:hanging="419" w:firstLineChars="0"/>
        <w:rPr>
          <w:rFonts w:hint="eastAsia" w:ascii="Times New Roman" w:hAnsi="Times New Roman" w:eastAsia="宋体" w:cs="Times New Roman"/>
          <w:szCs w:val="21"/>
          <w:highlight w:val="none"/>
        </w:rPr>
      </w:pPr>
      <w:r>
        <w:rPr>
          <w:rFonts w:ascii="Times New Roman" w:hAnsi="Times New Roman" w:eastAsia="宋体" w:cs="Times New Roman"/>
          <w:szCs w:val="21"/>
          <w:highlight w:val="none"/>
        </w:rPr>
        <w:t>局部放电的最大允许值对于非额定频率也是适用的。</w:t>
      </w:r>
    </w:p>
    <w:p w14:paraId="5BC79665">
      <w:pPr>
        <w:numPr>
          <w:ilvl w:val="0"/>
          <w:numId w:val="0"/>
        </w:numPr>
        <w:tabs>
          <w:tab w:val="left" w:pos="360"/>
        </w:tabs>
        <w:spacing w:before="156" w:beforeLines="50" w:after="156" w:afterLines="50"/>
        <w:jc w:val="center"/>
        <w:rPr>
          <w:rFonts w:ascii="Times New Roman" w:hAnsi="Times New Roman" w:eastAsia="黑体" w:cs="Times New Roman"/>
          <w:sz w:val="21"/>
          <w:szCs w:val="21"/>
          <w:highlight w:val="none"/>
          <w:lang w:val="en-US" w:eastAsia="zh-CN" w:bidi="ar-SA"/>
        </w:rPr>
      </w:pPr>
      <w:r>
        <w:rPr>
          <w:rFonts w:ascii="Times New Roman" w:hAnsi="Times New Roman" w:eastAsia="黑体" w:cs="Times New Roman"/>
          <w:sz w:val="21"/>
          <w:szCs w:val="21"/>
          <w:highlight w:val="none"/>
          <w:lang w:val="en-US" w:eastAsia="zh-CN" w:bidi="ar-SA"/>
        </w:rPr>
        <w:t>表5 允许的局部放电水平</w:t>
      </w:r>
      <w:bookmarkStart w:id="164" w:name="pindex469"/>
      <w:bookmarkEnd w:id="164"/>
    </w:p>
    <w:tbl>
      <w:tblPr>
        <w:tblStyle w:val="88"/>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75"/>
        <w:gridCol w:w="1926"/>
        <w:gridCol w:w="2133"/>
        <w:gridCol w:w="1884"/>
        <w:gridCol w:w="1452"/>
      </w:tblGrid>
      <w:tr w14:paraId="5F1CF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restart"/>
            <w:tcBorders>
              <w:tl2br w:val="nil"/>
              <w:tr2bl w:val="nil"/>
            </w:tcBorders>
            <w:noWrap w:val="0"/>
            <w:vAlign w:val="center"/>
          </w:tcPr>
          <w:p w14:paraId="6EED27C2">
            <w:pPr>
              <w:jc w:val="center"/>
              <w:rPr>
                <w:rFonts w:ascii="Times New Roman" w:hAnsi="Times New Roman" w:eastAsia="宋体" w:cs="Times New Roman"/>
                <w:sz w:val="18"/>
                <w:highlight w:val="none"/>
              </w:rPr>
            </w:pPr>
            <w:r>
              <w:rPr>
                <w:rFonts w:ascii="Times New Roman" w:hAnsi="Times New Roman" w:eastAsia="宋体" w:cs="Times New Roman"/>
                <w:sz w:val="18"/>
                <w:szCs w:val="18"/>
                <w:highlight w:val="none"/>
              </w:rPr>
              <w:t>系统中性点接地方式</w:t>
            </w:r>
          </w:p>
        </w:tc>
        <w:tc>
          <w:tcPr>
            <w:tcW w:w="1006" w:type="pct"/>
            <w:vMerge w:val="restart"/>
            <w:tcBorders>
              <w:tl2br w:val="nil"/>
              <w:tr2bl w:val="nil"/>
            </w:tcBorders>
            <w:noWrap w:val="0"/>
            <w:vAlign w:val="center"/>
          </w:tcPr>
          <w:p w14:paraId="0517403D">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互感器类型</w:t>
            </w:r>
          </w:p>
        </w:tc>
        <w:tc>
          <w:tcPr>
            <w:tcW w:w="1114" w:type="pct"/>
            <w:vMerge w:val="restart"/>
            <w:tcBorders>
              <w:tl2br w:val="nil"/>
              <w:tr2bl w:val="nil"/>
            </w:tcBorders>
            <w:noWrap w:val="0"/>
            <w:vAlign w:val="center"/>
          </w:tcPr>
          <w:p w14:paraId="2B363AD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局部放电测量电压</w:t>
            </w:r>
          </w:p>
          <w:p w14:paraId="72D4748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（方均根值）</w:t>
            </w:r>
          </w:p>
          <w:p w14:paraId="5D19F723">
            <w:pPr>
              <w:jc w:val="center"/>
              <w:rPr>
                <w:rFonts w:ascii="Times New Roman" w:hAnsi="Times New Roman" w:eastAsia="宋体" w:cs="Times New Roman"/>
                <w:sz w:val="18"/>
                <w:highlight w:val="none"/>
              </w:rPr>
            </w:pPr>
            <w:r>
              <w:rPr>
                <w:rFonts w:ascii="Times New Roman" w:hAnsi="Times New Roman" w:eastAsia="宋体" w:cs="Times New Roman"/>
                <w:sz w:val="18"/>
                <w:szCs w:val="18"/>
                <w:highlight w:val="none"/>
              </w:rPr>
              <w:t>kV</w:t>
            </w:r>
          </w:p>
        </w:tc>
        <w:tc>
          <w:tcPr>
            <w:tcW w:w="1742" w:type="pct"/>
            <w:gridSpan w:val="2"/>
            <w:tcBorders>
              <w:tl2br w:val="nil"/>
              <w:tr2bl w:val="nil"/>
            </w:tcBorders>
            <w:noWrap w:val="0"/>
            <w:vAlign w:val="center"/>
          </w:tcPr>
          <w:p w14:paraId="779F7180">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局部放电允许水平(</w:t>
            </w:r>
            <w:bookmarkStart w:id="165" w:name="bkReivew2042"/>
            <w:r>
              <w:rPr>
                <w:rFonts w:ascii="Times New Roman" w:hAnsi="Times New Roman" w:eastAsia="宋体" w:cs="Times New Roman"/>
                <w:color w:val="auto"/>
                <w:sz w:val="18"/>
                <w:szCs w:val="18"/>
                <w:highlight w:val="none"/>
              </w:rPr>
              <w:t>视在</w:t>
            </w:r>
            <w:bookmarkEnd w:id="165"/>
            <w:r>
              <w:rPr>
                <w:rFonts w:ascii="Times New Roman" w:hAnsi="Times New Roman" w:eastAsia="宋体" w:cs="Times New Roman"/>
                <w:color w:val="auto"/>
                <w:sz w:val="18"/>
                <w:szCs w:val="18"/>
                <w:highlight w:val="none"/>
              </w:rPr>
              <w:t>放电量)</w:t>
            </w:r>
          </w:p>
          <w:p w14:paraId="547F070E">
            <w:pPr>
              <w:jc w:val="center"/>
              <w:rPr>
                <w:rFonts w:ascii="Times New Roman" w:hAnsi="Times New Roman" w:eastAsia="宋体" w:cs="Times New Roman"/>
                <w:color w:val="auto"/>
                <w:sz w:val="18"/>
                <w:highlight w:val="none"/>
              </w:rPr>
            </w:pPr>
            <w:r>
              <w:rPr>
                <w:rFonts w:ascii="Times New Roman" w:hAnsi="Times New Roman" w:eastAsia="宋体" w:cs="Times New Roman"/>
                <w:color w:val="auto"/>
                <w:sz w:val="18"/>
                <w:szCs w:val="18"/>
                <w:highlight w:val="none"/>
              </w:rPr>
              <w:t>pC</w:t>
            </w:r>
          </w:p>
        </w:tc>
      </w:tr>
      <w:tr w14:paraId="28B7F9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continue"/>
            <w:tcBorders>
              <w:tl2br w:val="nil"/>
              <w:tr2bl w:val="nil"/>
            </w:tcBorders>
            <w:noWrap w:val="0"/>
            <w:vAlign w:val="center"/>
          </w:tcPr>
          <w:p w14:paraId="16A75CAC">
            <w:pPr>
              <w:jc w:val="center"/>
              <w:rPr>
                <w:rFonts w:ascii="Times New Roman" w:hAnsi="Times New Roman" w:eastAsia="宋体" w:cs="Times New Roman"/>
                <w:sz w:val="18"/>
                <w:highlight w:val="none"/>
              </w:rPr>
            </w:pPr>
          </w:p>
        </w:tc>
        <w:tc>
          <w:tcPr>
            <w:tcW w:w="1006" w:type="pct"/>
            <w:vMerge w:val="continue"/>
            <w:tcBorders>
              <w:tl2br w:val="nil"/>
              <w:tr2bl w:val="nil"/>
            </w:tcBorders>
            <w:noWrap w:val="0"/>
            <w:vAlign w:val="center"/>
          </w:tcPr>
          <w:p w14:paraId="5DBF6BE9">
            <w:pPr>
              <w:jc w:val="center"/>
              <w:rPr>
                <w:rFonts w:ascii="Times New Roman" w:hAnsi="Times New Roman" w:eastAsia="宋体" w:cs="Times New Roman"/>
                <w:sz w:val="18"/>
                <w:highlight w:val="none"/>
              </w:rPr>
            </w:pPr>
          </w:p>
        </w:tc>
        <w:tc>
          <w:tcPr>
            <w:tcW w:w="1114" w:type="pct"/>
            <w:vMerge w:val="continue"/>
            <w:tcBorders>
              <w:tl2br w:val="nil"/>
              <w:tr2bl w:val="nil"/>
            </w:tcBorders>
            <w:noWrap w:val="0"/>
            <w:vAlign w:val="center"/>
          </w:tcPr>
          <w:p w14:paraId="4D10B96B">
            <w:pPr>
              <w:jc w:val="center"/>
              <w:rPr>
                <w:rFonts w:ascii="Times New Roman" w:hAnsi="Times New Roman" w:eastAsia="宋体" w:cs="Times New Roman"/>
                <w:sz w:val="18"/>
                <w:highlight w:val="none"/>
              </w:rPr>
            </w:pPr>
          </w:p>
        </w:tc>
        <w:tc>
          <w:tcPr>
            <w:tcW w:w="1742" w:type="pct"/>
            <w:gridSpan w:val="2"/>
            <w:tcBorders>
              <w:tl2br w:val="nil"/>
              <w:tr2bl w:val="nil"/>
            </w:tcBorders>
            <w:noWrap w:val="0"/>
            <w:vAlign w:val="center"/>
          </w:tcPr>
          <w:p w14:paraId="0ADB95E3">
            <w:pPr>
              <w:jc w:val="center"/>
              <w:rPr>
                <w:rFonts w:ascii="Times New Roman" w:hAnsi="Times New Roman" w:eastAsia="宋体" w:cs="Times New Roman"/>
                <w:color w:val="auto"/>
                <w:sz w:val="18"/>
                <w:highlight w:val="none"/>
              </w:rPr>
            </w:pPr>
            <w:r>
              <w:rPr>
                <w:rFonts w:ascii="Times New Roman" w:hAnsi="Times New Roman" w:eastAsia="宋体" w:cs="Times New Roman"/>
                <w:color w:val="auto"/>
                <w:sz w:val="18"/>
                <w:szCs w:val="18"/>
                <w:highlight w:val="none"/>
              </w:rPr>
              <w:t>绝缘型式</w:t>
            </w:r>
          </w:p>
        </w:tc>
      </w:tr>
      <w:tr w14:paraId="100B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continue"/>
            <w:tcBorders>
              <w:tl2br w:val="nil"/>
              <w:tr2bl w:val="nil"/>
            </w:tcBorders>
            <w:noWrap w:val="0"/>
            <w:vAlign w:val="center"/>
          </w:tcPr>
          <w:p w14:paraId="6EA95D98">
            <w:pPr>
              <w:jc w:val="center"/>
              <w:rPr>
                <w:rFonts w:ascii="Times New Roman" w:hAnsi="Times New Roman" w:eastAsia="宋体" w:cs="Times New Roman"/>
                <w:sz w:val="18"/>
                <w:highlight w:val="none"/>
              </w:rPr>
            </w:pPr>
          </w:p>
        </w:tc>
        <w:tc>
          <w:tcPr>
            <w:tcW w:w="1006" w:type="pct"/>
            <w:vMerge w:val="continue"/>
            <w:tcBorders>
              <w:tl2br w:val="nil"/>
              <w:tr2bl w:val="nil"/>
            </w:tcBorders>
            <w:noWrap w:val="0"/>
            <w:vAlign w:val="center"/>
          </w:tcPr>
          <w:p w14:paraId="028C3215">
            <w:pPr>
              <w:jc w:val="center"/>
              <w:rPr>
                <w:rFonts w:ascii="Times New Roman" w:hAnsi="Times New Roman" w:eastAsia="宋体" w:cs="Times New Roman"/>
                <w:sz w:val="18"/>
                <w:highlight w:val="none"/>
              </w:rPr>
            </w:pPr>
          </w:p>
        </w:tc>
        <w:tc>
          <w:tcPr>
            <w:tcW w:w="1114" w:type="pct"/>
            <w:vMerge w:val="continue"/>
            <w:tcBorders>
              <w:tl2br w:val="nil"/>
              <w:tr2bl w:val="nil"/>
            </w:tcBorders>
            <w:noWrap w:val="0"/>
            <w:vAlign w:val="center"/>
          </w:tcPr>
          <w:p w14:paraId="678A0A4F">
            <w:pPr>
              <w:jc w:val="center"/>
              <w:rPr>
                <w:rFonts w:ascii="Times New Roman" w:hAnsi="Times New Roman" w:eastAsia="宋体" w:cs="Times New Roman"/>
                <w:sz w:val="18"/>
                <w:highlight w:val="none"/>
              </w:rPr>
            </w:pPr>
          </w:p>
        </w:tc>
        <w:tc>
          <w:tcPr>
            <w:tcW w:w="984" w:type="pct"/>
            <w:tcBorders>
              <w:tl2br w:val="nil"/>
              <w:tr2bl w:val="nil"/>
            </w:tcBorders>
            <w:noWrap w:val="0"/>
            <w:vAlign w:val="center"/>
          </w:tcPr>
          <w:p w14:paraId="67D15D4A">
            <w:pPr>
              <w:jc w:val="center"/>
              <w:rPr>
                <w:rFonts w:ascii="Times New Roman" w:hAnsi="Times New Roman" w:eastAsia="宋体" w:cs="Times New Roman"/>
                <w:color w:val="auto"/>
                <w:sz w:val="18"/>
                <w:highlight w:val="none"/>
              </w:rPr>
            </w:pPr>
            <w:bookmarkStart w:id="166" w:name="bkReivew3103651"/>
            <w:r>
              <w:rPr>
                <w:rFonts w:ascii="Times New Roman" w:hAnsi="Times New Roman" w:eastAsia="宋体" w:cs="Times New Roman"/>
                <w:color w:val="auto"/>
                <w:sz w:val="18"/>
                <w:szCs w:val="18"/>
                <w:highlight w:val="none"/>
              </w:rPr>
              <w:t>油纸</w:t>
            </w:r>
            <w:bookmarkEnd w:id="166"/>
            <w:r>
              <w:rPr>
                <w:rFonts w:ascii="Times New Roman" w:hAnsi="Times New Roman" w:eastAsia="宋体" w:cs="Times New Roman"/>
                <w:color w:val="auto"/>
                <w:sz w:val="18"/>
                <w:szCs w:val="18"/>
                <w:highlight w:val="none"/>
              </w:rPr>
              <w:t>（气体）</w:t>
            </w:r>
          </w:p>
        </w:tc>
        <w:tc>
          <w:tcPr>
            <w:tcW w:w="758" w:type="pct"/>
            <w:tcBorders>
              <w:tl2br w:val="nil"/>
              <w:tr2bl w:val="nil"/>
            </w:tcBorders>
            <w:noWrap w:val="0"/>
            <w:vAlign w:val="center"/>
          </w:tcPr>
          <w:p w14:paraId="63790558">
            <w:pPr>
              <w:jc w:val="center"/>
              <w:rPr>
                <w:rFonts w:ascii="Times New Roman" w:hAnsi="Times New Roman" w:eastAsia="宋体" w:cs="Times New Roman"/>
                <w:color w:val="auto"/>
                <w:sz w:val="18"/>
                <w:highlight w:val="none"/>
              </w:rPr>
            </w:pPr>
            <w:r>
              <w:rPr>
                <w:rFonts w:ascii="Times New Roman" w:hAnsi="Times New Roman" w:eastAsia="宋体" w:cs="Times New Roman"/>
                <w:color w:val="auto"/>
                <w:sz w:val="18"/>
                <w:szCs w:val="18"/>
                <w:highlight w:val="none"/>
              </w:rPr>
              <w:t>树脂</w:t>
            </w:r>
          </w:p>
        </w:tc>
      </w:tr>
      <w:tr w14:paraId="122BF4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restart"/>
            <w:tcBorders>
              <w:tl2br w:val="nil"/>
              <w:tr2bl w:val="nil"/>
            </w:tcBorders>
            <w:noWrap w:val="0"/>
            <w:vAlign w:val="center"/>
          </w:tcPr>
          <w:p w14:paraId="2594062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中性点有效接地系统</w:t>
            </w:r>
          </w:p>
          <w:p w14:paraId="7C1BF06B">
            <w:pPr>
              <w:jc w:val="center"/>
              <w:rPr>
                <w:rFonts w:ascii="Times New Roman" w:hAnsi="Times New Roman" w:eastAsia="宋体" w:cs="Times New Roman"/>
                <w:sz w:val="18"/>
                <w:highlight w:val="none"/>
              </w:rPr>
            </w:pPr>
            <w:r>
              <w:rPr>
                <w:rFonts w:ascii="Times New Roman" w:hAnsi="Times New Roman" w:eastAsia="宋体" w:cs="Times New Roman"/>
                <w:sz w:val="18"/>
                <w:szCs w:val="18"/>
                <w:highlight w:val="none"/>
              </w:rPr>
              <w:t>（接地故障因数小于等于1.4）</w:t>
            </w:r>
          </w:p>
        </w:tc>
        <w:tc>
          <w:tcPr>
            <w:tcW w:w="1006" w:type="pct"/>
            <w:tcBorders>
              <w:tl2br w:val="nil"/>
              <w:tr2bl w:val="nil"/>
            </w:tcBorders>
            <w:noWrap w:val="0"/>
            <w:vAlign w:val="center"/>
          </w:tcPr>
          <w:p w14:paraId="19AE4EA0">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接地电压互感器</w:t>
            </w:r>
          </w:p>
        </w:tc>
        <w:tc>
          <w:tcPr>
            <w:tcW w:w="1114" w:type="pct"/>
            <w:tcBorders>
              <w:tl2br w:val="nil"/>
              <w:tr2bl w:val="nil"/>
            </w:tcBorders>
            <w:noWrap w:val="0"/>
            <w:vAlign w:val="center"/>
          </w:tcPr>
          <w:p w14:paraId="07E06823">
            <w:pPr>
              <w:jc w:val="center"/>
              <w:rPr>
                <w:rFonts w:ascii="Times New Roman" w:hAnsi="Times New Roman" w:eastAsia="宋体" w:cs="Times New Roman"/>
                <w:sz w:val="18"/>
                <w:highlight w:val="none"/>
              </w:rPr>
            </w:pPr>
            <w:r>
              <w:rPr>
                <w:rFonts w:ascii="Times New Roman" w:hAnsi="Times New Roman" w:eastAsia="仿宋_GB2312" w:cs="Times New Roman"/>
                <w:i/>
                <w:iCs/>
                <w:sz w:val="18"/>
                <w:highlight w:val="none"/>
              </w:rPr>
              <w:t>U</w:t>
            </w:r>
            <w:r>
              <w:rPr>
                <w:rFonts w:ascii="Times New Roman" w:hAnsi="Times New Roman" w:eastAsia="仿宋_GB2312" w:cs="Times New Roman"/>
                <w:sz w:val="18"/>
                <w:highlight w:val="none"/>
                <w:vertAlign w:val="subscript"/>
              </w:rPr>
              <w:t>m</w:t>
            </w:r>
          </w:p>
        </w:tc>
        <w:tc>
          <w:tcPr>
            <w:tcW w:w="984" w:type="pct"/>
            <w:tcBorders>
              <w:tl2br w:val="nil"/>
              <w:tr2bl w:val="nil"/>
            </w:tcBorders>
            <w:noWrap w:val="0"/>
            <w:vAlign w:val="center"/>
          </w:tcPr>
          <w:p w14:paraId="60B6C7AA">
            <w:pPr>
              <w:jc w:val="center"/>
              <w:rPr>
                <w:rFonts w:ascii="Times New Roman" w:hAnsi="Times New Roman" w:eastAsia="宋体" w:cs="Times New Roman"/>
                <w:color w:val="auto"/>
                <w:sz w:val="18"/>
                <w:highlight w:val="none"/>
              </w:rPr>
            </w:pPr>
            <w:r>
              <w:rPr>
                <w:rFonts w:ascii="Times New Roman" w:hAnsi="Times New Roman" w:eastAsia="宋体" w:cs="Times New Roman"/>
                <w:color w:val="auto"/>
                <w:sz w:val="18"/>
                <w:highlight w:val="none"/>
              </w:rPr>
              <w:t>10</w:t>
            </w:r>
          </w:p>
        </w:tc>
        <w:tc>
          <w:tcPr>
            <w:tcW w:w="758" w:type="pct"/>
            <w:tcBorders>
              <w:tl2br w:val="nil"/>
              <w:tr2bl w:val="nil"/>
            </w:tcBorders>
            <w:noWrap w:val="0"/>
            <w:vAlign w:val="center"/>
          </w:tcPr>
          <w:p w14:paraId="213A3225">
            <w:pPr>
              <w:jc w:val="center"/>
              <w:rPr>
                <w:rFonts w:ascii="Times New Roman" w:hAnsi="Times New Roman" w:eastAsia="宋体" w:cs="Times New Roman"/>
                <w:color w:val="auto"/>
                <w:sz w:val="18"/>
                <w:highlight w:val="none"/>
              </w:rPr>
            </w:pPr>
            <w:r>
              <w:rPr>
                <w:rFonts w:ascii="Times New Roman" w:hAnsi="Times New Roman" w:eastAsia="宋体" w:cs="Times New Roman"/>
                <w:color w:val="auto"/>
                <w:sz w:val="18"/>
                <w:highlight w:val="none"/>
              </w:rPr>
              <w:t>50</w:t>
            </w:r>
          </w:p>
        </w:tc>
      </w:tr>
      <w:tr w14:paraId="0FFD1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continue"/>
            <w:tcBorders>
              <w:tl2br w:val="nil"/>
              <w:tr2bl w:val="nil"/>
            </w:tcBorders>
            <w:noWrap w:val="0"/>
            <w:vAlign w:val="center"/>
          </w:tcPr>
          <w:p w14:paraId="3EAC711B">
            <w:pPr>
              <w:jc w:val="center"/>
              <w:rPr>
                <w:rFonts w:ascii="Times New Roman" w:hAnsi="Times New Roman" w:eastAsia="宋体" w:cs="Times New Roman"/>
                <w:sz w:val="18"/>
                <w:highlight w:val="none"/>
              </w:rPr>
            </w:pPr>
          </w:p>
        </w:tc>
        <w:tc>
          <w:tcPr>
            <w:tcW w:w="1006" w:type="pct"/>
            <w:tcBorders>
              <w:tl2br w:val="nil"/>
              <w:tr2bl w:val="nil"/>
            </w:tcBorders>
            <w:noWrap w:val="0"/>
            <w:vAlign w:val="center"/>
          </w:tcPr>
          <w:p w14:paraId="4539491E">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不接地电压互感器</w:t>
            </w:r>
          </w:p>
        </w:tc>
        <w:tc>
          <w:tcPr>
            <w:tcW w:w="1114" w:type="pct"/>
            <w:tcBorders>
              <w:tl2br w:val="nil"/>
              <w:tr2bl w:val="nil"/>
            </w:tcBorders>
            <w:noWrap w:val="0"/>
            <w:vAlign w:val="center"/>
          </w:tcPr>
          <w:p w14:paraId="6DB9767F">
            <w:pPr>
              <w:jc w:val="center"/>
              <w:rPr>
                <w:rFonts w:ascii="Times New Roman" w:hAnsi="Times New Roman" w:eastAsia="宋体" w:cs="Times New Roman"/>
                <w:sz w:val="18"/>
                <w:highlight w:val="none"/>
              </w:rPr>
            </w:pPr>
            <w:r>
              <w:rPr>
                <w:rFonts w:ascii="Times New Roman" w:hAnsi="Times New Roman" w:eastAsia="仿宋_GB2312" w:cs="Times New Roman"/>
                <w:sz w:val="18"/>
                <w:highlight w:val="none"/>
              </w:rPr>
              <w:t>1.2</w:t>
            </w:r>
            <w:r>
              <w:rPr>
                <w:rFonts w:ascii="Times New Roman" w:hAnsi="Times New Roman" w:eastAsia="仿宋_GB2312" w:cs="Times New Roman"/>
                <w:i/>
                <w:iCs/>
                <w:sz w:val="18"/>
                <w:highlight w:val="none"/>
              </w:rPr>
              <w:t>U</w:t>
            </w:r>
            <w:r>
              <w:rPr>
                <w:rFonts w:ascii="Times New Roman" w:hAnsi="Times New Roman" w:eastAsia="仿宋_GB2312" w:cs="Times New Roman"/>
                <w:sz w:val="18"/>
                <w:highlight w:val="none"/>
                <w:vertAlign w:val="subscript"/>
              </w:rPr>
              <w:t>m</w:t>
            </w:r>
            <w:r>
              <w:rPr>
                <w:rFonts w:ascii="Times New Roman" w:hAnsi="Times New Roman" w:eastAsia="仿宋_GB2312" w:cs="Times New Roman"/>
                <w:spacing w:val="-20"/>
                <w:sz w:val="18"/>
                <w:highlight w:val="none"/>
              </w:rPr>
              <w:t>／</w:t>
            </w:r>
            <w:r>
              <w:rPr>
                <w:rFonts w:ascii="Times New Roman" w:hAnsi="Times New Roman" w:eastAsia="仿宋_GB2312" w:cs="Times New Roman"/>
                <w:position w:val="-8"/>
                <w:sz w:val="18"/>
                <w:highlight w:val="none"/>
              </w:rPr>
              <w:object>
                <v:shape id="_x0000_i1037" o:spt="75" type="#_x0000_t75" style="height:11.05pt;width:16.05pt;" o:ole="t" fillcolor="#6D6D6D" filled="f" o:preferrelative="t" stroked="f" coordsize="21600,21600">
                  <v:path/>
                  <v:fill on="f" focussize="0,0"/>
                  <v:stroke on="f" joinstyle="miter"/>
                  <v:imagedata r:id="rId30" cropleft="6099f" croptop="8422f" cropright="3926f" cropbottom="5687f" o:title=""/>
                  <o:lock v:ext="edit" aspectratio="t"/>
                  <w10:wrap type="none"/>
                  <w10:anchorlock/>
                </v:shape>
                <o:OLEObject Type="Embed" ProgID="Equation.3" ShapeID="_x0000_i1037" DrawAspect="Content" ObjectID="_1468075737" r:id="rId29">
                  <o:LockedField>false</o:LockedField>
                </o:OLEObject>
              </w:object>
            </w:r>
          </w:p>
        </w:tc>
        <w:tc>
          <w:tcPr>
            <w:tcW w:w="984" w:type="pct"/>
            <w:tcBorders>
              <w:tl2br w:val="nil"/>
              <w:tr2bl w:val="nil"/>
            </w:tcBorders>
            <w:noWrap w:val="0"/>
            <w:vAlign w:val="center"/>
          </w:tcPr>
          <w:p w14:paraId="5C7E11A6">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5</w:t>
            </w:r>
          </w:p>
        </w:tc>
        <w:tc>
          <w:tcPr>
            <w:tcW w:w="758" w:type="pct"/>
            <w:tcBorders>
              <w:tl2br w:val="nil"/>
              <w:tr2bl w:val="nil"/>
            </w:tcBorders>
            <w:noWrap w:val="0"/>
            <w:vAlign w:val="center"/>
          </w:tcPr>
          <w:p w14:paraId="3133BC1D">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20</w:t>
            </w:r>
          </w:p>
        </w:tc>
      </w:tr>
      <w:tr w14:paraId="6A94D3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restart"/>
            <w:tcBorders>
              <w:tl2br w:val="nil"/>
              <w:tr2bl w:val="nil"/>
            </w:tcBorders>
            <w:noWrap w:val="0"/>
            <w:vAlign w:val="center"/>
          </w:tcPr>
          <w:p w14:paraId="461D46A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中性点绝缘系统或非有效接地系统</w:t>
            </w:r>
          </w:p>
          <w:p w14:paraId="5BF3FEF5">
            <w:pPr>
              <w:jc w:val="center"/>
              <w:rPr>
                <w:rFonts w:ascii="Times New Roman" w:hAnsi="Times New Roman" w:eastAsia="宋体" w:cs="Times New Roman"/>
                <w:sz w:val="18"/>
                <w:highlight w:val="none"/>
              </w:rPr>
            </w:pPr>
            <w:r>
              <w:rPr>
                <w:rFonts w:ascii="Times New Roman" w:hAnsi="Times New Roman" w:eastAsia="宋体" w:cs="Times New Roman"/>
                <w:sz w:val="18"/>
                <w:szCs w:val="18"/>
                <w:highlight w:val="none"/>
              </w:rPr>
              <w:t>（接地故障因数大于1.4）</w:t>
            </w:r>
          </w:p>
        </w:tc>
        <w:tc>
          <w:tcPr>
            <w:tcW w:w="1006" w:type="pct"/>
            <w:tcBorders>
              <w:tl2br w:val="nil"/>
              <w:tr2bl w:val="nil"/>
            </w:tcBorders>
            <w:noWrap w:val="0"/>
            <w:vAlign w:val="center"/>
          </w:tcPr>
          <w:p w14:paraId="01FA3C95">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接地电压互感器</w:t>
            </w:r>
          </w:p>
        </w:tc>
        <w:tc>
          <w:tcPr>
            <w:tcW w:w="1114" w:type="pct"/>
            <w:tcBorders>
              <w:tl2br w:val="nil"/>
              <w:tr2bl w:val="nil"/>
            </w:tcBorders>
            <w:noWrap w:val="0"/>
            <w:vAlign w:val="center"/>
          </w:tcPr>
          <w:p w14:paraId="11766406">
            <w:pPr>
              <w:jc w:val="center"/>
              <w:rPr>
                <w:rFonts w:ascii="Times New Roman" w:hAnsi="Times New Roman" w:eastAsia="仿宋_GB2312" w:cs="Times New Roman"/>
                <w:sz w:val="18"/>
                <w:highlight w:val="none"/>
              </w:rPr>
            </w:pPr>
            <w:r>
              <w:rPr>
                <w:rFonts w:ascii="Times New Roman" w:hAnsi="Times New Roman" w:eastAsia="宋体" w:cs="Times New Roman"/>
                <w:sz w:val="18"/>
                <w:szCs w:val="18"/>
                <w:highlight w:val="none"/>
              </w:rPr>
              <w:t>1.2</w:t>
            </w:r>
            <w:r>
              <w:rPr>
                <w:rFonts w:ascii="Times New Roman" w:hAnsi="Times New Roman" w:eastAsia="仿宋_GB2312" w:cs="Times New Roman"/>
                <w:iCs/>
                <w:sz w:val="18"/>
                <w:highlight w:val="none"/>
              </w:rPr>
              <w:t xml:space="preserve"> </w:t>
            </w:r>
            <w:r>
              <w:rPr>
                <w:rFonts w:ascii="Times New Roman" w:hAnsi="Times New Roman" w:eastAsia="仿宋_GB2312" w:cs="Times New Roman"/>
                <w:i/>
                <w:iCs/>
                <w:sz w:val="18"/>
                <w:highlight w:val="none"/>
              </w:rPr>
              <w:t>U</w:t>
            </w:r>
            <w:r>
              <w:rPr>
                <w:rFonts w:ascii="Times New Roman" w:hAnsi="Times New Roman" w:eastAsia="仿宋_GB2312" w:cs="Times New Roman"/>
                <w:sz w:val="18"/>
                <w:highlight w:val="none"/>
                <w:vertAlign w:val="subscript"/>
              </w:rPr>
              <w:t>m</w:t>
            </w:r>
          </w:p>
        </w:tc>
        <w:tc>
          <w:tcPr>
            <w:tcW w:w="984" w:type="pct"/>
            <w:tcBorders>
              <w:tl2br w:val="nil"/>
              <w:tr2bl w:val="nil"/>
            </w:tcBorders>
            <w:noWrap w:val="0"/>
            <w:vAlign w:val="center"/>
          </w:tcPr>
          <w:p w14:paraId="3995B682">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10</w:t>
            </w:r>
          </w:p>
        </w:tc>
        <w:tc>
          <w:tcPr>
            <w:tcW w:w="758" w:type="pct"/>
            <w:tcBorders>
              <w:tl2br w:val="nil"/>
              <w:tr2bl w:val="nil"/>
            </w:tcBorders>
            <w:noWrap w:val="0"/>
            <w:vAlign w:val="center"/>
          </w:tcPr>
          <w:p w14:paraId="52389C30">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50</w:t>
            </w:r>
          </w:p>
        </w:tc>
      </w:tr>
      <w:tr w14:paraId="3CB7A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6" w:type="pct"/>
            <w:vMerge w:val="continue"/>
            <w:tcBorders>
              <w:tl2br w:val="nil"/>
              <w:tr2bl w:val="nil"/>
            </w:tcBorders>
            <w:noWrap w:val="0"/>
            <w:vAlign w:val="center"/>
          </w:tcPr>
          <w:p w14:paraId="65A433F0">
            <w:pPr>
              <w:jc w:val="center"/>
              <w:rPr>
                <w:rFonts w:ascii="Times New Roman" w:hAnsi="Times New Roman" w:eastAsia="宋体" w:cs="Times New Roman"/>
                <w:sz w:val="18"/>
                <w:highlight w:val="none"/>
              </w:rPr>
            </w:pPr>
          </w:p>
        </w:tc>
        <w:tc>
          <w:tcPr>
            <w:tcW w:w="1006" w:type="pct"/>
            <w:tcBorders>
              <w:tl2br w:val="nil"/>
              <w:tr2bl w:val="nil"/>
            </w:tcBorders>
            <w:noWrap w:val="0"/>
            <w:vAlign w:val="center"/>
          </w:tcPr>
          <w:p w14:paraId="22AA7A9A">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不接地电压互感器</w:t>
            </w:r>
          </w:p>
        </w:tc>
        <w:tc>
          <w:tcPr>
            <w:tcW w:w="1114" w:type="pct"/>
            <w:tcBorders>
              <w:tl2br w:val="nil"/>
              <w:tr2bl w:val="nil"/>
            </w:tcBorders>
            <w:noWrap w:val="0"/>
            <w:vAlign w:val="center"/>
          </w:tcPr>
          <w:p w14:paraId="3B0642E9">
            <w:pPr>
              <w:jc w:val="center"/>
              <w:rPr>
                <w:rFonts w:ascii="Times New Roman" w:hAnsi="Times New Roman" w:eastAsia="仿宋_GB2312" w:cs="Times New Roman"/>
                <w:sz w:val="18"/>
                <w:highlight w:val="none"/>
              </w:rPr>
            </w:pPr>
            <w:r>
              <w:rPr>
                <w:rFonts w:ascii="Times New Roman" w:hAnsi="Times New Roman" w:eastAsia="仿宋_GB2312" w:cs="Times New Roman"/>
                <w:sz w:val="18"/>
                <w:highlight w:val="none"/>
              </w:rPr>
              <w:t>1.2</w:t>
            </w:r>
            <w:r>
              <w:rPr>
                <w:rFonts w:ascii="Times New Roman" w:hAnsi="Times New Roman" w:eastAsia="仿宋_GB2312" w:cs="Times New Roman"/>
                <w:i/>
                <w:iCs/>
                <w:sz w:val="18"/>
                <w:highlight w:val="none"/>
              </w:rPr>
              <w:t xml:space="preserve"> U</w:t>
            </w:r>
            <w:r>
              <w:rPr>
                <w:rFonts w:ascii="Times New Roman" w:hAnsi="Times New Roman" w:eastAsia="仿宋_GB2312" w:cs="Times New Roman"/>
                <w:sz w:val="18"/>
                <w:highlight w:val="none"/>
                <w:vertAlign w:val="subscript"/>
              </w:rPr>
              <w:t>m</w:t>
            </w:r>
            <w:r>
              <w:rPr>
                <w:rFonts w:ascii="Times New Roman" w:hAnsi="Times New Roman" w:eastAsia="仿宋_GB2312" w:cs="Times New Roman"/>
                <w:spacing w:val="-20"/>
                <w:sz w:val="18"/>
                <w:highlight w:val="none"/>
              </w:rPr>
              <w:t>／</w:t>
            </w:r>
            <w:r>
              <w:rPr>
                <w:rFonts w:ascii="Times New Roman" w:hAnsi="Times New Roman" w:eastAsia="仿宋_GB2312" w:cs="Times New Roman"/>
                <w:position w:val="-8"/>
                <w:sz w:val="18"/>
                <w:highlight w:val="none"/>
              </w:rPr>
              <w:object>
                <v:shape id="_x0000_i1038" o:spt="75" type="#_x0000_t75" style="height:11.05pt;width:16.05pt;" o:ole="t" fillcolor="#6D6D6D" filled="f" o:preferrelative="t" stroked="f" coordsize="21600,21600">
                  <v:path/>
                  <v:fill on="f" focussize="0,0"/>
                  <v:stroke on="f" joinstyle="miter"/>
                  <v:imagedata r:id="rId30" cropleft="6099f" croptop="8422f" cropright="3926f" cropbottom="5687f" o:title=""/>
                  <o:lock v:ext="edit" aspectratio="t"/>
                  <w10:wrap type="none"/>
                  <w10:anchorlock/>
                </v:shape>
                <o:OLEObject Type="Embed" ProgID="Equation.3" ShapeID="_x0000_i1038" DrawAspect="Content" ObjectID="_1468075738" r:id="rId31">
                  <o:LockedField>false</o:LockedField>
                </o:OLEObject>
              </w:object>
            </w:r>
          </w:p>
        </w:tc>
        <w:tc>
          <w:tcPr>
            <w:tcW w:w="984" w:type="pct"/>
            <w:tcBorders>
              <w:tl2br w:val="nil"/>
              <w:tr2bl w:val="nil"/>
            </w:tcBorders>
            <w:noWrap w:val="0"/>
            <w:vAlign w:val="center"/>
          </w:tcPr>
          <w:p w14:paraId="7C1E11F0">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5</w:t>
            </w:r>
          </w:p>
        </w:tc>
        <w:tc>
          <w:tcPr>
            <w:tcW w:w="758" w:type="pct"/>
            <w:tcBorders>
              <w:tl2br w:val="nil"/>
              <w:tr2bl w:val="nil"/>
            </w:tcBorders>
            <w:noWrap w:val="0"/>
            <w:vAlign w:val="center"/>
          </w:tcPr>
          <w:p w14:paraId="50F6D635">
            <w:pPr>
              <w:jc w:val="center"/>
              <w:rPr>
                <w:rFonts w:ascii="Times New Roman" w:hAnsi="Times New Roman" w:eastAsia="宋体" w:cs="Times New Roman"/>
                <w:sz w:val="18"/>
                <w:highlight w:val="none"/>
              </w:rPr>
            </w:pPr>
            <w:r>
              <w:rPr>
                <w:rFonts w:ascii="Times New Roman" w:hAnsi="Times New Roman" w:eastAsia="宋体" w:cs="Times New Roman"/>
                <w:sz w:val="18"/>
                <w:highlight w:val="none"/>
              </w:rPr>
              <w:t>20</w:t>
            </w:r>
          </w:p>
        </w:tc>
      </w:tr>
    </w:tbl>
    <w:p w14:paraId="5EA82E46">
      <w:pPr>
        <w:pStyle w:val="260"/>
        <w:bidi w:val="0"/>
        <w:ind w:left="710" w:leftChars="0" w:hanging="710" w:firstLineChars="0"/>
        <w:rPr>
          <w:highlight w:val="none"/>
          <w:lang w:val="en-US" w:eastAsia="zh-CN"/>
        </w:rPr>
      </w:pPr>
      <w:bookmarkStart w:id="167" w:name="_Toc20308"/>
      <w:bookmarkStart w:id="168" w:name="_Toc24794"/>
      <w:bookmarkStart w:id="169" w:name="_Toc170918033"/>
      <w:r>
        <w:rPr>
          <w:highlight w:val="none"/>
          <w:lang w:val="en-US" w:eastAsia="zh-CN"/>
        </w:rPr>
        <w:t>电容量和介质损耗因数</w:t>
      </w:r>
      <w:bookmarkEnd w:id="167"/>
      <w:bookmarkStart w:id="170" w:name="pindex508"/>
      <w:bookmarkEnd w:id="170"/>
      <w:r>
        <w:rPr>
          <w:highlight w:val="none"/>
          <w:lang w:val="en-US" w:eastAsia="zh-CN"/>
        </w:rPr>
        <w:t>要求</w:t>
      </w:r>
      <w:bookmarkEnd w:id="168"/>
      <w:bookmarkEnd w:id="169"/>
    </w:p>
    <w:p w14:paraId="21ED2FDC">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本技术要求仅适合于设备最高电压</w:t>
      </w:r>
      <w:r>
        <w:rPr>
          <w:rFonts w:ascii="Times New Roman" w:hAnsi="Times New Roman" w:eastAsia="宋体" w:cs="Times New Roman"/>
          <w:i/>
          <w:iCs/>
          <w:sz w:val="21"/>
          <w:highlight w:val="none"/>
          <w:lang w:val="en-US" w:eastAsia="zh-CN" w:bidi="ar-SA"/>
        </w:rPr>
        <w:t>U</w:t>
      </w:r>
      <w:r>
        <w:rPr>
          <w:rFonts w:ascii="Times New Roman" w:hAnsi="Times New Roman" w:eastAsia="宋体" w:cs="Times New Roman"/>
          <w:sz w:val="21"/>
          <w:highlight w:val="none"/>
          <w:vertAlign w:val="subscript"/>
          <w:lang w:val="en-US" w:eastAsia="zh-CN" w:bidi="ar-SA"/>
        </w:rPr>
        <w:t>m</w:t>
      </w:r>
      <w:r>
        <w:rPr>
          <w:rFonts w:ascii="Times New Roman" w:hAnsi="Times New Roman" w:eastAsia="宋体" w:cs="Times New Roman"/>
          <w:sz w:val="21"/>
          <w:highlight w:val="none"/>
          <w:lang w:val="en-US" w:eastAsia="zh-CN" w:bidi="ar-SA"/>
        </w:rPr>
        <w:t>≥40.5 kV的油浸式电压互感器一次绕组的绝缘，电容量和介质损耗因数应在额定频率和10 kV～</w:t>
      </w:r>
      <w:r>
        <w:rPr>
          <w:rFonts w:ascii="Times New Roman" w:hAnsi="Times New Roman" w:eastAsia="宋体" w:cs="Times New Roman"/>
          <w:i/>
          <w:iCs/>
          <w:sz w:val="21"/>
          <w:highlight w:val="none"/>
          <w:lang w:val="en-US" w:eastAsia="zh-CN" w:bidi="ar-SA"/>
        </w:rPr>
        <w:t>U</w:t>
      </w:r>
      <w:r>
        <w:rPr>
          <w:rFonts w:ascii="Times New Roman" w:hAnsi="Times New Roman" w:eastAsia="宋体" w:cs="Times New Roman"/>
          <w:sz w:val="21"/>
          <w:highlight w:val="none"/>
          <w:vertAlign w:val="subscript"/>
          <w:lang w:val="en-US" w:eastAsia="zh-CN" w:bidi="ar-SA"/>
        </w:rPr>
        <w:t>m</w:t>
      </w:r>
      <w:r>
        <w:rPr>
          <w:rFonts w:ascii="Times New Roman" w:hAnsi="Times New Roman" w:eastAsia="宋体" w:cs="Times New Roman"/>
          <w:sz w:val="21"/>
          <w:highlight w:val="none"/>
          <w:lang w:val="en-US" w:eastAsia="zh-CN" w:bidi="ar-SA"/>
        </w:rPr>
        <w:t>/</w:t>
      </w:r>
      <w:r>
        <w:rPr>
          <w:rFonts w:ascii="Times New Roman" w:hAnsi="Times New Roman" w:eastAsia="宋体" w:cs="Times New Roman"/>
          <w:position w:val="-8"/>
          <w:sz w:val="21"/>
          <w:highlight w:val="none"/>
          <w:lang w:val="en-US" w:eastAsia="zh-CN" w:bidi="ar-SA"/>
        </w:rPr>
        <w:object>
          <v:shape id="_x0000_i1039" o:spt="75" type="#_x0000_t75" style="height:14.25pt;width:15.7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39" DrawAspect="Content" ObjectID="_1468075739" r:id="rId32">
            <o:LockedField>false</o:LockedField>
          </o:OLEObject>
        </w:object>
      </w:r>
      <w:r>
        <w:rPr>
          <w:rFonts w:ascii="Times New Roman" w:hAnsi="Times New Roman" w:eastAsia="宋体" w:cs="Times New Roman"/>
          <w:sz w:val="21"/>
          <w:highlight w:val="none"/>
          <w:lang w:val="en-US" w:eastAsia="zh-CN" w:bidi="ar-SA"/>
        </w:rPr>
        <w:t>范围内某一电压下测量。</w:t>
      </w:r>
    </w:p>
    <w:p w14:paraId="3BF0AA77">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本技术要求的目的是检查产品的一致性。允许变化的限值可由制造厂和用户协商确定。</w:t>
      </w:r>
    </w:p>
    <w:p w14:paraId="77B9CD1E">
      <w:pPr>
        <w:keepNext w:val="0"/>
        <w:keepLines w:val="0"/>
        <w:pageBreakBefore w:val="0"/>
        <w:widowControl/>
        <w:kinsoku/>
        <w:wordWrap/>
        <w:overflowPunct/>
        <w:topLinePunct w:val="0"/>
        <w:autoSpaceDE/>
        <w:autoSpaceDN/>
        <w:bidi w:val="0"/>
        <w:adjustRightInd/>
        <w:snapToGrid/>
        <w:ind w:firstLine="420" w:firstLineChars="200"/>
        <w:jc w:val="both"/>
        <w:textAlignment w:val="center"/>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介质损耗因数取决于绝缘结构，且与电压和温度两个因素有关。在电压为</w:t>
      </w:r>
      <w:r>
        <w:rPr>
          <w:rFonts w:ascii="Times New Roman" w:hAnsi="Times New Roman" w:eastAsia="宋体" w:cs="Times New Roman"/>
          <w:i/>
          <w:sz w:val="21"/>
          <w:highlight w:val="none"/>
          <w:lang w:val="en-US" w:eastAsia="zh-CN" w:bidi="ar-SA"/>
        </w:rPr>
        <w:t>U</w:t>
      </w:r>
      <w:r>
        <w:rPr>
          <w:rFonts w:ascii="Times New Roman" w:hAnsi="Times New Roman" w:eastAsia="宋体" w:cs="Times New Roman"/>
          <w:sz w:val="21"/>
          <w:highlight w:val="none"/>
          <w:vertAlign w:val="subscript"/>
          <w:lang w:val="en-US" w:eastAsia="zh-CN" w:bidi="ar-SA"/>
        </w:rPr>
        <w:t>m</w:t>
      </w:r>
      <w:r>
        <w:rPr>
          <w:rFonts w:ascii="Times New Roman" w:hAnsi="Times New Roman" w:eastAsia="宋体" w:cs="Times New Roman"/>
          <w:sz w:val="21"/>
          <w:highlight w:val="none"/>
          <w:lang w:val="en-US" w:eastAsia="zh-CN" w:bidi="ar-SA"/>
        </w:rPr>
        <w:t>/</w:t>
      </w:r>
      <w:r>
        <w:rPr>
          <w:rFonts w:ascii="Times New Roman" w:hAnsi="Times New Roman" w:eastAsia="宋体" w:cs="Times New Roman"/>
          <w:sz w:val="21"/>
          <w:highlight w:val="none"/>
          <w:lang w:val="en-US" w:eastAsia="zh-CN" w:bidi="ar-SA"/>
        </w:rPr>
        <w:object>
          <v:shape id="_x0000_i1040" o:spt="75" type="#_x0000_t75" style="height:14.25pt;width:15.7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40" DrawAspect="Content" ObjectID="_1468075740" r:id="rId33">
            <o:LockedField>false</o:LockedField>
          </o:OLEObject>
        </w:object>
      </w:r>
      <w:r>
        <w:rPr>
          <w:rFonts w:ascii="Times New Roman" w:hAnsi="Times New Roman" w:eastAsia="宋体" w:cs="Times New Roman"/>
          <w:sz w:val="21"/>
          <w:highlight w:val="none"/>
          <w:lang w:val="en-US" w:eastAsia="zh-CN" w:bidi="ar-SA"/>
        </w:rPr>
        <w:t>及正常环境温度下，其值通常不大于0.005。对于串级式电压互</w:t>
      </w:r>
      <w:r>
        <w:rPr>
          <w:rFonts w:ascii="Times New Roman" w:hAnsi="Times New Roman" w:eastAsia="宋体" w:cs="Times New Roman"/>
          <w:color w:val="auto"/>
          <w:sz w:val="21"/>
          <w:highlight w:val="none"/>
          <w:lang w:val="en-US" w:eastAsia="zh-CN" w:bidi="ar-SA"/>
        </w:rPr>
        <w:t>感器，</w:t>
      </w:r>
      <w:bookmarkStart w:id="171" w:name="bkReivew3031744"/>
      <w:r>
        <w:rPr>
          <w:rFonts w:ascii="Times New Roman" w:hAnsi="Times New Roman" w:eastAsia="宋体" w:cs="Times New Roman"/>
          <w:color w:val="auto"/>
          <w:sz w:val="21"/>
          <w:highlight w:val="none"/>
          <w:lang w:val="en-US" w:eastAsia="zh-CN" w:bidi="ar-SA"/>
        </w:rPr>
        <w:t>不需</w:t>
      </w:r>
      <w:bookmarkEnd w:id="171"/>
      <w:r>
        <w:rPr>
          <w:rFonts w:ascii="Times New Roman" w:hAnsi="Times New Roman" w:eastAsia="宋体" w:cs="Times New Roman"/>
          <w:color w:val="auto"/>
          <w:sz w:val="21"/>
          <w:highlight w:val="none"/>
          <w:lang w:val="en-US" w:eastAsia="zh-CN" w:bidi="ar-SA"/>
        </w:rPr>
        <w:t>考核其</w:t>
      </w:r>
      <w:r>
        <w:rPr>
          <w:rFonts w:ascii="Times New Roman" w:hAnsi="Times New Roman" w:eastAsia="宋体" w:cs="Times New Roman"/>
          <w:sz w:val="21"/>
          <w:highlight w:val="none"/>
          <w:lang w:val="en-US" w:eastAsia="zh-CN" w:bidi="ar-SA"/>
        </w:rPr>
        <w:t>电容量，在10</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kV测量电压和正常环境温度下的介质损耗因数允许值通常不大于0.02，绝缘支架的介质损耗因数的允许值通常不大于0.05。</w:t>
      </w:r>
    </w:p>
    <w:p w14:paraId="547FDA32">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如果电压互感器的一次绕组由多个线圈构成，且各线圈均与主绝缘的相应分级电压层连接，则受检验的仅是连接地电位的线圈那部分绝缘。此时规定的试验电压应降低。在对介质损耗因数进行校正时，应考虑线圈的电阻。</w:t>
      </w:r>
    </w:p>
    <w:p w14:paraId="0A14B353">
      <w:pPr>
        <w:pStyle w:val="260"/>
        <w:bidi w:val="0"/>
        <w:ind w:left="710" w:leftChars="0" w:hanging="710" w:firstLineChars="0"/>
        <w:rPr>
          <w:highlight w:val="none"/>
          <w:lang w:val="en-US" w:eastAsia="zh-CN"/>
        </w:rPr>
      </w:pPr>
      <w:bookmarkStart w:id="172" w:name="_Toc30816"/>
      <w:bookmarkStart w:id="173" w:name="_Toc170918034"/>
      <w:bookmarkStart w:id="174" w:name="_Toc2368"/>
      <w:r>
        <w:rPr>
          <w:highlight w:val="none"/>
          <w:lang w:val="en-US" w:eastAsia="zh-CN"/>
        </w:rPr>
        <w:t>外绝缘要求</w:t>
      </w:r>
      <w:bookmarkEnd w:id="172"/>
      <w:bookmarkEnd w:id="173"/>
      <w:bookmarkEnd w:id="174"/>
      <w:bookmarkStart w:id="175" w:name="pindex513"/>
      <w:bookmarkEnd w:id="175"/>
    </w:p>
    <w:p w14:paraId="478C22BA">
      <w:pPr>
        <w:pStyle w:val="261"/>
        <w:bidi w:val="0"/>
        <w:ind w:left="142" w:leftChars="0" w:hanging="142" w:firstLineChars="0"/>
        <w:rPr>
          <w:highlight w:val="none"/>
          <w:lang w:val="en-US" w:eastAsia="zh-CN"/>
        </w:rPr>
      </w:pPr>
      <w:r>
        <w:rPr>
          <w:highlight w:val="none"/>
          <w:lang w:val="en-US" w:eastAsia="zh-CN"/>
        </w:rPr>
        <w:t>一般要求</w:t>
      </w:r>
      <w:bookmarkStart w:id="176" w:name="pindex514"/>
      <w:bookmarkEnd w:id="176"/>
    </w:p>
    <w:p w14:paraId="2913B9ED">
      <w:pPr>
        <w:autoSpaceDE w:val="0"/>
        <w:autoSpaceDN w:val="0"/>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电压互感器外绝缘应符合下列要求：</w:t>
      </w:r>
    </w:p>
    <w:p w14:paraId="705924FB">
      <w:pPr>
        <w:numPr>
          <w:ilvl w:val="0"/>
          <w:numId w:val="35"/>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highlight w:val="none"/>
        </w:rPr>
        <w:t>电压互感器外绝缘应按照现场污秽分区图及GB/T 26218.2、GB/T 26218.3选定。</w:t>
      </w:r>
      <w:r>
        <w:rPr>
          <w:rFonts w:ascii="Times New Roman" w:hAnsi="Times New Roman" w:eastAsia="宋体" w:cs="Times New Roman"/>
          <w:szCs w:val="21"/>
          <w:highlight w:val="none"/>
        </w:rPr>
        <w:t>对易受污秽影响的电压互感器，表6给出了给定现场污秽度（SPS）等级下电压互感器外绝缘的最小参考统一爬电比距（RUSCD）。</w:t>
      </w:r>
    </w:p>
    <w:p w14:paraId="79DF98AD">
      <w:pPr>
        <w:numPr>
          <w:ilvl w:val="0"/>
          <w:numId w:val="35"/>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在等级e或超出等级e的异常高的现场污秽度SPS情况下，表6给出的最小参考统一爬电比距可能不够。污秽等级取决于运行经验以及/或实验室试验结果的，可以使用较高的统一爬电比距（USCD），在某些情况下减污措施可能是有用的。</w:t>
      </w:r>
    </w:p>
    <w:p w14:paraId="05463137">
      <w:pPr>
        <w:numPr>
          <w:ilvl w:val="0"/>
          <w:numId w:val="35"/>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对复合外套按同等条件要求。</w:t>
      </w:r>
    </w:p>
    <w:p w14:paraId="786B0F69">
      <w:pPr>
        <w:tabs>
          <w:tab w:val="center" w:pos="4201"/>
          <w:tab w:val="right" w:leader="dot" w:pos="9298"/>
        </w:tabs>
        <w:ind w:firstLine="405" w:firstLineChars="225"/>
        <w:jc w:val="both"/>
        <w:rPr>
          <w:rFonts w:ascii="Times New Roman" w:hAnsi="Times New Roman" w:eastAsia="宋体" w:cs="Times New Roman"/>
          <w:sz w:val="18"/>
          <w:szCs w:val="18"/>
          <w:highlight w:val="none"/>
          <w:lang w:val="en-US" w:eastAsia="zh-CN" w:bidi="ar-SA"/>
        </w:rPr>
      </w:pPr>
      <w:r>
        <w:rPr>
          <w:rFonts w:ascii="Times New Roman" w:hAnsi="Times New Roman" w:eastAsia="黑体" w:cs="Times New Roman"/>
          <w:sz w:val="18"/>
          <w:szCs w:val="18"/>
          <w:highlight w:val="none"/>
          <w:lang w:val="en-US" w:eastAsia="zh-CN" w:bidi="ar-SA"/>
        </w:rPr>
        <w:t>注：</w:t>
      </w:r>
      <w:r>
        <w:rPr>
          <w:rFonts w:ascii="Times New Roman" w:hAnsi="Times New Roman" w:eastAsia="宋体" w:cs="Times New Roman"/>
          <w:sz w:val="18"/>
          <w:szCs w:val="18"/>
          <w:highlight w:val="none"/>
          <w:lang w:val="en-US" w:eastAsia="zh-CN" w:bidi="ar-SA"/>
        </w:rPr>
        <w:t>本文件与GB/T 20840.1相比，污秽等级的划分和爬电比距、爬电因数的要求有所不同，见附录B。</w:t>
      </w:r>
    </w:p>
    <w:p w14:paraId="0142BB3E">
      <w:pPr>
        <w:numPr>
          <w:ilvl w:val="0"/>
          <w:numId w:val="0"/>
        </w:numPr>
        <w:tabs>
          <w:tab w:val="left" w:pos="360"/>
        </w:tabs>
        <w:spacing w:before="156" w:beforeLines="50" w:after="156" w:afterLines="50"/>
        <w:jc w:val="center"/>
        <w:rPr>
          <w:rFonts w:ascii="Times New Roman" w:hAnsi="Times New Roman" w:eastAsia="黑体" w:cs="Times New Roman"/>
          <w:sz w:val="21"/>
          <w:szCs w:val="21"/>
          <w:highlight w:val="none"/>
          <w:lang w:val="en-US" w:eastAsia="zh-CN" w:bidi="ar-SA"/>
        </w:rPr>
      </w:pPr>
      <w:r>
        <w:rPr>
          <w:rFonts w:ascii="Times New Roman" w:hAnsi="Times New Roman" w:eastAsia="黑体" w:cs="Times New Roman"/>
          <w:sz w:val="21"/>
          <w:szCs w:val="21"/>
          <w:highlight w:val="none"/>
          <w:lang w:val="en-US" w:eastAsia="zh-CN" w:bidi="ar-SA"/>
        </w:rPr>
        <w:t>表6 电压互感器不同污秽等级下的参考统一爬电比距</w:t>
      </w:r>
      <w:bookmarkStart w:id="177" w:name="pindex520"/>
      <w:bookmarkEnd w:id="177"/>
    </w:p>
    <w:tbl>
      <w:tblPr>
        <w:tblStyle w:val="8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5252"/>
        <w:gridCol w:w="2393"/>
      </w:tblGrid>
      <w:tr w14:paraId="61EB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6170CE5E">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污秽度等级</w:t>
            </w:r>
          </w:p>
        </w:tc>
        <w:tc>
          <w:tcPr>
            <w:tcW w:w="2744" w:type="pct"/>
            <w:noWrap w:val="0"/>
            <w:vAlign w:val="center"/>
          </w:tcPr>
          <w:p w14:paraId="6BABD8B5">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最小参考统一爬电比距</w:t>
            </w:r>
          </w:p>
          <w:p w14:paraId="615AC999">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mm/kV</w:t>
            </w:r>
          </w:p>
        </w:tc>
        <w:tc>
          <w:tcPr>
            <w:tcW w:w="1250" w:type="pct"/>
            <w:noWrap w:val="0"/>
            <w:vAlign w:val="center"/>
          </w:tcPr>
          <w:p w14:paraId="7AED1829">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爬电因数</w:t>
            </w:r>
          </w:p>
        </w:tc>
      </w:tr>
      <w:tr w14:paraId="6C86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70C0ACCB">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a（非常轻）</w:t>
            </w:r>
          </w:p>
        </w:tc>
        <w:tc>
          <w:tcPr>
            <w:tcW w:w="2744" w:type="pct"/>
            <w:noWrap w:val="0"/>
            <w:vAlign w:val="center"/>
          </w:tcPr>
          <w:p w14:paraId="6371C4FD">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22.0</w:t>
            </w:r>
          </w:p>
        </w:tc>
        <w:tc>
          <w:tcPr>
            <w:tcW w:w="1250" w:type="pct"/>
            <w:noWrap w:val="0"/>
            <w:vAlign w:val="center"/>
          </w:tcPr>
          <w:p w14:paraId="5087B20D">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≤3.5</w:t>
            </w:r>
          </w:p>
        </w:tc>
      </w:tr>
      <w:tr w14:paraId="75D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3594312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b（轻）</w:t>
            </w:r>
          </w:p>
        </w:tc>
        <w:tc>
          <w:tcPr>
            <w:tcW w:w="2744" w:type="pct"/>
            <w:noWrap w:val="0"/>
            <w:vAlign w:val="center"/>
          </w:tcPr>
          <w:p w14:paraId="068232C7">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27.8</w:t>
            </w:r>
          </w:p>
        </w:tc>
        <w:tc>
          <w:tcPr>
            <w:tcW w:w="1250" w:type="pct"/>
            <w:noWrap w:val="0"/>
            <w:vAlign w:val="center"/>
          </w:tcPr>
          <w:p w14:paraId="29B60310">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≤3.625</w:t>
            </w:r>
          </w:p>
        </w:tc>
      </w:tr>
      <w:tr w14:paraId="0C86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30C519EE">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c（中等）</w:t>
            </w:r>
          </w:p>
        </w:tc>
        <w:tc>
          <w:tcPr>
            <w:tcW w:w="2744" w:type="pct"/>
            <w:noWrap w:val="0"/>
            <w:vAlign w:val="center"/>
          </w:tcPr>
          <w:p w14:paraId="15C6FF7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34.7</w:t>
            </w:r>
          </w:p>
        </w:tc>
        <w:tc>
          <w:tcPr>
            <w:tcW w:w="1250" w:type="pct"/>
            <w:noWrap w:val="0"/>
            <w:vAlign w:val="center"/>
          </w:tcPr>
          <w:p w14:paraId="76E55E9A">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≤3.75</w:t>
            </w:r>
          </w:p>
        </w:tc>
      </w:tr>
      <w:tr w14:paraId="68D0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788EFA32">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d（重）</w:t>
            </w:r>
          </w:p>
        </w:tc>
        <w:tc>
          <w:tcPr>
            <w:tcW w:w="2744" w:type="pct"/>
            <w:noWrap w:val="0"/>
            <w:vAlign w:val="center"/>
          </w:tcPr>
          <w:p w14:paraId="45EF164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43.3</w:t>
            </w:r>
          </w:p>
        </w:tc>
        <w:tc>
          <w:tcPr>
            <w:tcW w:w="1250" w:type="pct"/>
            <w:noWrap w:val="0"/>
            <w:vAlign w:val="center"/>
          </w:tcPr>
          <w:p w14:paraId="4F7E3F05">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≤3.875</w:t>
            </w:r>
          </w:p>
        </w:tc>
      </w:tr>
      <w:tr w14:paraId="71A7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pct"/>
            <w:noWrap w:val="0"/>
            <w:vAlign w:val="center"/>
          </w:tcPr>
          <w:p w14:paraId="25F35BD8">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e（很重）</w:t>
            </w:r>
          </w:p>
        </w:tc>
        <w:tc>
          <w:tcPr>
            <w:tcW w:w="2744" w:type="pct"/>
            <w:noWrap w:val="0"/>
            <w:vAlign w:val="center"/>
          </w:tcPr>
          <w:p w14:paraId="149022DB">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53.7</w:t>
            </w:r>
          </w:p>
        </w:tc>
        <w:tc>
          <w:tcPr>
            <w:tcW w:w="1250" w:type="pct"/>
            <w:noWrap w:val="0"/>
            <w:vAlign w:val="center"/>
          </w:tcPr>
          <w:p w14:paraId="7CB30C6D">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w:t>
            </w:r>
          </w:p>
        </w:tc>
      </w:tr>
    </w:tbl>
    <w:p w14:paraId="19BEB3F5">
      <w:pPr>
        <w:pStyle w:val="261"/>
        <w:bidi w:val="0"/>
        <w:ind w:left="142" w:leftChars="0" w:hanging="142" w:firstLineChars="0"/>
        <w:rPr>
          <w:highlight w:val="none"/>
          <w:lang w:val="en-US" w:eastAsia="zh-CN"/>
        </w:rPr>
      </w:pPr>
      <w:r>
        <w:rPr>
          <w:highlight w:val="none"/>
          <w:lang w:val="en-US" w:eastAsia="zh-CN"/>
        </w:rPr>
        <w:t>海拔对外绝缘的影响</w:t>
      </w:r>
      <w:bookmarkStart w:id="178" w:name="pindex540"/>
      <w:bookmarkEnd w:id="178"/>
    </w:p>
    <w:p w14:paraId="3BFBD827">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外绝缘试验电压应按额定耐受电压乘以海拔修正因数确定，海拔修正因数应按GB/T 20840.1确定。</w:t>
      </w:r>
    </w:p>
    <w:p w14:paraId="0B213A5C">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内绝缘的电介质强度不受海拔影响，产品外绝缘进行修正时内绝缘无需进行修正。</w:t>
      </w:r>
    </w:p>
    <w:p w14:paraId="5DE2FDC8">
      <w:pPr>
        <w:ind w:firstLine="420" w:firstLineChars="200"/>
        <w:jc w:val="both"/>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21"/>
          <w:highlight w:val="none"/>
          <w:lang w:val="en-US" w:eastAsia="zh-CN" w:bidi="ar-SA"/>
        </w:rPr>
        <w:t>外绝缘的检查方法由制造厂与用户协商确定。外绝缘试验可单独进行，如无法单独进行，宜测量电压互感器的干弧距离和爬电距离，若爬电距离满足GB/T 26218.2要求、干弧距离满足GB/T 311.1要求可不做外绝缘试验。</w:t>
      </w:r>
    </w:p>
    <w:p w14:paraId="1095AB92">
      <w:pPr>
        <w:pStyle w:val="261"/>
        <w:bidi w:val="0"/>
        <w:ind w:left="142" w:leftChars="0" w:hanging="142" w:firstLineChars="0"/>
        <w:rPr>
          <w:highlight w:val="none"/>
          <w:lang w:val="en-US" w:eastAsia="zh-CN"/>
        </w:rPr>
      </w:pPr>
      <w:r>
        <w:rPr>
          <w:highlight w:val="none"/>
          <w:lang w:val="en-US" w:eastAsia="zh-CN"/>
        </w:rPr>
        <w:t>爬电距离的修正</w:t>
      </w:r>
      <w:bookmarkStart w:id="179" w:name="pindex544"/>
      <w:bookmarkEnd w:id="179"/>
    </w:p>
    <w:p w14:paraId="7F2546D9">
      <w:pPr>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爬电距离的修正应</w:t>
      </w:r>
      <w:r>
        <w:rPr>
          <w:rFonts w:ascii="Times New Roman" w:hAnsi="Times New Roman" w:eastAsia="宋体" w:cs="Times New Roman"/>
          <w:szCs w:val="21"/>
          <w:highlight w:val="none"/>
        </w:rPr>
        <w:t>按GB/T 26218.2和GB/T 26218.3进</w:t>
      </w:r>
      <w:r>
        <w:rPr>
          <w:rFonts w:ascii="Times New Roman" w:hAnsi="Times New Roman" w:eastAsia="宋体" w:cs="Times New Roman"/>
          <w:highlight w:val="none"/>
        </w:rPr>
        <w:t>行。</w:t>
      </w:r>
    </w:p>
    <w:p w14:paraId="000EAACD">
      <w:pPr>
        <w:pStyle w:val="260"/>
        <w:bidi w:val="0"/>
        <w:ind w:left="710" w:leftChars="0" w:hanging="710" w:firstLineChars="0"/>
        <w:rPr>
          <w:highlight w:val="none"/>
          <w:lang w:val="en-US" w:eastAsia="zh-CN"/>
        </w:rPr>
      </w:pPr>
      <w:bookmarkStart w:id="180" w:name="_Toc10592"/>
      <w:bookmarkStart w:id="181" w:name="_Toc14903"/>
      <w:bookmarkStart w:id="182" w:name="_Toc170918035"/>
      <w:r>
        <w:rPr>
          <w:highlight w:val="none"/>
          <w:lang w:val="en-US" w:eastAsia="zh-CN"/>
        </w:rPr>
        <w:t>绝缘油介质主要性能要求</w:t>
      </w:r>
      <w:bookmarkEnd w:id="180"/>
      <w:bookmarkEnd w:id="181"/>
      <w:bookmarkEnd w:id="182"/>
      <w:bookmarkStart w:id="183" w:name="pindex546"/>
      <w:bookmarkEnd w:id="183"/>
    </w:p>
    <w:p w14:paraId="3EB8CA9A">
      <w:pPr>
        <w:autoSpaceDE w:val="0"/>
        <w:autoSpaceDN w:val="0"/>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油浸式互感器所用绝缘油应符合GB/T 7595和DL/T 722的要求。</w:t>
      </w:r>
    </w:p>
    <w:p w14:paraId="46B42E42">
      <w:pPr>
        <w:autoSpaceDE w:val="0"/>
        <w:autoSpaceDN w:val="0"/>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当电压互感器的绝缘介质采用变压器油时，其主要性能应满足表7的规定要求。</w:t>
      </w:r>
    </w:p>
    <w:p w14:paraId="228E70B4">
      <w:pPr>
        <w:numPr>
          <w:ilvl w:val="0"/>
          <w:numId w:val="0"/>
        </w:numPr>
        <w:tabs>
          <w:tab w:val="left" w:pos="360"/>
        </w:tabs>
        <w:spacing w:before="156" w:beforeLines="50" w:after="156" w:afterLines="50"/>
        <w:jc w:val="center"/>
        <w:rPr>
          <w:rFonts w:ascii="Times New Roman" w:hAnsi="Times New Roman" w:eastAsia="黑体" w:cs="Times New Roman"/>
          <w:sz w:val="21"/>
          <w:szCs w:val="21"/>
          <w:highlight w:val="none"/>
          <w:lang w:val="en-US" w:eastAsia="zh-CN" w:bidi="ar-SA"/>
        </w:rPr>
      </w:pPr>
    </w:p>
    <w:p w14:paraId="2ECDDE9F">
      <w:pPr>
        <w:numPr>
          <w:ilvl w:val="0"/>
          <w:numId w:val="0"/>
        </w:numPr>
        <w:tabs>
          <w:tab w:val="left" w:pos="360"/>
        </w:tabs>
        <w:spacing w:before="156" w:beforeLines="50" w:after="156" w:afterLines="50"/>
        <w:jc w:val="center"/>
        <w:rPr>
          <w:rFonts w:ascii="Times New Roman" w:hAnsi="Times New Roman" w:eastAsia="黑体" w:cs="Times New Roman"/>
          <w:sz w:val="21"/>
          <w:szCs w:val="21"/>
          <w:highlight w:val="none"/>
          <w:lang w:val="en-US" w:eastAsia="zh-CN" w:bidi="ar-SA"/>
        </w:rPr>
      </w:pPr>
      <w:r>
        <w:rPr>
          <w:rFonts w:ascii="Times New Roman" w:hAnsi="Times New Roman" w:eastAsia="黑体" w:cs="Times New Roman"/>
          <w:sz w:val="21"/>
          <w:szCs w:val="21"/>
          <w:highlight w:val="none"/>
          <w:lang w:val="en-US" w:eastAsia="zh-CN" w:bidi="ar-SA"/>
        </w:rPr>
        <w:t>表7 绝缘油主要性能要求</w:t>
      </w:r>
      <w:bookmarkStart w:id="184" w:name="pindex549"/>
      <w:bookmarkEnd w:id="184"/>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1362"/>
        <w:gridCol w:w="1528"/>
        <w:gridCol w:w="1195"/>
        <w:gridCol w:w="3470"/>
      </w:tblGrid>
      <w:tr w14:paraId="1DA1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3" w:type="pct"/>
            <w:vMerge w:val="restart"/>
            <w:noWrap w:val="0"/>
            <w:vAlign w:val="center"/>
          </w:tcPr>
          <w:p w14:paraId="5FA587B5">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项     目</w:t>
            </w:r>
          </w:p>
        </w:tc>
        <w:tc>
          <w:tcPr>
            <w:tcW w:w="711" w:type="pct"/>
            <w:vMerge w:val="restart"/>
            <w:noWrap w:val="0"/>
            <w:vAlign w:val="center"/>
          </w:tcPr>
          <w:p w14:paraId="009AF2C7">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额定电压等级</w:t>
            </w:r>
          </w:p>
          <w:p w14:paraId="19869F25">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1422" w:type="pct"/>
            <w:gridSpan w:val="2"/>
            <w:noWrap w:val="0"/>
            <w:vAlign w:val="center"/>
          </w:tcPr>
          <w:p w14:paraId="71CFEA4F">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质量指标</w:t>
            </w:r>
          </w:p>
        </w:tc>
        <w:tc>
          <w:tcPr>
            <w:tcW w:w="1812" w:type="pct"/>
            <w:vMerge w:val="restart"/>
            <w:noWrap w:val="0"/>
            <w:vAlign w:val="center"/>
          </w:tcPr>
          <w:p w14:paraId="2032F3A5">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试验方法</w:t>
            </w:r>
          </w:p>
        </w:tc>
      </w:tr>
      <w:tr w14:paraId="39C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53" w:type="pct"/>
            <w:vMerge w:val="continue"/>
            <w:noWrap w:val="0"/>
            <w:vAlign w:val="center"/>
          </w:tcPr>
          <w:p w14:paraId="0D959085">
            <w:pPr>
              <w:autoSpaceDE w:val="0"/>
              <w:autoSpaceDN w:val="0"/>
              <w:jc w:val="center"/>
              <w:rPr>
                <w:rFonts w:ascii="Times New Roman" w:hAnsi="Times New Roman" w:eastAsia="宋体" w:cs="Times New Roman"/>
                <w:sz w:val="18"/>
                <w:szCs w:val="18"/>
                <w:highlight w:val="none"/>
              </w:rPr>
            </w:pPr>
          </w:p>
        </w:tc>
        <w:tc>
          <w:tcPr>
            <w:tcW w:w="711" w:type="pct"/>
            <w:vMerge w:val="continue"/>
            <w:noWrap w:val="0"/>
            <w:vAlign w:val="center"/>
          </w:tcPr>
          <w:p w14:paraId="09003207">
            <w:pPr>
              <w:autoSpaceDE w:val="0"/>
              <w:autoSpaceDN w:val="0"/>
              <w:jc w:val="center"/>
              <w:rPr>
                <w:rFonts w:ascii="Times New Roman" w:hAnsi="Times New Roman" w:eastAsia="宋体" w:cs="Times New Roman"/>
                <w:sz w:val="18"/>
                <w:szCs w:val="18"/>
                <w:highlight w:val="none"/>
              </w:rPr>
            </w:pPr>
          </w:p>
        </w:tc>
        <w:tc>
          <w:tcPr>
            <w:tcW w:w="798" w:type="pct"/>
            <w:noWrap w:val="0"/>
            <w:vAlign w:val="center"/>
          </w:tcPr>
          <w:p w14:paraId="5BA4FABA">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新投运前</w:t>
            </w:r>
          </w:p>
        </w:tc>
        <w:tc>
          <w:tcPr>
            <w:tcW w:w="624" w:type="pct"/>
            <w:noWrap w:val="0"/>
            <w:vAlign w:val="center"/>
          </w:tcPr>
          <w:p w14:paraId="5E72740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运行中</w:t>
            </w:r>
          </w:p>
        </w:tc>
        <w:tc>
          <w:tcPr>
            <w:tcW w:w="1812" w:type="pct"/>
            <w:vMerge w:val="continue"/>
            <w:noWrap w:val="0"/>
            <w:vAlign w:val="center"/>
          </w:tcPr>
          <w:p w14:paraId="7B7E6706">
            <w:pPr>
              <w:autoSpaceDE w:val="0"/>
              <w:autoSpaceDN w:val="0"/>
              <w:jc w:val="center"/>
              <w:rPr>
                <w:rFonts w:ascii="Times New Roman" w:hAnsi="Times New Roman" w:eastAsia="宋体" w:cs="Times New Roman"/>
                <w:sz w:val="18"/>
                <w:szCs w:val="18"/>
                <w:highlight w:val="none"/>
              </w:rPr>
            </w:pPr>
          </w:p>
        </w:tc>
      </w:tr>
      <w:tr w14:paraId="4E0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3" w:type="pct"/>
            <w:vMerge w:val="restart"/>
            <w:noWrap w:val="0"/>
            <w:vAlign w:val="center"/>
          </w:tcPr>
          <w:p w14:paraId="13A3C46C">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击穿电压</w:t>
            </w:r>
          </w:p>
          <w:p w14:paraId="6CFF93A0">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kV</w:t>
            </w:r>
          </w:p>
        </w:tc>
        <w:tc>
          <w:tcPr>
            <w:tcW w:w="711" w:type="pct"/>
            <w:noWrap w:val="0"/>
            <w:vAlign w:val="center"/>
          </w:tcPr>
          <w:p w14:paraId="558C435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≤35</w:t>
            </w:r>
          </w:p>
        </w:tc>
        <w:tc>
          <w:tcPr>
            <w:tcW w:w="798" w:type="pct"/>
            <w:noWrap w:val="0"/>
            <w:vAlign w:val="center"/>
          </w:tcPr>
          <w:p w14:paraId="72155832">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w:t>
            </w:r>
          </w:p>
        </w:tc>
        <w:tc>
          <w:tcPr>
            <w:tcW w:w="624" w:type="pct"/>
            <w:noWrap w:val="0"/>
            <w:vAlign w:val="center"/>
          </w:tcPr>
          <w:p w14:paraId="077F13A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≥35</w:t>
            </w:r>
          </w:p>
        </w:tc>
        <w:tc>
          <w:tcPr>
            <w:tcW w:w="1812" w:type="pct"/>
            <w:vMerge w:val="restart"/>
            <w:noWrap w:val="0"/>
            <w:vAlign w:val="center"/>
          </w:tcPr>
          <w:p w14:paraId="0A83EB2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按GB/T 507进行试验</w:t>
            </w:r>
          </w:p>
        </w:tc>
      </w:tr>
      <w:tr w14:paraId="7E52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3" w:type="pct"/>
            <w:vMerge w:val="continue"/>
            <w:noWrap w:val="0"/>
            <w:vAlign w:val="center"/>
          </w:tcPr>
          <w:p w14:paraId="122BE2AB">
            <w:pPr>
              <w:autoSpaceDE w:val="0"/>
              <w:autoSpaceDN w:val="0"/>
              <w:jc w:val="center"/>
              <w:rPr>
                <w:rFonts w:ascii="Times New Roman" w:hAnsi="Times New Roman" w:eastAsia="宋体" w:cs="Times New Roman"/>
                <w:sz w:val="18"/>
                <w:szCs w:val="18"/>
                <w:highlight w:val="none"/>
              </w:rPr>
            </w:pPr>
          </w:p>
        </w:tc>
        <w:tc>
          <w:tcPr>
            <w:tcW w:w="711" w:type="pct"/>
            <w:noWrap w:val="0"/>
            <w:vAlign w:val="center"/>
          </w:tcPr>
          <w:p w14:paraId="6781A2A6">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66</w:t>
            </w:r>
            <w:r>
              <w:rPr>
                <w:rFonts w:ascii="Times New Roman" w:hAnsi="Times New Roman" w:eastAsia="宋体" w:cs="Times New Roman"/>
                <w:highlight w:val="none"/>
              </w:rPr>
              <w:t>～</w:t>
            </w:r>
            <w:r>
              <w:rPr>
                <w:rFonts w:ascii="Times New Roman" w:hAnsi="Times New Roman" w:eastAsia="宋体" w:cs="Times New Roman"/>
                <w:sz w:val="18"/>
                <w:szCs w:val="18"/>
                <w:highlight w:val="none"/>
              </w:rPr>
              <w:t>220</w:t>
            </w:r>
          </w:p>
        </w:tc>
        <w:tc>
          <w:tcPr>
            <w:tcW w:w="798" w:type="pct"/>
            <w:noWrap w:val="0"/>
            <w:vAlign w:val="center"/>
          </w:tcPr>
          <w:p w14:paraId="2D567B54">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≥45</w:t>
            </w:r>
          </w:p>
        </w:tc>
        <w:tc>
          <w:tcPr>
            <w:tcW w:w="624" w:type="pct"/>
            <w:noWrap w:val="0"/>
            <w:vAlign w:val="center"/>
          </w:tcPr>
          <w:p w14:paraId="24707D39">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w:t>
            </w:r>
          </w:p>
        </w:tc>
        <w:tc>
          <w:tcPr>
            <w:tcW w:w="1812" w:type="pct"/>
            <w:vMerge w:val="continue"/>
            <w:noWrap w:val="0"/>
            <w:vAlign w:val="center"/>
          </w:tcPr>
          <w:p w14:paraId="30CD77DD">
            <w:pPr>
              <w:autoSpaceDE w:val="0"/>
              <w:autoSpaceDN w:val="0"/>
              <w:jc w:val="center"/>
              <w:rPr>
                <w:rFonts w:ascii="Times New Roman" w:hAnsi="Times New Roman" w:eastAsia="宋体" w:cs="Times New Roman"/>
                <w:sz w:val="18"/>
                <w:szCs w:val="18"/>
                <w:highlight w:val="none"/>
              </w:rPr>
            </w:pPr>
          </w:p>
        </w:tc>
      </w:tr>
      <w:tr w14:paraId="1F64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3" w:type="pct"/>
            <w:noWrap w:val="0"/>
            <w:vAlign w:val="center"/>
          </w:tcPr>
          <w:p w14:paraId="24E68169">
            <w:pPr>
              <w:autoSpaceDE w:val="0"/>
              <w:autoSpaceDN w:val="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介质损耗因数(90 ℃)</w:t>
            </w:r>
          </w:p>
          <w:p w14:paraId="6CEFF50C">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711" w:type="pct"/>
            <w:noWrap w:val="0"/>
            <w:vAlign w:val="center"/>
          </w:tcPr>
          <w:p w14:paraId="0CCC1578">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r>
              <w:rPr>
                <w:rFonts w:hint="eastAsia" w:cs="Times New Roman"/>
                <w:sz w:val="18"/>
                <w:szCs w:val="18"/>
                <w:highlight w:val="none"/>
                <w:lang w:eastAsia="zh-CN"/>
              </w:rPr>
              <w:t>2</w:t>
            </w:r>
            <w:r>
              <w:rPr>
                <w:rFonts w:hint="eastAsia" w:cs="Times New Roman"/>
                <w:sz w:val="18"/>
                <w:szCs w:val="18"/>
                <w:highlight w:val="none"/>
                <w:lang w:val="en-US" w:eastAsia="zh-CN"/>
              </w:rPr>
              <w:t>2</w:t>
            </w:r>
            <w:r>
              <w:rPr>
                <w:rFonts w:ascii="Times New Roman" w:hAnsi="Times New Roman" w:eastAsia="宋体" w:cs="Times New Roman"/>
                <w:sz w:val="18"/>
                <w:szCs w:val="18"/>
                <w:highlight w:val="none"/>
              </w:rPr>
              <w:t>0</w:t>
            </w:r>
          </w:p>
        </w:tc>
        <w:tc>
          <w:tcPr>
            <w:tcW w:w="798" w:type="pct"/>
            <w:noWrap w:val="0"/>
            <w:vAlign w:val="center"/>
          </w:tcPr>
          <w:p w14:paraId="3A8416CE">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w:t>
            </w:r>
          </w:p>
        </w:tc>
        <w:tc>
          <w:tcPr>
            <w:tcW w:w="624" w:type="pct"/>
            <w:noWrap w:val="0"/>
            <w:vAlign w:val="center"/>
          </w:tcPr>
          <w:p w14:paraId="655B17F8">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≤4.0</w:t>
            </w:r>
          </w:p>
        </w:tc>
        <w:tc>
          <w:tcPr>
            <w:tcW w:w="1812" w:type="pct"/>
            <w:noWrap w:val="0"/>
            <w:vAlign w:val="center"/>
          </w:tcPr>
          <w:p w14:paraId="733ECE3B">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按GB/T 5654进行试验</w:t>
            </w:r>
          </w:p>
        </w:tc>
      </w:tr>
      <w:tr w14:paraId="4B49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53" w:type="pct"/>
            <w:vMerge w:val="restart"/>
            <w:noWrap w:val="0"/>
            <w:vAlign w:val="center"/>
          </w:tcPr>
          <w:p w14:paraId="74D0A9FC">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含水量</w:t>
            </w:r>
          </w:p>
          <w:p w14:paraId="6E8AC840">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highlight w:val="none"/>
              </w:rPr>
              <w:t>mg/L</w:t>
            </w:r>
          </w:p>
        </w:tc>
        <w:tc>
          <w:tcPr>
            <w:tcW w:w="711" w:type="pct"/>
            <w:noWrap w:val="0"/>
            <w:vAlign w:val="center"/>
          </w:tcPr>
          <w:p w14:paraId="6CDF91F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≤110</w:t>
            </w:r>
          </w:p>
        </w:tc>
        <w:tc>
          <w:tcPr>
            <w:tcW w:w="798" w:type="pct"/>
            <w:noWrap w:val="0"/>
            <w:vAlign w:val="center"/>
          </w:tcPr>
          <w:p w14:paraId="11076DC6">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≤20</w:t>
            </w:r>
          </w:p>
        </w:tc>
        <w:tc>
          <w:tcPr>
            <w:tcW w:w="624" w:type="pct"/>
            <w:noWrap w:val="0"/>
            <w:vAlign w:val="center"/>
          </w:tcPr>
          <w:p w14:paraId="1EEFE34B">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≤35</w:t>
            </w:r>
          </w:p>
        </w:tc>
        <w:tc>
          <w:tcPr>
            <w:tcW w:w="1812" w:type="pct"/>
            <w:vMerge w:val="restart"/>
            <w:noWrap w:val="0"/>
            <w:vAlign w:val="center"/>
          </w:tcPr>
          <w:p w14:paraId="568CF5E7">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按GB/T 7600进行试验</w:t>
            </w:r>
          </w:p>
        </w:tc>
      </w:tr>
      <w:tr w14:paraId="7036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53" w:type="pct"/>
            <w:vMerge w:val="continue"/>
            <w:noWrap w:val="0"/>
            <w:vAlign w:val="center"/>
          </w:tcPr>
          <w:p w14:paraId="758423B4">
            <w:pPr>
              <w:autoSpaceDE w:val="0"/>
              <w:autoSpaceDN w:val="0"/>
              <w:jc w:val="center"/>
              <w:rPr>
                <w:rFonts w:ascii="Times New Roman" w:hAnsi="Times New Roman" w:eastAsia="宋体" w:cs="Times New Roman"/>
                <w:sz w:val="18"/>
                <w:szCs w:val="18"/>
                <w:highlight w:val="none"/>
              </w:rPr>
            </w:pPr>
          </w:p>
        </w:tc>
        <w:tc>
          <w:tcPr>
            <w:tcW w:w="711" w:type="pct"/>
            <w:noWrap w:val="0"/>
            <w:vAlign w:val="center"/>
          </w:tcPr>
          <w:p w14:paraId="765C77B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220</w:t>
            </w:r>
          </w:p>
        </w:tc>
        <w:tc>
          <w:tcPr>
            <w:tcW w:w="798" w:type="pct"/>
            <w:noWrap w:val="0"/>
            <w:vAlign w:val="center"/>
          </w:tcPr>
          <w:p w14:paraId="6096C18C">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≤15</w:t>
            </w:r>
          </w:p>
        </w:tc>
        <w:tc>
          <w:tcPr>
            <w:tcW w:w="624" w:type="pct"/>
            <w:noWrap w:val="0"/>
            <w:vAlign w:val="center"/>
          </w:tcPr>
          <w:p w14:paraId="65ACEDDD">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≤25</w:t>
            </w:r>
          </w:p>
        </w:tc>
        <w:tc>
          <w:tcPr>
            <w:tcW w:w="1812" w:type="pct"/>
            <w:vMerge w:val="continue"/>
            <w:noWrap w:val="0"/>
            <w:vAlign w:val="center"/>
          </w:tcPr>
          <w:p w14:paraId="2520EC72">
            <w:pPr>
              <w:autoSpaceDE w:val="0"/>
              <w:autoSpaceDN w:val="0"/>
              <w:jc w:val="center"/>
              <w:rPr>
                <w:rFonts w:ascii="Times New Roman" w:hAnsi="Times New Roman" w:eastAsia="宋体" w:cs="Times New Roman"/>
                <w:sz w:val="18"/>
                <w:szCs w:val="18"/>
                <w:highlight w:val="none"/>
              </w:rPr>
            </w:pPr>
          </w:p>
        </w:tc>
      </w:tr>
      <w:tr w14:paraId="2DCB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53" w:type="pct"/>
            <w:shd w:val="clear" w:color="auto" w:fill="auto"/>
            <w:noWrap w:val="0"/>
            <w:vAlign w:val="center"/>
          </w:tcPr>
          <w:p w14:paraId="7A70C1BB">
            <w:pPr>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rPr>
              <w:t>油中溶解气体色谱分析µL/L</w:t>
            </w:r>
          </w:p>
        </w:tc>
        <w:tc>
          <w:tcPr>
            <w:tcW w:w="711" w:type="pct"/>
            <w:shd w:val="clear" w:color="auto" w:fill="auto"/>
            <w:noWrap w:val="0"/>
            <w:vAlign w:val="center"/>
          </w:tcPr>
          <w:p w14:paraId="1DABE298">
            <w:pPr>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rPr>
              <w:t>≤220</w:t>
            </w:r>
          </w:p>
        </w:tc>
        <w:tc>
          <w:tcPr>
            <w:tcW w:w="798" w:type="pct"/>
            <w:shd w:val="clear" w:color="auto" w:fill="auto"/>
            <w:noWrap w:val="0"/>
            <w:vAlign w:val="center"/>
          </w:tcPr>
          <w:p w14:paraId="6CF5B551">
            <w:pPr>
              <w:jc w:val="center"/>
              <w:rPr>
                <w:rFonts w:ascii="Times New Roman" w:hAnsi="Times New Roman" w:eastAsia="宋体" w:cs="Times New Roman"/>
                <w:sz w:val="18"/>
                <w:szCs w:val="18"/>
                <w:highlight w:val="none"/>
              </w:rPr>
            </w:pPr>
          </w:p>
          <w:p w14:paraId="62F00C8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H</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：≤50</w:t>
            </w:r>
          </w:p>
          <w:p w14:paraId="5F7DD24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C</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H</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 0</w:t>
            </w:r>
          </w:p>
          <w:p w14:paraId="74C0B61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总烃：＜10</w:t>
            </w:r>
          </w:p>
          <w:p w14:paraId="789C2B17">
            <w:pPr>
              <w:jc w:val="center"/>
              <w:rPr>
                <w:rFonts w:ascii="Times New Roman" w:hAnsi="Times New Roman" w:eastAsia="宋体" w:cs="Times New Roman"/>
                <w:sz w:val="18"/>
                <w:szCs w:val="18"/>
                <w:highlight w:val="none"/>
              </w:rPr>
            </w:pPr>
          </w:p>
          <w:p w14:paraId="30FD8CB6">
            <w:pPr>
              <w:jc w:val="center"/>
              <w:rPr>
                <w:rFonts w:ascii="Times New Roman" w:hAnsi="Times New Roman" w:eastAsia="宋体" w:cs="Times New Roman"/>
                <w:kern w:val="2"/>
                <w:sz w:val="18"/>
                <w:szCs w:val="18"/>
                <w:highlight w:val="none"/>
                <w:lang w:val="en-US" w:eastAsia="zh-CN" w:bidi="ar-SA"/>
              </w:rPr>
            </w:pPr>
          </w:p>
        </w:tc>
        <w:tc>
          <w:tcPr>
            <w:tcW w:w="624" w:type="pct"/>
            <w:shd w:val="clear" w:color="auto" w:fill="auto"/>
            <w:noWrap w:val="0"/>
            <w:vAlign w:val="center"/>
          </w:tcPr>
          <w:p w14:paraId="7BDF8C2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注意值：</w:t>
            </w:r>
          </w:p>
          <w:p w14:paraId="7ADC0DA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H</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：150</w:t>
            </w:r>
          </w:p>
          <w:p w14:paraId="5EB946A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C</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H</w:t>
            </w:r>
            <w:r>
              <w:rPr>
                <w:rFonts w:ascii="Times New Roman" w:hAnsi="Times New Roman" w:eastAsia="宋体" w:cs="Times New Roman"/>
                <w:sz w:val="18"/>
                <w:szCs w:val="18"/>
                <w:highlight w:val="none"/>
                <w:vertAlign w:val="subscript"/>
              </w:rPr>
              <w:t>2</w:t>
            </w:r>
            <w:r>
              <w:rPr>
                <w:rFonts w:ascii="Times New Roman" w:hAnsi="Times New Roman" w:eastAsia="宋体" w:cs="Times New Roman"/>
                <w:sz w:val="18"/>
                <w:szCs w:val="18"/>
                <w:highlight w:val="none"/>
              </w:rPr>
              <w:t>：3</w:t>
            </w:r>
          </w:p>
          <w:p w14:paraId="3256BB47">
            <w:pPr>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rPr>
              <w:t>总烃：100</w:t>
            </w:r>
          </w:p>
        </w:tc>
        <w:tc>
          <w:tcPr>
            <w:tcW w:w="1812" w:type="pct"/>
            <w:shd w:val="clear" w:color="auto" w:fill="auto"/>
            <w:noWrap w:val="0"/>
            <w:vAlign w:val="center"/>
          </w:tcPr>
          <w:p w14:paraId="2B8405BE">
            <w:pPr>
              <w:autoSpaceDE w:val="0"/>
              <w:autoSpaceDN w:val="0"/>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rPr>
              <w:t>按GB/T 17623进行试验</w:t>
            </w:r>
          </w:p>
        </w:tc>
      </w:tr>
    </w:tbl>
    <w:p w14:paraId="22386B70">
      <w:pPr>
        <w:pStyle w:val="260"/>
        <w:bidi w:val="0"/>
        <w:ind w:left="710" w:leftChars="0" w:hanging="710" w:firstLineChars="0"/>
        <w:rPr>
          <w:highlight w:val="none"/>
          <w:lang w:val="en-US" w:eastAsia="zh-CN"/>
        </w:rPr>
      </w:pPr>
      <w:bookmarkStart w:id="185" w:name="_Toc8679"/>
      <w:bookmarkStart w:id="186" w:name="_Toc170918036"/>
      <w:bookmarkStart w:id="187" w:name="_Toc10632"/>
      <w:bookmarkStart w:id="188" w:name="_Toc262827051"/>
      <w:r>
        <w:rPr>
          <w:highlight w:val="none"/>
          <w:lang w:val="en-US" w:eastAsia="zh-CN"/>
        </w:rPr>
        <w:t>气体介质主要性能要求</w:t>
      </w:r>
      <w:bookmarkEnd w:id="185"/>
      <w:bookmarkEnd w:id="186"/>
      <w:bookmarkEnd w:id="187"/>
      <w:bookmarkEnd w:id="188"/>
      <w:bookmarkStart w:id="189" w:name="pindex650"/>
      <w:bookmarkEnd w:id="189"/>
    </w:p>
    <w:p w14:paraId="4943E364">
      <w:pPr>
        <w:pStyle w:val="261"/>
        <w:bidi w:val="0"/>
        <w:ind w:left="142" w:leftChars="0" w:hanging="142" w:firstLineChars="0"/>
        <w:rPr>
          <w:highlight w:val="none"/>
          <w:lang w:val="en-US" w:eastAsia="zh-CN"/>
        </w:rPr>
      </w:pPr>
      <w:r>
        <w:rPr>
          <w:highlight w:val="none"/>
          <w:lang w:val="en-US" w:eastAsia="zh-CN"/>
        </w:rPr>
        <w:t>SF6气体主要性能要求</w:t>
      </w:r>
      <w:bookmarkStart w:id="190" w:name="pindex651"/>
      <w:bookmarkEnd w:id="190"/>
    </w:p>
    <w:p w14:paraId="4B429B65">
      <w:pPr>
        <w:autoSpaceDE w:val="0"/>
        <w:autoSpaceDN w:val="0"/>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当电压互感器的绝缘介质采用SF</w:t>
      </w:r>
      <w:r>
        <w:rPr>
          <w:rFonts w:ascii="Times New Roman" w:hAnsi="Times New Roman" w:eastAsia="宋体" w:cs="Times New Roman"/>
          <w:szCs w:val="21"/>
          <w:highlight w:val="none"/>
          <w:vertAlign w:val="subscript"/>
        </w:rPr>
        <w:t>6</w:t>
      </w:r>
      <w:r>
        <w:rPr>
          <w:rFonts w:ascii="Times New Roman" w:hAnsi="Times New Roman" w:eastAsia="宋体" w:cs="Times New Roman"/>
          <w:szCs w:val="21"/>
          <w:highlight w:val="none"/>
        </w:rPr>
        <w:t>气体时，其主要性能应符合下列要求：</w:t>
      </w:r>
    </w:p>
    <w:p w14:paraId="513AAE0B">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a)  充入电气设备前的新气，应符合GB/T 12022的要求；使用过的SF</w:t>
      </w:r>
      <w:r>
        <w:rPr>
          <w:rFonts w:ascii="Times New Roman" w:hAnsi="Times New Roman" w:eastAsia="宋体" w:cs="Times New Roman"/>
          <w:sz w:val="21"/>
          <w:highlight w:val="none"/>
          <w:vertAlign w:val="subscript"/>
          <w:lang w:val="en-US" w:eastAsia="zh-CN" w:bidi="ar-SA"/>
        </w:rPr>
        <w:t>6</w:t>
      </w:r>
      <w:r>
        <w:rPr>
          <w:rFonts w:ascii="Times New Roman" w:hAnsi="Times New Roman" w:eastAsia="宋体" w:cs="Times New Roman"/>
          <w:sz w:val="21"/>
          <w:highlight w:val="none"/>
          <w:lang w:val="en-US" w:eastAsia="zh-CN" w:bidi="ar-SA"/>
        </w:rPr>
        <w:t>应符合GB/T 8905的要求</w:t>
      </w:r>
      <w:bookmarkStart w:id="191" w:name="pindex653"/>
      <w:bookmarkEnd w:id="191"/>
      <w:r>
        <w:rPr>
          <w:rFonts w:ascii="Times New Roman" w:hAnsi="Times New Roman" w:eastAsia="宋体" w:cs="Times New Roman"/>
          <w:sz w:val="21"/>
          <w:highlight w:val="none"/>
          <w:lang w:val="en-US" w:eastAsia="zh-CN" w:bidi="ar-SA"/>
        </w:rPr>
        <w:t>。</w:t>
      </w:r>
    </w:p>
    <w:p w14:paraId="5A5CD818">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b)  对于额定充气密度达到要求的气体绝缘电压互感器，其内部最大允许含水量对应于20</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℃测量的露点不高于-33.9</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℃。在其他温度测量应作适当校正，校正方法应符合DL/T 506的要求。</w:t>
      </w:r>
      <w:bookmarkStart w:id="192" w:name="pindex654"/>
      <w:bookmarkEnd w:id="192"/>
    </w:p>
    <w:p w14:paraId="34FC11F0">
      <w:pPr>
        <w:pStyle w:val="261"/>
        <w:bidi w:val="0"/>
        <w:ind w:left="142" w:leftChars="0" w:hanging="142" w:firstLineChars="0"/>
        <w:rPr>
          <w:highlight w:val="none"/>
          <w:lang w:val="en-US" w:eastAsia="zh-CN"/>
        </w:rPr>
      </w:pPr>
      <w:r>
        <w:rPr>
          <w:highlight w:val="none"/>
          <w:lang w:val="en-US" w:eastAsia="zh-CN"/>
        </w:rPr>
        <w:t>混合气体主要性能要求</w:t>
      </w:r>
      <w:bookmarkStart w:id="193" w:name="pindex655"/>
      <w:bookmarkEnd w:id="193"/>
    </w:p>
    <w:p w14:paraId="1479D989">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szCs w:val="21"/>
          <w:highlight w:val="none"/>
          <w:lang w:val="en-US" w:eastAsia="zh-CN" w:bidi="ar-SA"/>
        </w:rPr>
        <w:t>当电压互感器的绝缘介质采用混合气体时，其性能应参考制造厂提供的说明书进行检测。</w:t>
      </w:r>
    </w:p>
    <w:p w14:paraId="1D125819">
      <w:pPr>
        <w:pStyle w:val="260"/>
        <w:bidi w:val="0"/>
        <w:ind w:left="710" w:leftChars="0" w:hanging="710" w:firstLineChars="0"/>
        <w:rPr>
          <w:highlight w:val="none"/>
          <w:lang w:val="en-US" w:eastAsia="zh-CN"/>
        </w:rPr>
      </w:pPr>
      <w:bookmarkStart w:id="194" w:name="_Toc4833"/>
      <w:bookmarkStart w:id="195" w:name="_Toc170918037"/>
      <w:bookmarkStart w:id="196" w:name="_Toc3518"/>
      <w:bookmarkStart w:id="197" w:name="_Toc9711"/>
      <w:r>
        <w:rPr>
          <w:highlight w:val="none"/>
          <w:lang w:val="en-US" w:eastAsia="zh-CN"/>
        </w:rPr>
        <w:t>对零件和部件的温升要求</w:t>
      </w:r>
      <w:bookmarkEnd w:id="194"/>
      <w:bookmarkEnd w:id="195"/>
      <w:bookmarkEnd w:id="196"/>
      <w:bookmarkEnd w:id="197"/>
      <w:bookmarkStart w:id="198" w:name="pindex657"/>
      <w:bookmarkEnd w:id="198"/>
    </w:p>
    <w:p w14:paraId="55380A9C">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电压互感器零件和部件的温升应符合GB/T 20840.3</w:t>
      </w:r>
      <w:r>
        <w:rPr>
          <w:rFonts w:ascii="Times New Roman" w:hAnsi="Times New Roman" w:eastAsia="宋体" w:cs="Times New Roman"/>
          <w:sz w:val="21"/>
          <w:szCs w:val="21"/>
          <w:highlight w:val="none"/>
          <w:lang w:val="en-US" w:eastAsia="zh-CN" w:bidi="ar-SA"/>
        </w:rPr>
        <w:t>的</w:t>
      </w:r>
      <w:r>
        <w:rPr>
          <w:rFonts w:ascii="Times New Roman" w:hAnsi="Times New Roman" w:eastAsia="宋体" w:cs="Times New Roman"/>
          <w:sz w:val="21"/>
          <w:highlight w:val="none"/>
          <w:lang w:val="en-US" w:eastAsia="zh-CN" w:bidi="ar-SA"/>
        </w:rPr>
        <w:t>要求。</w:t>
      </w:r>
    </w:p>
    <w:p w14:paraId="63ABB548">
      <w:pPr>
        <w:pStyle w:val="260"/>
        <w:bidi w:val="0"/>
        <w:ind w:left="710" w:leftChars="0" w:hanging="710" w:firstLineChars="0"/>
        <w:rPr>
          <w:highlight w:val="none"/>
          <w:lang w:val="en-US" w:eastAsia="zh-CN"/>
        </w:rPr>
      </w:pPr>
      <w:bookmarkStart w:id="199" w:name="_Toc24689"/>
      <w:bookmarkStart w:id="200" w:name="_Toc14115"/>
      <w:bookmarkStart w:id="201" w:name="_Toc170918038"/>
      <w:r>
        <w:rPr>
          <w:highlight w:val="none"/>
          <w:lang w:val="en-US" w:eastAsia="zh-CN"/>
        </w:rPr>
        <w:t>短路承受能力</w:t>
      </w:r>
      <w:bookmarkEnd w:id="199"/>
      <w:bookmarkStart w:id="202" w:name="pindex659"/>
      <w:bookmarkEnd w:id="202"/>
      <w:r>
        <w:rPr>
          <w:highlight w:val="none"/>
          <w:lang w:val="en-US" w:eastAsia="zh-CN"/>
        </w:rPr>
        <w:t>要求</w:t>
      </w:r>
      <w:bookmarkEnd w:id="200"/>
      <w:bookmarkEnd w:id="201"/>
    </w:p>
    <w:p w14:paraId="193947AB">
      <w:pPr>
        <w:ind w:firstLine="420" w:firstLineChars="200"/>
        <w:jc w:val="both"/>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21"/>
          <w:szCs w:val="21"/>
          <w:highlight w:val="none"/>
          <w:lang w:val="en-US" w:eastAsia="zh-CN" w:bidi="ar-SA"/>
        </w:rPr>
        <w:t>电压互感器的短路承受能力应符合GB/T 20840.3的要求。</w:t>
      </w:r>
    </w:p>
    <w:p w14:paraId="70622A37">
      <w:pPr>
        <w:pStyle w:val="260"/>
        <w:bidi w:val="0"/>
        <w:ind w:left="710" w:leftChars="0" w:hanging="710" w:firstLineChars="0"/>
        <w:rPr>
          <w:highlight w:val="none"/>
          <w:lang w:val="en-US" w:eastAsia="zh-CN"/>
        </w:rPr>
      </w:pPr>
      <w:bookmarkStart w:id="203" w:name="_Toc25521"/>
      <w:bookmarkStart w:id="204" w:name="_Toc170918039"/>
      <w:bookmarkStart w:id="205" w:name="_Toc22249"/>
      <w:bookmarkStart w:id="206" w:name="_Toc28369"/>
      <w:r>
        <w:rPr>
          <w:highlight w:val="none"/>
          <w:lang w:val="en-US" w:eastAsia="zh-CN"/>
        </w:rPr>
        <w:t>机械强度要求</w:t>
      </w:r>
      <w:bookmarkEnd w:id="203"/>
      <w:bookmarkEnd w:id="204"/>
      <w:bookmarkEnd w:id="205"/>
      <w:bookmarkEnd w:id="206"/>
      <w:bookmarkStart w:id="207" w:name="pindex661"/>
      <w:bookmarkEnd w:id="207"/>
    </w:p>
    <w:p w14:paraId="06012A69">
      <w:pPr>
        <w:ind w:firstLine="420" w:firstLineChars="200"/>
        <w:jc w:val="both"/>
        <w:rPr>
          <w:rFonts w:ascii="Times New Roman" w:hAnsi="Times New Roman" w:eastAsia="宋体" w:cs="Times New Roman"/>
          <w:sz w:val="21"/>
          <w:szCs w:val="21"/>
          <w:highlight w:val="none"/>
          <w:lang w:val="en-US" w:eastAsia="zh-CN" w:bidi="ar-SA"/>
        </w:rPr>
      </w:pPr>
      <w:bookmarkStart w:id="208" w:name="sys662034"/>
      <w:r>
        <w:rPr>
          <w:rFonts w:ascii="Times New Roman" w:hAnsi="Times New Roman" w:eastAsia="宋体" w:cs="Times New Roman"/>
          <w:sz w:val="21"/>
          <w:szCs w:val="21"/>
          <w:highlight w:val="none"/>
          <w:lang w:val="en-US" w:eastAsia="zh-CN" w:bidi="ar-SA"/>
        </w:rPr>
        <w:t>电压互感器的机械强度应符合GB/T 20840.1的要求。</w:t>
      </w:r>
      <w:bookmarkEnd w:id="208"/>
    </w:p>
    <w:p w14:paraId="371CC9E1">
      <w:pPr>
        <w:pStyle w:val="260"/>
        <w:bidi w:val="0"/>
        <w:ind w:left="710" w:leftChars="0" w:hanging="710" w:firstLineChars="0"/>
        <w:rPr>
          <w:highlight w:val="none"/>
          <w:lang w:val="en-US" w:eastAsia="zh-CN"/>
        </w:rPr>
      </w:pPr>
      <w:bookmarkStart w:id="209" w:name="_Toc5358"/>
      <w:bookmarkStart w:id="210" w:name="_Toc22059"/>
      <w:bookmarkStart w:id="211" w:name="_Toc170918040"/>
      <w:bookmarkStart w:id="212" w:name="_Toc2472"/>
      <w:r>
        <w:rPr>
          <w:highlight w:val="none"/>
          <w:lang w:val="en-US" w:eastAsia="zh-CN"/>
        </w:rPr>
        <w:t>密封性能</w:t>
      </w:r>
      <w:bookmarkEnd w:id="209"/>
      <w:bookmarkEnd w:id="210"/>
      <w:bookmarkStart w:id="213" w:name="pindex663"/>
      <w:bookmarkEnd w:id="213"/>
      <w:r>
        <w:rPr>
          <w:highlight w:val="none"/>
          <w:lang w:val="en-US" w:eastAsia="zh-CN"/>
        </w:rPr>
        <w:t>要求</w:t>
      </w:r>
      <w:bookmarkEnd w:id="211"/>
      <w:bookmarkEnd w:id="212"/>
    </w:p>
    <w:p w14:paraId="4813996C">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电压互感器应在所采用温度类别规定的整个温度范围内密封良好，</w:t>
      </w:r>
      <w:r>
        <w:rPr>
          <w:rFonts w:ascii="Times New Roman" w:hAnsi="Times New Roman" w:eastAsia="宋体" w:cs="Times New Roman"/>
          <w:sz w:val="21"/>
          <w:szCs w:val="21"/>
          <w:highlight w:val="none"/>
          <w:lang w:val="en-US" w:eastAsia="zh-CN" w:bidi="ar-SA"/>
        </w:rPr>
        <w:t>油浸式电压互感器、气体绝缘电压互感器的</w:t>
      </w:r>
      <w:r>
        <w:rPr>
          <w:rFonts w:ascii="Times New Roman" w:hAnsi="Times New Roman" w:eastAsia="宋体" w:cs="Times New Roman"/>
          <w:sz w:val="21"/>
          <w:highlight w:val="none"/>
          <w:lang w:val="en-US" w:eastAsia="zh-CN" w:bidi="ar-SA"/>
        </w:rPr>
        <w:t>密封性能试验按</w:t>
      </w:r>
      <w:r>
        <w:rPr>
          <w:rFonts w:ascii="Times New Roman" w:hAnsi="Times New Roman" w:eastAsia="宋体" w:cs="Times New Roman"/>
          <w:sz w:val="21"/>
          <w:szCs w:val="21"/>
          <w:highlight w:val="none"/>
          <w:lang w:val="en-US" w:eastAsia="zh-CN" w:bidi="ar-SA"/>
        </w:rPr>
        <w:t>GB/T 22071.2进</w:t>
      </w:r>
      <w:r>
        <w:rPr>
          <w:rFonts w:ascii="Times New Roman" w:hAnsi="Times New Roman" w:eastAsia="宋体" w:cs="Times New Roman"/>
          <w:sz w:val="21"/>
          <w:highlight w:val="none"/>
          <w:lang w:val="en-US" w:eastAsia="zh-CN" w:bidi="ar-SA"/>
        </w:rPr>
        <w:t>行。</w:t>
      </w:r>
      <w:bookmarkStart w:id="214" w:name="_Toc23109"/>
    </w:p>
    <w:p w14:paraId="3D094C79">
      <w:pPr>
        <w:pStyle w:val="260"/>
        <w:bidi w:val="0"/>
        <w:ind w:left="710" w:leftChars="0" w:hanging="710" w:firstLineChars="0"/>
        <w:rPr>
          <w:highlight w:val="none"/>
          <w:lang w:val="en-US" w:eastAsia="zh-CN"/>
        </w:rPr>
      </w:pPr>
      <w:bookmarkStart w:id="215" w:name="_Toc19980"/>
      <w:bookmarkStart w:id="216" w:name="_Toc21541"/>
      <w:bookmarkStart w:id="217" w:name="_Toc170918041"/>
      <w:r>
        <w:rPr>
          <w:highlight w:val="none"/>
          <w:lang w:val="en-US" w:eastAsia="zh-CN"/>
        </w:rPr>
        <w:t>内部电弧故障防护要求</w:t>
      </w:r>
      <w:bookmarkEnd w:id="215"/>
      <w:bookmarkEnd w:id="216"/>
      <w:bookmarkEnd w:id="217"/>
      <w:bookmarkStart w:id="218" w:name="pindex665"/>
      <w:bookmarkEnd w:id="218"/>
    </w:p>
    <w:p w14:paraId="0DFBA4B2">
      <w:pPr>
        <w:ind w:firstLine="420" w:firstLineChars="200"/>
        <w:jc w:val="both"/>
        <w:rPr>
          <w:rFonts w:ascii="Times New Roman" w:hAnsi="Times New Roman" w:eastAsia="宋体" w:cs="Times New Roman"/>
          <w:sz w:val="21"/>
          <w:szCs w:val="21"/>
          <w:highlight w:val="none"/>
          <w:lang w:val="en-US" w:eastAsia="zh-CN" w:bidi="ar-SA"/>
        </w:rPr>
      </w:pPr>
      <w:r>
        <w:rPr>
          <w:rFonts w:ascii="Times New Roman" w:hAnsi="Times New Roman" w:eastAsia="宋体" w:cs="Times New Roman"/>
          <w:sz w:val="21"/>
          <w:szCs w:val="21"/>
          <w:highlight w:val="none"/>
          <w:lang w:val="en-US" w:eastAsia="zh-CN" w:bidi="ar-SA"/>
        </w:rPr>
        <w:t>电压互感器的内部电弧故障防护应符合GB/T 20840.1的要求。</w:t>
      </w:r>
    </w:p>
    <w:p w14:paraId="45288037">
      <w:pPr>
        <w:pStyle w:val="260"/>
        <w:bidi w:val="0"/>
        <w:ind w:left="710" w:leftChars="0" w:hanging="710" w:firstLineChars="0"/>
        <w:rPr>
          <w:highlight w:val="none"/>
          <w:lang w:val="en-US" w:eastAsia="zh-CN"/>
        </w:rPr>
      </w:pPr>
      <w:bookmarkStart w:id="219" w:name="_Toc705"/>
      <w:bookmarkStart w:id="220" w:name="_Toc16812"/>
      <w:bookmarkStart w:id="221" w:name="_Toc170918042"/>
      <w:r>
        <w:rPr>
          <w:highlight w:val="none"/>
          <w:lang w:val="en-US" w:eastAsia="zh-CN"/>
        </w:rPr>
        <w:t>外壳防护等级</w:t>
      </w:r>
      <w:bookmarkEnd w:id="219"/>
      <w:bookmarkStart w:id="222" w:name="pindex667"/>
      <w:bookmarkEnd w:id="222"/>
      <w:r>
        <w:rPr>
          <w:highlight w:val="none"/>
          <w:lang w:val="en-US" w:eastAsia="zh-CN"/>
        </w:rPr>
        <w:t>要求</w:t>
      </w:r>
      <w:bookmarkEnd w:id="220"/>
      <w:bookmarkEnd w:id="221"/>
    </w:p>
    <w:p w14:paraId="7EA13288">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电压互感器的外壳防护等级应</w:t>
      </w:r>
      <w:r>
        <w:rPr>
          <w:rFonts w:ascii="Times New Roman" w:hAnsi="Times New Roman" w:eastAsia="宋体" w:cs="Times New Roman"/>
          <w:sz w:val="21"/>
          <w:szCs w:val="21"/>
          <w:highlight w:val="none"/>
          <w:lang w:val="en-US" w:eastAsia="zh-CN" w:bidi="ar-SA"/>
        </w:rPr>
        <w:t>符合GB/T 20840.1的要求</w:t>
      </w:r>
      <w:r>
        <w:rPr>
          <w:rFonts w:ascii="Times New Roman" w:hAnsi="Times New Roman" w:eastAsia="宋体" w:cs="Times New Roman"/>
          <w:sz w:val="21"/>
          <w:highlight w:val="none"/>
          <w:lang w:val="en-US" w:eastAsia="zh-CN" w:bidi="ar-SA"/>
        </w:rPr>
        <w:t>。</w:t>
      </w:r>
    </w:p>
    <w:p w14:paraId="45950ECD">
      <w:pPr>
        <w:pStyle w:val="260"/>
        <w:bidi w:val="0"/>
        <w:ind w:left="710" w:leftChars="0" w:hanging="710" w:firstLineChars="0"/>
        <w:rPr>
          <w:highlight w:val="none"/>
          <w:lang w:val="en-US" w:eastAsia="zh-CN"/>
        </w:rPr>
      </w:pPr>
      <w:bookmarkStart w:id="223" w:name="_Toc23848"/>
      <w:bookmarkStart w:id="224" w:name="_Toc29329"/>
      <w:bookmarkStart w:id="225" w:name="_Toc170918043"/>
      <w:r>
        <w:rPr>
          <w:highlight w:val="none"/>
          <w:lang w:val="en-US" w:eastAsia="zh-CN"/>
        </w:rPr>
        <w:t>无线电干扰电压（RIV）要求</w:t>
      </w:r>
      <w:bookmarkEnd w:id="223"/>
      <w:bookmarkEnd w:id="224"/>
      <w:bookmarkEnd w:id="225"/>
      <w:bookmarkStart w:id="226" w:name="pindex669"/>
      <w:bookmarkEnd w:id="226"/>
    </w:p>
    <w:p w14:paraId="282C8F00">
      <w:pPr>
        <w:ind w:firstLine="420" w:firstLineChars="200"/>
        <w:jc w:val="both"/>
        <w:rPr>
          <w:rFonts w:ascii="Times New Roman" w:hAnsi="Times New Roman" w:eastAsia="宋体" w:cs="Times New Roman"/>
          <w:sz w:val="21"/>
          <w:szCs w:val="21"/>
          <w:highlight w:val="none"/>
          <w:lang w:val="en-US" w:eastAsia="zh-CN" w:bidi="ar-SA"/>
        </w:rPr>
      </w:pPr>
      <w:r>
        <w:rPr>
          <w:rFonts w:ascii="Times New Roman" w:hAnsi="Times New Roman" w:eastAsia="宋体" w:cs="Times New Roman"/>
          <w:sz w:val="21"/>
          <w:highlight w:val="none"/>
          <w:lang w:val="en-US" w:eastAsia="zh-CN" w:bidi="ar-SA"/>
        </w:rPr>
        <w:t>安装在空气绝缘变电站中设备最高电压为126</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kV及以上的电压</w:t>
      </w:r>
      <w:r>
        <w:rPr>
          <w:rFonts w:ascii="Times New Roman" w:hAnsi="Times New Roman" w:eastAsia="宋体" w:cs="Times New Roman"/>
          <w:color w:val="auto"/>
          <w:sz w:val="21"/>
          <w:highlight w:val="none"/>
          <w:lang w:val="en-US" w:eastAsia="zh-CN" w:bidi="ar-SA"/>
        </w:rPr>
        <w:t>互感器，在</w:t>
      </w:r>
      <w:bookmarkStart w:id="227" w:name="bkReivew2082304"/>
      <w:r>
        <w:rPr>
          <w:rFonts w:ascii="Times New Roman" w:hAnsi="Times New Roman" w:eastAsia="宋体" w:cs="Times New Roman"/>
          <w:color w:val="auto"/>
          <w:sz w:val="21"/>
          <w:highlight w:val="none"/>
          <w:lang w:val="en-US" w:eastAsia="zh-CN" w:bidi="ar-SA"/>
        </w:rPr>
        <w:t>1.1</w:t>
      </w:r>
      <w:r>
        <w:rPr>
          <w:rFonts w:ascii="Times New Roman" w:hAnsi="Times New Roman" w:eastAsia="宋体" w:cs="Times New Roman"/>
          <w:i/>
          <w:iCs/>
          <w:color w:val="auto"/>
          <w:sz w:val="21"/>
          <w:highlight w:val="none"/>
          <w:lang w:val="en-US" w:eastAsia="zh-CN" w:bidi="ar-SA"/>
        </w:rPr>
        <w:t>U</w:t>
      </w:r>
      <w:r>
        <w:rPr>
          <w:rFonts w:ascii="Times New Roman" w:hAnsi="Times New Roman" w:eastAsia="宋体" w:cs="Times New Roman"/>
          <w:color w:val="auto"/>
          <w:sz w:val="21"/>
          <w:highlight w:val="none"/>
          <w:vertAlign w:val="subscript"/>
          <w:lang w:val="en-US" w:eastAsia="zh-CN" w:bidi="ar-SA"/>
        </w:rPr>
        <w:t>m</w:t>
      </w:r>
      <w:bookmarkEnd w:id="227"/>
      <w:r>
        <w:rPr>
          <w:rFonts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position w:val="-8"/>
          <w:sz w:val="21"/>
          <w:highlight w:val="none"/>
          <w:lang w:val="en-US" w:eastAsia="zh-CN" w:bidi="ar-SA"/>
        </w:rPr>
        <w:object>
          <v:shape id="_x0000_i1041" o:spt="75" type="#_x0000_t75" style="height:14.25pt;width:15.7pt;" o:ole="t" filled="f" o:preferrelative="t" stroked="f" coordsize="21600,21600">
            <v:path/>
            <v:fill on="f" focussize="0,0"/>
            <v:stroke on="f" joinstyle="miter"/>
            <v:imagedata r:id="rId17" cropleft="6372f" croptop="6372f" cropbottom="4017f" o:title=""/>
            <o:lock v:ext="edit" aspectratio="t"/>
            <w10:wrap type="none"/>
            <w10:anchorlock/>
          </v:shape>
          <o:OLEObject Type="Embed" ProgID="Equation.3" ShapeID="_x0000_i1041" DrawAspect="Content" ObjectID="_1468075741" r:id="rId34">
            <o:LockedField>false</o:LockedField>
          </o:OLEObject>
        </w:object>
      </w:r>
      <w:r>
        <w:rPr>
          <w:rFonts w:ascii="Times New Roman" w:hAnsi="Times New Roman" w:eastAsia="宋体" w:cs="Times New Roman"/>
          <w:color w:val="auto"/>
          <w:sz w:val="21"/>
          <w:highlight w:val="none"/>
          <w:lang w:val="en-US" w:eastAsia="zh-CN" w:bidi="ar-SA"/>
        </w:rPr>
        <w:t>下的无线电干</w:t>
      </w:r>
      <w:r>
        <w:rPr>
          <w:rFonts w:ascii="Times New Roman" w:hAnsi="Times New Roman" w:eastAsia="宋体" w:cs="Times New Roman"/>
          <w:sz w:val="21"/>
          <w:highlight w:val="none"/>
          <w:lang w:val="en-US" w:eastAsia="zh-CN" w:bidi="ar-SA"/>
        </w:rPr>
        <w:t>扰电压值不应大于500</w:t>
      </w:r>
      <w:r>
        <w:rPr>
          <w:rFonts w:ascii="Times New Roman" w:hAnsi="Times New Roman" w:eastAsia="MS Mincho" w:cs="Times New Roman"/>
          <w:sz w:val="21"/>
          <w:highlight w:val="none"/>
          <w:lang w:val="en-US" w:eastAsia="zh-CN" w:bidi="ar-SA"/>
        </w:rPr>
        <w:t> </w:t>
      </w:r>
      <w:r>
        <w:rPr>
          <w:rFonts w:ascii="Times New Roman" w:hAnsi="Times New Roman" w:eastAsia="宋体" w:cs="Times New Roman"/>
          <w:sz w:val="21"/>
          <w:highlight w:val="none"/>
          <w:lang w:val="en-US" w:eastAsia="zh-CN" w:bidi="ar-SA"/>
        </w:rPr>
        <w:t>μV，晴天夜晚应无可见电晕。</w:t>
      </w:r>
    </w:p>
    <w:p w14:paraId="0E5D9E45">
      <w:pPr>
        <w:pStyle w:val="260"/>
        <w:bidi w:val="0"/>
        <w:ind w:left="710" w:leftChars="0" w:hanging="710" w:firstLineChars="0"/>
        <w:rPr>
          <w:highlight w:val="none"/>
          <w:lang w:val="en-US" w:eastAsia="zh-CN"/>
        </w:rPr>
      </w:pPr>
      <w:bookmarkStart w:id="228" w:name="_Toc4650"/>
      <w:bookmarkStart w:id="229" w:name="_Toc23124"/>
      <w:bookmarkStart w:id="230" w:name="_Toc170918044"/>
      <w:r>
        <w:rPr>
          <w:highlight w:val="none"/>
          <w:lang w:val="en-US" w:eastAsia="zh-CN"/>
        </w:rPr>
        <w:t>传递过电压要求</w:t>
      </w:r>
      <w:bookmarkEnd w:id="228"/>
      <w:bookmarkEnd w:id="229"/>
      <w:bookmarkEnd w:id="230"/>
      <w:bookmarkStart w:id="231" w:name="pindex671"/>
      <w:bookmarkEnd w:id="231"/>
    </w:p>
    <w:p w14:paraId="709C0C23">
      <w:pPr>
        <w:ind w:firstLine="420" w:firstLineChars="200"/>
        <w:jc w:val="both"/>
        <w:rPr>
          <w:rFonts w:ascii="Times New Roman" w:hAnsi="Times New Roman" w:eastAsia="宋体" w:cs="Times New Roman"/>
          <w:sz w:val="21"/>
          <w:szCs w:val="21"/>
          <w:highlight w:val="none"/>
          <w:lang w:val="en-US" w:eastAsia="zh-CN" w:bidi="ar-SA"/>
        </w:rPr>
      </w:pPr>
      <w:bookmarkStart w:id="232" w:name="sys672035"/>
      <w:r>
        <w:rPr>
          <w:rFonts w:ascii="Times New Roman" w:hAnsi="Times New Roman" w:eastAsia="宋体" w:cs="Times New Roman"/>
          <w:sz w:val="21"/>
          <w:highlight w:val="none"/>
          <w:lang w:val="en-US" w:eastAsia="zh-CN" w:bidi="ar-SA"/>
        </w:rPr>
        <w:t>电压互感器的传递过电压应</w:t>
      </w:r>
      <w:r>
        <w:rPr>
          <w:rFonts w:ascii="Times New Roman" w:hAnsi="Times New Roman" w:eastAsia="宋体" w:cs="Times New Roman"/>
          <w:sz w:val="21"/>
          <w:szCs w:val="21"/>
          <w:highlight w:val="none"/>
          <w:lang w:val="en-US" w:eastAsia="zh-CN" w:bidi="ar-SA"/>
        </w:rPr>
        <w:t>符合GB/T 20840.1的要求。</w:t>
      </w:r>
      <w:bookmarkEnd w:id="232"/>
    </w:p>
    <w:p w14:paraId="3EAFABCC">
      <w:pPr>
        <w:pStyle w:val="260"/>
        <w:bidi w:val="0"/>
        <w:ind w:left="710" w:leftChars="0" w:hanging="710" w:firstLineChars="0"/>
        <w:rPr>
          <w:highlight w:val="none"/>
          <w:lang w:val="en-US" w:eastAsia="zh-CN"/>
        </w:rPr>
      </w:pPr>
      <w:bookmarkStart w:id="233" w:name="_Toc7130"/>
      <w:bookmarkStart w:id="234" w:name="_Toc118"/>
      <w:bookmarkStart w:id="235" w:name="_Toc170918045"/>
      <w:r>
        <w:rPr>
          <w:highlight w:val="none"/>
          <w:lang w:val="en-US" w:eastAsia="zh-CN"/>
        </w:rPr>
        <w:t>腐蚀</w:t>
      </w:r>
      <w:bookmarkEnd w:id="233"/>
      <w:bookmarkStart w:id="236" w:name="pindex673"/>
      <w:bookmarkEnd w:id="236"/>
      <w:r>
        <w:rPr>
          <w:highlight w:val="none"/>
          <w:lang w:val="en-US" w:eastAsia="zh-CN"/>
        </w:rPr>
        <w:t>要求</w:t>
      </w:r>
      <w:bookmarkEnd w:id="234"/>
      <w:bookmarkEnd w:id="235"/>
    </w:p>
    <w:p w14:paraId="7BB99BFF">
      <w:pPr>
        <w:ind w:firstLine="420" w:firstLineChars="200"/>
        <w:jc w:val="both"/>
        <w:rPr>
          <w:rFonts w:ascii="Times New Roman" w:hAnsi="Times New Roman" w:eastAsia="宋体" w:cs="Times New Roman"/>
          <w:sz w:val="21"/>
          <w:highlight w:val="none"/>
          <w:lang w:val="en-US" w:eastAsia="zh-CN" w:bidi="ar-SA"/>
        </w:rPr>
      </w:pPr>
      <w:bookmarkStart w:id="237" w:name="sys674032"/>
      <w:r>
        <w:rPr>
          <w:rFonts w:ascii="Times New Roman" w:hAnsi="Times New Roman" w:eastAsia="宋体" w:cs="Times New Roman"/>
          <w:sz w:val="21"/>
          <w:szCs w:val="21"/>
          <w:highlight w:val="none"/>
          <w:lang w:val="en-US" w:eastAsia="zh-CN" w:bidi="ar-SA"/>
        </w:rPr>
        <w:t>电压互感器的腐蚀应符合GB/T 20840.1的要求。</w:t>
      </w:r>
      <w:bookmarkEnd w:id="237"/>
    </w:p>
    <w:bookmarkEnd w:id="214"/>
    <w:p w14:paraId="37C11A0C">
      <w:pPr>
        <w:pStyle w:val="260"/>
        <w:bidi w:val="0"/>
        <w:ind w:left="710" w:leftChars="0" w:hanging="710" w:firstLineChars="0"/>
        <w:rPr>
          <w:highlight w:val="none"/>
          <w:lang w:val="en-US" w:eastAsia="zh-CN"/>
        </w:rPr>
      </w:pPr>
      <w:bookmarkStart w:id="238" w:name="_Toc26846"/>
      <w:bookmarkStart w:id="239" w:name="_Toc20888"/>
      <w:bookmarkStart w:id="240" w:name="_Toc170918046"/>
      <w:bookmarkStart w:id="241" w:name="_Toc25211"/>
      <w:r>
        <w:rPr>
          <w:highlight w:val="none"/>
          <w:lang w:val="en-US" w:eastAsia="zh-CN"/>
        </w:rPr>
        <w:t>着火危险</w:t>
      </w:r>
      <w:bookmarkEnd w:id="238"/>
      <w:bookmarkEnd w:id="239"/>
      <w:bookmarkStart w:id="242" w:name="pindex675"/>
      <w:bookmarkEnd w:id="242"/>
      <w:r>
        <w:rPr>
          <w:highlight w:val="none"/>
          <w:lang w:val="en-US" w:eastAsia="zh-CN"/>
        </w:rPr>
        <w:t>要求</w:t>
      </w:r>
      <w:bookmarkEnd w:id="240"/>
      <w:bookmarkEnd w:id="241"/>
    </w:p>
    <w:p w14:paraId="1B0D1E8C">
      <w:pPr>
        <w:ind w:firstLine="420" w:firstLineChars="200"/>
        <w:jc w:val="both"/>
        <w:rPr>
          <w:rFonts w:hint="eastAsia" w:ascii="Times New Roman" w:hAnsi="Times New Roman" w:eastAsia="宋体" w:cs="Times New Roman"/>
          <w:sz w:val="21"/>
          <w:highlight w:val="none"/>
          <w:lang w:val="en-US" w:eastAsia="zh-CN" w:bidi="ar-SA"/>
        </w:rPr>
      </w:pPr>
      <w:bookmarkStart w:id="243" w:name="_Toc5500"/>
      <w:bookmarkStart w:id="244" w:name="_Toc2242"/>
      <w:r>
        <w:rPr>
          <w:rFonts w:ascii="Times New Roman" w:hAnsi="Times New Roman" w:eastAsia="宋体" w:cs="Times New Roman"/>
          <w:sz w:val="21"/>
          <w:highlight w:val="none"/>
          <w:lang w:val="en-US" w:eastAsia="zh-CN" w:bidi="ar-SA"/>
        </w:rPr>
        <w:t>电压</w:t>
      </w:r>
      <w:r>
        <w:rPr>
          <w:rFonts w:ascii="Times New Roman" w:hAnsi="Times New Roman" w:eastAsia="宋体" w:cs="Times New Roman"/>
          <w:sz w:val="21"/>
          <w:szCs w:val="21"/>
          <w:highlight w:val="none"/>
          <w:lang w:val="en-US" w:eastAsia="zh-CN" w:bidi="ar-SA"/>
        </w:rPr>
        <w:t>互感器的着火危险应符合GB/T 20840.1的要求。</w:t>
      </w:r>
      <w:bookmarkEnd w:id="243"/>
      <w:bookmarkEnd w:id="244"/>
    </w:p>
    <w:p w14:paraId="6B906893">
      <w:pPr>
        <w:pStyle w:val="259"/>
        <w:bidi w:val="0"/>
        <w:ind w:left="0" w:leftChars="0" w:firstLine="0" w:firstLineChars="0"/>
        <w:rPr>
          <w:highlight w:val="none"/>
          <w:lang w:val="en-US" w:eastAsia="zh-CN"/>
        </w:rPr>
      </w:pPr>
      <w:bookmarkStart w:id="245" w:name="_Toc4382"/>
      <w:bookmarkStart w:id="246" w:name="_Toc19103"/>
      <w:bookmarkStart w:id="247" w:name="_Toc14623"/>
      <w:bookmarkStart w:id="248" w:name="_Toc170918047"/>
      <w:r>
        <w:rPr>
          <w:highlight w:val="none"/>
          <w:lang w:val="en-US" w:eastAsia="zh-CN"/>
        </w:rPr>
        <w:t>结构和选型要求</w:t>
      </w:r>
      <w:bookmarkEnd w:id="245"/>
      <w:bookmarkEnd w:id="246"/>
      <w:bookmarkEnd w:id="247"/>
      <w:bookmarkEnd w:id="248"/>
      <w:bookmarkStart w:id="249" w:name="pindex677"/>
      <w:bookmarkEnd w:id="249"/>
    </w:p>
    <w:p w14:paraId="249D9E8A">
      <w:pPr>
        <w:pStyle w:val="260"/>
        <w:bidi w:val="0"/>
        <w:ind w:left="710" w:leftChars="0" w:hanging="710" w:firstLineChars="0"/>
        <w:rPr>
          <w:highlight w:val="none"/>
          <w:lang w:val="en-US" w:eastAsia="zh-CN"/>
        </w:rPr>
      </w:pPr>
      <w:bookmarkStart w:id="250" w:name="_Toc317"/>
      <w:bookmarkStart w:id="251" w:name="_Toc29900"/>
      <w:bookmarkStart w:id="252" w:name="_Toc170918048"/>
      <w:r>
        <w:rPr>
          <w:highlight w:val="none"/>
          <w:lang w:val="en-US" w:eastAsia="zh-CN"/>
        </w:rPr>
        <w:t>结构要求</w:t>
      </w:r>
      <w:bookmarkEnd w:id="250"/>
      <w:bookmarkEnd w:id="251"/>
      <w:bookmarkEnd w:id="252"/>
      <w:bookmarkStart w:id="253" w:name="pindex678"/>
      <w:bookmarkEnd w:id="253"/>
    </w:p>
    <w:p w14:paraId="7A1B7FA6">
      <w:pPr>
        <w:pStyle w:val="261"/>
        <w:bidi w:val="0"/>
        <w:ind w:left="142" w:leftChars="0" w:hanging="142" w:firstLineChars="0"/>
        <w:rPr>
          <w:highlight w:val="none"/>
          <w:lang w:val="en-US" w:eastAsia="zh-CN"/>
        </w:rPr>
      </w:pPr>
      <w:r>
        <w:rPr>
          <w:highlight w:val="none"/>
          <w:lang w:val="en-US" w:eastAsia="zh-CN"/>
        </w:rPr>
        <w:t>一般要求</w:t>
      </w:r>
      <w:bookmarkStart w:id="254" w:name="pindex679"/>
      <w:bookmarkEnd w:id="254"/>
    </w:p>
    <w:p w14:paraId="2F0E548F">
      <w:pPr>
        <w:ind w:firstLine="420" w:firstLineChars="200"/>
        <w:jc w:val="both"/>
        <w:rPr>
          <w:rFonts w:ascii="Times New Roman" w:hAnsi="Times New Roman" w:eastAsia="宋体" w:cs="Times New Roman"/>
          <w:sz w:val="21"/>
          <w:szCs w:val="21"/>
          <w:highlight w:val="none"/>
          <w:lang w:val="en-US" w:eastAsia="zh-CN" w:bidi="ar-SA"/>
        </w:rPr>
      </w:pPr>
      <w:r>
        <w:rPr>
          <w:rFonts w:ascii="Times New Roman" w:hAnsi="Times New Roman" w:eastAsia="宋体" w:cs="Times New Roman"/>
          <w:sz w:val="21"/>
          <w:highlight w:val="none"/>
          <w:lang w:val="en-US" w:eastAsia="zh-CN" w:bidi="ar-SA"/>
        </w:rPr>
        <w:t>电压互感器</w:t>
      </w:r>
      <w:r>
        <w:rPr>
          <w:rFonts w:ascii="Times New Roman" w:hAnsi="Times New Roman" w:eastAsia="宋体" w:cs="Times New Roman"/>
          <w:sz w:val="21"/>
          <w:szCs w:val="21"/>
          <w:highlight w:val="none"/>
          <w:lang w:val="en-US" w:eastAsia="zh-CN" w:bidi="ar-SA"/>
        </w:rPr>
        <w:t>的结构应符合下列要求：</w:t>
      </w:r>
    </w:p>
    <w:p w14:paraId="24A50EE2">
      <w:pPr>
        <w:numPr>
          <w:ilvl w:val="0"/>
          <w:numId w:val="36"/>
        </w:numPr>
        <w:autoSpaceDE w:val="0"/>
        <w:autoSpaceDN w:val="0"/>
        <w:ind w:left="840" w:hanging="420"/>
        <w:rPr>
          <w:rFonts w:ascii="Times New Roman" w:hAnsi="Times New Roman" w:eastAsia="宋体" w:cs="Times New Roman"/>
          <w:szCs w:val="21"/>
          <w:highlight w:val="none"/>
        </w:rPr>
      </w:pPr>
      <w:r>
        <w:rPr>
          <w:rFonts w:ascii="Times New Roman" w:hAnsi="Times New Roman" w:eastAsia="宋体" w:cs="Times New Roman"/>
          <w:szCs w:val="21"/>
          <w:highlight w:val="none"/>
        </w:rPr>
        <w:t>电压互感器的出线端子应符合GB/T 20840.3的要求；</w:t>
      </w:r>
      <w:bookmarkStart w:id="255" w:name="pindex681"/>
      <w:bookmarkEnd w:id="255"/>
    </w:p>
    <w:p w14:paraId="20157A9B">
      <w:pPr>
        <w:numPr>
          <w:ilvl w:val="0"/>
          <w:numId w:val="36"/>
        </w:numPr>
        <w:autoSpaceDE w:val="0"/>
        <w:autoSpaceDN w:val="0"/>
        <w:ind w:left="840" w:hanging="420"/>
        <w:rPr>
          <w:rFonts w:ascii="Times New Roman" w:hAnsi="Times New Roman" w:eastAsia="宋体" w:cs="Times New Roman"/>
          <w:szCs w:val="21"/>
          <w:highlight w:val="none"/>
        </w:rPr>
      </w:pPr>
      <w:bookmarkStart w:id="256" w:name="sys682045"/>
      <w:r>
        <w:rPr>
          <w:rFonts w:ascii="Times New Roman" w:hAnsi="Times New Roman" w:eastAsia="宋体" w:cs="Times New Roman"/>
          <w:szCs w:val="21"/>
          <w:highlight w:val="none"/>
        </w:rPr>
        <w:t>电压互感器的接地应符合GB/T 20840.1、GB/T 20840.3的要求；</w:t>
      </w:r>
      <w:bookmarkEnd w:id="256"/>
      <w:bookmarkStart w:id="257" w:name="pindex682"/>
      <w:bookmarkEnd w:id="257"/>
    </w:p>
    <w:p w14:paraId="2510A6FE">
      <w:pPr>
        <w:numPr>
          <w:ilvl w:val="0"/>
          <w:numId w:val="36"/>
        </w:numPr>
        <w:autoSpaceDE w:val="0"/>
        <w:autoSpaceDN w:val="0"/>
        <w:ind w:left="840" w:hanging="420"/>
        <w:rPr>
          <w:rFonts w:ascii="Times New Roman" w:hAnsi="Times New Roman" w:eastAsia="宋体" w:cs="Times New Roman"/>
          <w:szCs w:val="21"/>
          <w:highlight w:val="none"/>
        </w:rPr>
      </w:pPr>
      <w:r>
        <w:rPr>
          <w:rFonts w:ascii="Times New Roman" w:hAnsi="Times New Roman" w:eastAsia="宋体" w:cs="Times New Roman"/>
          <w:szCs w:val="21"/>
          <w:highlight w:val="none"/>
        </w:rPr>
        <w:t>电压互感器所有暴露在大气中的金属件应有附着力好的漆层或镀层被覆，应具有良好的防腐蚀能力。</w:t>
      </w:r>
      <w:bookmarkStart w:id="258" w:name="pindex683"/>
      <w:bookmarkEnd w:id="258"/>
    </w:p>
    <w:p w14:paraId="08DBCF91">
      <w:pPr>
        <w:pStyle w:val="261"/>
        <w:bidi w:val="0"/>
        <w:ind w:left="142" w:leftChars="0" w:hanging="142" w:firstLineChars="0"/>
        <w:rPr>
          <w:highlight w:val="none"/>
          <w:lang w:val="en-US" w:eastAsia="zh-CN"/>
        </w:rPr>
      </w:pPr>
      <w:r>
        <w:rPr>
          <w:highlight w:val="none"/>
          <w:lang w:val="en-US" w:eastAsia="zh-CN"/>
        </w:rPr>
        <w:t>油浸式电压互感器结构要求</w:t>
      </w:r>
      <w:bookmarkStart w:id="259" w:name="pindex684"/>
      <w:bookmarkEnd w:id="259"/>
    </w:p>
    <w:p w14:paraId="7118C4A3">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油浸式电压互感器结构应符合下列要求：</w:t>
      </w:r>
    </w:p>
    <w:p w14:paraId="65760B2C">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sz w:val="21"/>
          <w:highlight w:val="none"/>
          <w:lang w:val="en-US" w:eastAsia="zh-CN" w:bidi="ar-SA"/>
        </w:rPr>
        <w:t>a)  66 kV及</w:t>
      </w:r>
      <w:r>
        <w:rPr>
          <w:rFonts w:ascii="Times New Roman" w:hAnsi="Times New Roman" w:eastAsia="宋体" w:cs="Times New Roman"/>
          <w:color w:val="auto"/>
          <w:sz w:val="21"/>
          <w:highlight w:val="none"/>
          <w:lang w:val="en-US" w:eastAsia="zh-CN" w:bidi="ar-SA"/>
        </w:rPr>
        <w:t>以上电压等级电压互感器应采用金属膨胀器微正压密封结构，膨胀器宜选用波纹式膨胀器或</w:t>
      </w:r>
      <w:bookmarkStart w:id="260" w:name="bkReivew2170410"/>
      <w:r>
        <w:rPr>
          <w:rFonts w:ascii="Times New Roman" w:hAnsi="Times New Roman" w:eastAsia="宋体" w:cs="Times New Roman"/>
          <w:color w:val="auto"/>
          <w:sz w:val="21"/>
          <w:highlight w:val="none"/>
          <w:lang w:val="en-US" w:eastAsia="zh-CN" w:bidi="ar-SA"/>
        </w:rPr>
        <w:t>叠形</w:t>
      </w:r>
      <w:bookmarkEnd w:id="260"/>
      <w:r>
        <w:rPr>
          <w:rFonts w:ascii="Times New Roman" w:hAnsi="Times New Roman" w:eastAsia="宋体" w:cs="Times New Roman"/>
          <w:color w:val="auto"/>
          <w:sz w:val="21"/>
          <w:highlight w:val="none"/>
          <w:lang w:val="en-US" w:eastAsia="zh-CN" w:bidi="ar-SA"/>
        </w:rPr>
        <w:t>波纹式膨胀器；35 kV及以下电压互感器应具有保证绝缘油与外界空气不直接接触的隔离装置，或其他防油老化的措施。</w:t>
      </w:r>
      <w:bookmarkStart w:id="261" w:name="pindex686"/>
      <w:bookmarkEnd w:id="261"/>
    </w:p>
    <w:p w14:paraId="62AC3A3D">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b)  35 kV及以上电压等级电压互感器应具有油位指示装置，应采用宽窗口的油位观察窗，并在MAX和MIN线之间均匀</w:t>
      </w:r>
      <w:bookmarkStart w:id="262" w:name="bkReivew2182724"/>
      <w:r>
        <w:rPr>
          <w:rFonts w:ascii="Times New Roman" w:hAnsi="Times New Roman" w:eastAsia="宋体" w:cs="Times New Roman"/>
          <w:color w:val="auto"/>
          <w:sz w:val="21"/>
          <w:highlight w:val="none"/>
          <w:lang w:val="en-US" w:eastAsia="zh-CN" w:bidi="ar-SA"/>
        </w:rPr>
        <w:t>划</w:t>
      </w:r>
      <w:bookmarkEnd w:id="262"/>
      <w:r>
        <w:rPr>
          <w:rFonts w:ascii="Times New Roman" w:hAnsi="Times New Roman" w:eastAsia="宋体" w:cs="Times New Roman"/>
          <w:color w:val="auto"/>
          <w:sz w:val="21"/>
          <w:highlight w:val="none"/>
          <w:lang w:val="en-US" w:eastAsia="zh-CN" w:bidi="ar-SA"/>
        </w:rPr>
        <w:t>出3条横线，以便于油位观察。</w:t>
      </w:r>
      <w:bookmarkStart w:id="263" w:name="pindex687"/>
      <w:bookmarkEnd w:id="263"/>
    </w:p>
    <w:p w14:paraId="1CC14EFC">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c)  电压互感器膨胀器外罩与储油柜连接处，或膨胀器外罩与膨胀器托盘连接处的紧固压力不应阻碍电压互感器内部的异常压力释放（例如膨胀器异常变形或主绝缘击穿所引发的爆炸）。</w:t>
      </w:r>
      <w:bookmarkStart w:id="264" w:name="pindex688"/>
      <w:bookmarkEnd w:id="264"/>
    </w:p>
    <w:p w14:paraId="785225E0">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d)  在电压互感器的油箱下部应装有便于从地面观察的取油样或放油用的塞子或阀门，其位置应能放出电压互感器最低处的油。</w:t>
      </w:r>
      <w:bookmarkStart w:id="265" w:name="pindex689"/>
      <w:bookmarkEnd w:id="265"/>
    </w:p>
    <w:p w14:paraId="565BB619">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e)  电压互感器的油量应能满足取油量1 L而无需补油的要求。</w:t>
      </w:r>
      <w:bookmarkStart w:id="266" w:name="pindex691"/>
      <w:bookmarkEnd w:id="266"/>
    </w:p>
    <w:p w14:paraId="1D5FA8F4">
      <w:pPr>
        <w:pStyle w:val="261"/>
        <w:bidi w:val="0"/>
        <w:ind w:left="142" w:leftChars="0" w:hanging="142" w:firstLineChars="0"/>
        <w:rPr>
          <w:highlight w:val="none"/>
          <w:lang w:val="en-US" w:eastAsia="zh-CN"/>
        </w:rPr>
      </w:pPr>
      <w:r>
        <w:rPr>
          <w:highlight w:val="none"/>
          <w:lang w:val="en-US" w:eastAsia="zh-CN"/>
        </w:rPr>
        <w:t>气体绝缘电压互感器结构要求</w:t>
      </w:r>
      <w:bookmarkStart w:id="267" w:name="pindex692"/>
      <w:bookmarkEnd w:id="267"/>
    </w:p>
    <w:p w14:paraId="4ABAFEBD">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气体绝缘电压互感器结构应符合下列要求：</w:t>
      </w:r>
    </w:p>
    <w:p w14:paraId="6555865F">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 xml:space="preserve">a)  应具有良好的密封性能，在环境温度为20 ℃的条件下，电压互感器内部气体应为额定压力，在其他环境温度下，应自动换算成20 ℃时的气体内部压力。当达到报警压力时，应自动报警。 </w:t>
      </w:r>
      <w:bookmarkStart w:id="268" w:name="pindex694"/>
      <w:bookmarkEnd w:id="268"/>
    </w:p>
    <w:p w14:paraId="54C6EE34">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b)  电压互感器应配有压力释放装置、密度继电器。密度继电器与电压互感器设备本体之间的连接方式应满足不拆卸校验密度继电器的要求，户外安装应加装防雨罩。</w:t>
      </w:r>
      <w:bookmarkStart w:id="269" w:name="pindex695"/>
      <w:bookmarkEnd w:id="269"/>
    </w:p>
    <w:p w14:paraId="67B28AB1">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c)  电压互感器气体年泄漏率不应大于0.5%（适用于SF</w:t>
      </w:r>
      <w:r>
        <w:rPr>
          <w:rFonts w:ascii="Times New Roman" w:hAnsi="Times New Roman" w:eastAsia="宋体" w:cs="Times New Roman"/>
          <w:sz w:val="21"/>
          <w:highlight w:val="none"/>
          <w:vertAlign w:val="subscript"/>
          <w:lang w:val="en-US" w:eastAsia="zh-CN" w:bidi="ar-SA"/>
        </w:rPr>
        <w:t>6</w:t>
      </w:r>
      <w:r>
        <w:rPr>
          <w:rFonts w:ascii="Times New Roman" w:hAnsi="Times New Roman" w:eastAsia="宋体" w:cs="Times New Roman"/>
          <w:sz w:val="21"/>
          <w:highlight w:val="none"/>
          <w:lang w:val="en-US" w:eastAsia="zh-CN" w:bidi="ar-SA"/>
        </w:rPr>
        <w:t>及其混合气体）。</w:t>
      </w:r>
      <w:bookmarkStart w:id="270" w:name="pindex696"/>
      <w:bookmarkEnd w:id="270"/>
    </w:p>
    <w:p w14:paraId="1B4BF396">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d)  电压互感器应配备气体取样阀门及接头。</w:t>
      </w:r>
      <w:bookmarkStart w:id="271" w:name="pindex697"/>
      <w:bookmarkEnd w:id="271"/>
    </w:p>
    <w:p w14:paraId="21CDEE7F">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e） 电压互感器应保证绝缘支撑件的机械强度和绝缘水平，同时应防止内部连接件松动及磨损。</w:t>
      </w:r>
      <w:bookmarkStart w:id="272" w:name="pindex698"/>
      <w:bookmarkEnd w:id="272"/>
    </w:p>
    <w:p w14:paraId="71325086">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f） 电压互感器的防爆装置应采用防止积水、冻胀的结构，防爆膜应采用抗老化、耐锈蚀的材料。</w:t>
      </w:r>
      <w:bookmarkStart w:id="273" w:name="pindex699"/>
      <w:bookmarkEnd w:id="273"/>
    </w:p>
    <w:p w14:paraId="34CECE22">
      <w:pPr>
        <w:pStyle w:val="261"/>
        <w:bidi w:val="0"/>
        <w:ind w:left="142" w:leftChars="0" w:hanging="142" w:firstLineChars="0"/>
        <w:rPr>
          <w:highlight w:val="none"/>
          <w:lang w:val="en-US" w:eastAsia="zh-CN"/>
        </w:rPr>
      </w:pPr>
      <w:r>
        <w:rPr>
          <w:highlight w:val="none"/>
          <w:lang w:val="en-US" w:eastAsia="zh-CN"/>
        </w:rPr>
        <w:t>树脂绝缘电压互感器结构要求</w:t>
      </w:r>
      <w:bookmarkStart w:id="274" w:name="pindex700"/>
      <w:bookmarkEnd w:id="274"/>
    </w:p>
    <w:p w14:paraId="1F79C85E">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树脂绝缘电压互感器结构应符合下列要求：</w:t>
      </w:r>
    </w:p>
    <w:p w14:paraId="604E4421">
      <w:pPr>
        <w:numPr>
          <w:ilvl w:val="0"/>
          <w:numId w:val="37"/>
        </w:numPr>
        <w:autoSpaceDE w:val="0"/>
        <w:autoSpaceDN w:val="0"/>
        <w:ind w:left="840" w:hanging="420"/>
        <w:rPr>
          <w:rFonts w:ascii="Times New Roman" w:hAnsi="Times New Roman" w:eastAsia="宋体" w:cs="Times New Roman"/>
          <w:szCs w:val="21"/>
          <w:highlight w:val="none"/>
        </w:rPr>
      </w:pPr>
      <w:r>
        <w:rPr>
          <w:rFonts w:ascii="Times New Roman" w:hAnsi="Times New Roman" w:eastAsia="宋体" w:cs="Times New Roman"/>
          <w:szCs w:val="21"/>
          <w:highlight w:val="none"/>
        </w:rPr>
        <w:t>表面应光洁、平整、色泽均匀；</w:t>
      </w:r>
      <w:bookmarkStart w:id="275" w:name="pindex702"/>
      <w:bookmarkEnd w:id="275"/>
    </w:p>
    <w:p w14:paraId="6B926272">
      <w:pPr>
        <w:numPr>
          <w:ilvl w:val="0"/>
          <w:numId w:val="37"/>
        </w:numPr>
        <w:autoSpaceDE w:val="0"/>
        <w:autoSpaceDN w:val="0"/>
        <w:ind w:left="840" w:hanging="420"/>
        <w:rPr>
          <w:rFonts w:ascii="Times New Roman" w:hAnsi="Times New Roman" w:eastAsia="宋体" w:cs="Times New Roman"/>
          <w:szCs w:val="21"/>
          <w:highlight w:val="none"/>
        </w:rPr>
      </w:pPr>
      <w:r>
        <w:rPr>
          <w:rFonts w:ascii="Times New Roman" w:hAnsi="Times New Roman" w:eastAsia="宋体" w:cs="Times New Roman"/>
          <w:szCs w:val="21"/>
          <w:highlight w:val="none"/>
        </w:rPr>
        <w:t>对于户外电压互感器，树脂表面应喷涂/包封一层硅橡胶，保持表面憎水性，提高设备的抗紫外线和抗电腐蚀能力。</w:t>
      </w:r>
      <w:bookmarkStart w:id="276" w:name="pindex703"/>
      <w:bookmarkEnd w:id="276"/>
    </w:p>
    <w:p w14:paraId="31E6B32B">
      <w:pPr>
        <w:pStyle w:val="260"/>
        <w:bidi w:val="0"/>
        <w:ind w:left="710" w:leftChars="0" w:hanging="710" w:firstLineChars="0"/>
        <w:rPr>
          <w:highlight w:val="none"/>
          <w:lang w:val="en-US" w:eastAsia="zh-CN"/>
        </w:rPr>
      </w:pPr>
      <w:bookmarkStart w:id="277" w:name="_Toc170918049"/>
      <w:bookmarkStart w:id="278" w:name="_Toc8677"/>
      <w:bookmarkStart w:id="279" w:name="_Toc29178"/>
      <w:r>
        <w:rPr>
          <w:highlight w:val="none"/>
          <w:lang w:val="en-US" w:eastAsia="zh-CN"/>
        </w:rPr>
        <w:t>选型要求</w:t>
      </w:r>
      <w:bookmarkEnd w:id="277"/>
      <w:bookmarkEnd w:id="278"/>
      <w:bookmarkEnd w:id="279"/>
      <w:bookmarkStart w:id="280" w:name="pindex704"/>
      <w:bookmarkEnd w:id="280"/>
    </w:p>
    <w:p w14:paraId="420224BD">
      <w:pPr>
        <w:pStyle w:val="261"/>
        <w:bidi w:val="0"/>
        <w:ind w:left="142" w:leftChars="0" w:hanging="142" w:firstLineChars="0"/>
        <w:rPr>
          <w:highlight w:val="none"/>
          <w:lang w:val="en-US" w:eastAsia="zh-CN"/>
        </w:rPr>
      </w:pPr>
      <w:r>
        <w:rPr>
          <w:highlight w:val="none"/>
          <w:lang w:val="en-US" w:eastAsia="zh-CN"/>
        </w:rPr>
        <w:t>准确级</w:t>
      </w:r>
      <w:bookmarkStart w:id="281" w:name="pindex705"/>
      <w:bookmarkEnd w:id="281"/>
      <w:r>
        <w:rPr>
          <w:highlight w:val="none"/>
          <w:lang w:val="en-US" w:eastAsia="zh-CN"/>
        </w:rPr>
        <w:t>要求</w:t>
      </w:r>
    </w:p>
    <w:p w14:paraId="023EFCFC">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准确级选择应符合GB/T 20840.3的要求。</w:t>
      </w:r>
    </w:p>
    <w:p w14:paraId="381B645C">
      <w:pPr>
        <w:pStyle w:val="261"/>
        <w:bidi w:val="0"/>
        <w:ind w:left="142" w:leftChars="0" w:hanging="142" w:firstLineChars="0"/>
        <w:rPr>
          <w:highlight w:val="none"/>
          <w:lang w:val="en-US" w:eastAsia="zh-CN"/>
        </w:rPr>
      </w:pPr>
      <w:r>
        <w:rPr>
          <w:highlight w:val="none"/>
          <w:lang w:val="en-US" w:eastAsia="zh-CN"/>
        </w:rPr>
        <w:t>绝缘介质</w:t>
      </w:r>
      <w:bookmarkStart w:id="282" w:name="pindex708"/>
      <w:bookmarkEnd w:id="282"/>
      <w:r>
        <w:rPr>
          <w:highlight w:val="none"/>
          <w:lang w:val="en-US" w:eastAsia="zh-CN"/>
        </w:rPr>
        <w:t>要求</w:t>
      </w:r>
    </w:p>
    <w:p w14:paraId="5AA7AB81">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绝缘介质要求如下：</w:t>
      </w:r>
    </w:p>
    <w:p w14:paraId="22C653E1">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sz w:val="21"/>
          <w:highlight w:val="none"/>
          <w:lang w:val="en-US" w:eastAsia="zh-CN" w:bidi="ar-SA"/>
        </w:rPr>
        <w:t>a）66 kV及以上电压等级空气绝缘变电站（AIS）用电</w:t>
      </w:r>
      <w:r>
        <w:rPr>
          <w:rFonts w:ascii="Times New Roman" w:hAnsi="Times New Roman" w:eastAsia="宋体" w:cs="Times New Roman"/>
          <w:color w:val="auto"/>
          <w:sz w:val="21"/>
          <w:highlight w:val="none"/>
          <w:lang w:val="en-US" w:eastAsia="zh-CN" w:bidi="ar-SA"/>
        </w:rPr>
        <w:t>压互感器宜采用</w:t>
      </w:r>
      <w:bookmarkStart w:id="283" w:name="bkReivew3023203"/>
      <w:r>
        <w:rPr>
          <w:rFonts w:ascii="Times New Roman" w:hAnsi="Times New Roman" w:eastAsia="宋体" w:cs="Times New Roman"/>
          <w:color w:val="auto"/>
          <w:sz w:val="21"/>
          <w:highlight w:val="none"/>
          <w:lang w:val="en-US" w:eastAsia="zh-CN" w:bidi="ar-SA"/>
        </w:rPr>
        <w:t>油纸</w:t>
      </w:r>
      <w:bookmarkEnd w:id="283"/>
      <w:r>
        <w:rPr>
          <w:rFonts w:ascii="Times New Roman" w:hAnsi="Times New Roman" w:eastAsia="宋体" w:cs="Times New Roman"/>
          <w:color w:val="auto"/>
          <w:sz w:val="21"/>
          <w:highlight w:val="none"/>
          <w:lang w:val="en-US" w:eastAsia="zh-CN" w:bidi="ar-SA"/>
        </w:rPr>
        <w:t>绝缘或气体绝缘；</w:t>
      </w:r>
      <w:bookmarkStart w:id="284" w:name="pindex710"/>
      <w:bookmarkEnd w:id="284"/>
    </w:p>
    <w:p w14:paraId="2859C6F9">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b）66 kV及以上电压等级气体绝缘封闭组合电器（GIS）用电压互感器</w:t>
      </w:r>
      <w:r>
        <w:rPr>
          <w:rFonts w:hint="eastAsia" w:cs="Times New Roman"/>
          <w:color w:val="auto"/>
          <w:sz w:val="21"/>
          <w:highlight w:val="none"/>
          <w:lang w:val="en-US" w:eastAsia="zh-CN" w:bidi="ar-SA"/>
        </w:rPr>
        <w:t>应</w:t>
      </w:r>
      <w:r>
        <w:rPr>
          <w:rFonts w:ascii="Times New Roman" w:hAnsi="Times New Roman" w:eastAsia="宋体" w:cs="Times New Roman"/>
          <w:color w:val="auto"/>
          <w:sz w:val="21"/>
          <w:highlight w:val="none"/>
          <w:lang w:val="en-US" w:eastAsia="zh-CN" w:bidi="ar-SA"/>
        </w:rPr>
        <w:t>采用气体绝缘；</w:t>
      </w:r>
      <w:bookmarkStart w:id="285" w:name="pindex711"/>
      <w:bookmarkEnd w:id="285"/>
    </w:p>
    <w:p w14:paraId="014602BE">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c）</w:t>
      </w:r>
      <w:r>
        <w:rPr>
          <w:rFonts w:hint="eastAsia" w:cs="Times New Roman"/>
          <w:color w:val="auto"/>
          <w:sz w:val="21"/>
          <w:highlight w:val="none"/>
          <w:lang w:val="en-US" w:eastAsia="zh-CN" w:bidi="ar-SA"/>
        </w:rPr>
        <w:t>10</w:t>
      </w:r>
      <w:r>
        <w:rPr>
          <w:rFonts w:ascii="Times New Roman" w:hAnsi="Times New Roman" w:eastAsia="宋体" w:cs="Times New Roman"/>
          <w:color w:val="auto"/>
          <w:sz w:val="21"/>
          <w:highlight w:val="none"/>
          <w:lang w:val="en-US" w:eastAsia="zh-CN" w:bidi="ar-SA"/>
        </w:rPr>
        <w:t>kV～35 kV户内电压互感器宜采用树脂绝缘，35 kV户外电压互感器可采用树脂绝缘或</w:t>
      </w:r>
      <w:bookmarkStart w:id="286" w:name="bkReivew1032601"/>
      <w:r>
        <w:rPr>
          <w:rFonts w:ascii="Times New Roman" w:hAnsi="Times New Roman" w:eastAsia="宋体" w:cs="Times New Roman"/>
          <w:color w:val="auto"/>
          <w:sz w:val="21"/>
          <w:highlight w:val="none"/>
          <w:lang w:val="en-US" w:eastAsia="zh-CN" w:bidi="ar-SA"/>
        </w:rPr>
        <w:t>油纸</w:t>
      </w:r>
      <w:bookmarkEnd w:id="286"/>
      <w:r>
        <w:rPr>
          <w:rFonts w:ascii="Times New Roman" w:hAnsi="Times New Roman" w:eastAsia="宋体" w:cs="Times New Roman"/>
          <w:color w:val="auto"/>
          <w:sz w:val="21"/>
          <w:highlight w:val="none"/>
          <w:lang w:val="en-US" w:eastAsia="zh-CN" w:bidi="ar-SA"/>
        </w:rPr>
        <w:t>绝缘。</w:t>
      </w:r>
      <w:bookmarkStart w:id="287" w:name="pindex712"/>
      <w:bookmarkEnd w:id="287"/>
    </w:p>
    <w:p w14:paraId="0578CD5B">
      <w:pPr>
        <w:pStyle w:val="261"/>
        <w:bidi w:val="0"/>
        <w:ind w:left="142" w:leftChars="0" w:hanging="142" w:firstLineChars="0"/>
        <w:rPr>
          <w:highlight w:val="none"/>
          <w:lang w:val="en-US" w:eastAsia="zh-CN"/>
        </w:rPr>
      </w:pPr>
      <w:r>
        <w:rPr>
          <w:highlight w:val="none"/>
          <w:lang w:val="en-US" w:eastAsia="zh-CN"/>
        </w:rPr>
        <w:t>二次绕组特性参数的基本要求</w:t>
      </w:r>
      <w:bookmarkStart w:id="288" w:name="pindex713"/>
      <w:bookmarkEnd w:id="288"/>
    </w:p>
    <w:p w14:paraId="22766BD2">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二次绕组特性参数应符合下列要求：</w:t>
      </w:r>
    </w:p>
    <w:p w14:paraId="6424A731">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a)  电压互感器二次绕组特性参数应满足继电保护、自动装置、测量仪表的要求。</w:t>
      </w:r>
      <w:bookmarkStart w:id="289" w:name="pindex715"/>
      <w:bookmarkEnd w:id="289"/>
    </w:p>
    <w:p w14:paraId="1080EEEA">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b)  当电压互感器同时向继电保护和测量仪表提供电压量时，一般应设置单独的保护绕组、测量绕组。当继电保护和测量仪表共用同一个二次绕组时，总负荷不应超过该二次绕组的额定负荷。</w:t>
      </w:r>
      <w:bookmarkStart w:id="290" w:name="pindex716"/>
      <w:bookmarkEnd w:id="290"/>
    </w:p>
    <w:p w14:paraId="3AC55917">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c） 电压互感器二次绕组的额定负荷应根据实际负荷进行选取，不宜过大或过小。</w:t>
      </w:r>
      <w:bookmarkStart w:id="291" w:name="pindex717"/>
      <w:bookmarkEnd w:id="291"/>
    </w:p>
    <w:p w14:paraId="79AC77FF">
      <w:pPr>
        <w:pStyle w:val="261"/>
        <w:bidi w:val="0"/>
        <w:ind w:left="142" w:leftChars="0" w:hanging="142" w:firstLineChars="0"/>
        <w:rPr>
          <w:highlight w:val="none"/>
          <w:lang w:val="en-US" w:eastAsia="zh-CN"/>
        </w:rPr>
      </w:pPr>
      <w:r>
        <w:rPr>
          <w:highlight w:val="none"/>
          <w:lang w:val="en-US" w:eastAsia="zh-CN"/>
        </w:rPr>
        <w:t>二次绕组与级次组合</w:t>
      </w:r>
      <w:bookmarkStart w:id="292" w:name="pindex718"/>
      <w:bookmarkEnd w:id="292"/>
      <w:r>
        <w:rPr>
          <w:highlight w:val="none"/>
          <w:lang w:val="en-US" w:eastAsia="zh-CN"/>
        </w:rPr>
        <w:t>要求</w:t>
      </w:r>
    </w:p>
    <w:p w14:paraId="00E9EDCA">
      <w:pPr>
        <w:ind w:left="840" w:leftChars="200" w:hanging="420" w:hanging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二次绕组与级次组合应符合下列要求：</w:t>
      </w:r>
    </w:p>
    <w:p w14:paraId="781E890B">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sz w:val="21"/>
          <w:highlight w:val="none"/>
          <w:lang w:val="en-US" w:eastAsia="zh-CN" w:bidi="ar-SA"/>
        </w:rPr>
        <w:t xml:space="preserve">a)  </w:t>
      </w:r>
      <w:bookmarkStart w:id="293" w:name="bkReivew2083503"/>
      <w:r>
        <w:rPr>
          <w:rFonts w:ascii="Times New Roman" w:hAnsi="Times New Roman" w:eastAsia="宋体" w:cs="Times New Roman"/>
          <w:color w:val="auto"/>
          <w:sz w:val="21"/>
          <w:highlight w:val="none"/>
          <w:lang w:val="en-US" w:eastAsia="zh-CN" w:bidi="ar-SA"/>
        </w:rPr>
        <w:t>接于</w:t>
      </w:r>
      <w:bookmarkEnd w:id="293"/>
      <w:r>
        <w:rPr>
          <w:rFonts w:ascii="Times New Roman" w:hAnsi="Times New Roman" w:eastAsia="宋体" w:cs="Times New Roman"/>
          <w:color w:val="auto"/>
          <w:sz w:val="21"/>
          <w:highlight w:val="none"/>
          <w:lang w:val="en-US" w:eastAsia="zh-CN" w:bidi="ar-SA"/>
        </w:rPr>
        <w:t>三相系统相与地间的单相电压互感器，且需要同时向保护、自动装置和测量仪表提供电压量时，一般应具有三个二次绕组和一个剩余电压绕组。其准确级组合应为0.2P、0.5P、3P或6P的任意组合方式</w:t>
      </w:r>
      <w:bookmarkStart w:id="294" w:name="pindex720"/>
      <w:bookmarkEnd w:id="294"/>
      <w:r>
        <w:rPr>
          <w:rFonts w:ascii="Times New Roman" w:hAnsi="Times New Roman" w:eastAsia="宋体" w:cs="Times New Roman"/>
          <w:color w:val="auto"/>
          <w:sz w:val="21"/>
          <w:highlight w:val="none"/>
          <w:lang w:val="en-US" w:eastAsia="zh-CN" w:bidi="ar-SA"/>
        </w:rPr>
        <w:t>。</w:t>
      </w:r>
    </w:p>
    <w:p w14:paraId="60B07F9A">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 xml:space="preserve">b)  </w:t>
      </w:r>
      <w:bookmarkStart w:id="295" w:name="bkReivew3181304"/>
      <w:r>
        <w:rPr>
          <w:rFonts w:ascii="Times New Roman" w:hAnsi="Times New Roman" w:eastAsia="宋体" w:cs="Times New Roman"/>
          <w:color w:val="auto"/>
          <w:sz w:val="21"/>
          <w:highlight w:val="none"/>
          <w:lang w:val="en-US" w:eastAsia="zh-CN" w:bidi="ar-SA"/>
        </w:rPr>
        <w:t>接于</w:t>
      </w:r>
      <w:bookmarkEnd w:id="295"/>
      <w:r>
        <w:rPr>
          <w:rFonts w:ascii="Times New Roman" w:hAnsi="Times New Roman" w:eastAsia="宋体" w:cs="Times New Roman"/>
          <w:color w:val="auto"/>
          <w:sz w:val="21"/>
          <w:highlight w:val="none"/>
          <w:lang w:val="en-US" w:eastAsia="zh-CN" w:bidi="ar-SA"/>
        </w:rPr>
        <w:t>三相系统相间的单相电压互感器，一般应</w:t>
      </w:r>
      <w:bookmarkStart w:id="296" w:name="bkReivew3070031"/>
      <w:r>
        <w:rPr>
          <w:rFonts w:ascii="Times New Roman" w:hAnsi="Times New Roman" w:eastAsia="宋体" w:cs="Times New Roman"/>
          <w:color w:val="auto"/>
          <w:sz w:val="21"/>
          <w:highlight w:val="none"/>
          <w:lang w:val="en-US" w:eastAsia="zh-CN" w:bidi="ar-SA"/>
        </w:rPr>
        <w:t>具有两个</w:t>
      </w:r>
      <w:bookmarkEnd w:id="296"/>
      <w:r>
        <w:rPr>
          <w:rFonts w:ascii="Times New Roman" w:hAnsi="Times New Roman" w:eastAsia="宋体" w:cs="Times New Roman"/>
          <w:color w:val="auto"/>
          <w:sz w:val="21"/>
          <w:highlight w:val="none"/>
          <w:lang w:val="en-US" w:eastAsia="zh-CN" w:bidi="ar-SA"/>
        </w:rPr>
        <w:t>二次绕组，其准确级组合应为0.2P、0.5P、3P和6P的任意组合方式</w:t>
      </w:r>
      <w:bookmarkStart w:id="297" w:name="pindex721"/>
      <w:bookmarkEnd w:id="297"/>
      <w:r>
        <w:rPr>
          <w:rFonts w:ascii="Times New Roman" w:hAnsi="Times New Roman" w:eastAsia="宋体" w:cs="Times New Roman"/>
          <w:color w:val="auto"/>
          <w:sz w:val="21"/>
          <w:highlight w:val="none"/>
          <w:lang w:val="en-US" w:eastAsia="zh-CN" w:bidi="ar-SA"/>
        </w:rPr>
        <w:t>。</w:t>
      </w:r>
    </w:p>
    <w:p w14:paraId="1A65BC19">
      <w:pPr>
        <w:ind w:left="840" w:leftChars="200" w:hanging="420" w:hangingChars="200"/>
        <w:jc w:val="both"/>
        <w:rPr>
          <w:rFonts w:ascii="Times New Roman" w:hAnsi="Times New Roman" w:eastAsia="宋体" w:cs="Times New Roman"/>
          <w:color w:val="auto"/>
          <w:sz w:val="21"/>
          <w:highlight w:val="none"/>
          <w:lang w:val="en-US" w:eastAsia="zh-CN" w:bidi="ar-SA"/>
        </w:rPr>
      </w:pPr>
      <w:r>
        <w:rPr>
          <w:rFonts w:ascii="Times New Roman" w:hAnsi="Times New Roman" w:eastAsia="宋体" w:cs="Times New Roman"/>
          <w:color w:val="auto"/>
          <w:sz w:val="21"/>
          <w:highlight w:val="none"/>
          <w:lang w:val="en-US" w:eastAsia="zh-CN" w:bidi="ar-SA"/>
        </w:rPr>
        <w:t xml:space="preserve">c)  </w:t>
      </w:r>
      <w:bookmarkStart w:id="298" w:name="bkReivew150541"/>
      <w:r>
        <w:rPr>
          <w:rFonts w:ascii="Times New Roman" w:hAnsi="Times New Roman" w:eastAsia="宋体" w:cs="Times New Roman"/>
          <w:color w:val="auto"/>
          <w:sz w:val="21"/>
          <w:highlight w:val="none"/>
          <w:lang w:val="en-US" w:eastAsia="zh-CN" w:bidi="ar-SA"/>
        </w:rPr>
        <w:t>接于</w:t>
      </w:r>
      <w:bookmarkEnd w:id="298"/>
      <w:r>
        <w:rPr>
          <w:rFonts w:ascii="Times New Roman" w:hAnsi="Times New Roman" w:eastAsia="宋体" w:cs="Times New Roman"/>
          <w:color w:val="auto"/>
          <w:sz w:val="21"/>
          <w:highlight w:val="none"/>
          <w:lang w:val="en-US" w:eastAsia="zh-CN" w:bidi="ar-SA"/>
        </w:rPr>
        <w:t>三相系统相与地间或相间的计量用电压互感器，一般应具有准确级组合为0.2/0.5或0.5/0.5两个二次绕组</w:t>
      </w:r>
      <w:bookmarkStart w:id="299" w:name="pindex722"/>
      <w:bookmarkEnd w:id="299"/>
      <w:r>
        <w:rPr>
          <w:rFonts w:ascii="Times New Roman" w:hAnsi="Times New Roman" w:eastAsia="宋体" w:cs="Times New Roman"/>
          <w:color w:val="auto"/>
          <w:sz w:val="21"/>
          <w:highlight w:val="none"/>
          <w:lang w:val="en-US" w:eastAsia="zh-CN" w:bidi="ar-SA"/>
        </w:rPr>
        <w:t>。</w:t>
      </w:r>
    </w:p>
    <w:p w14:paraId="19CC1F0C">
      <w:pPr>
        <w:ind w:left="840" w:leftChars="200" w:hanging="420" w:hangingChars="200"/>
        <w:jc w:val="both"/>
        <w:rPr>
          <w:rFonts w:hint="eastAsia" w:ascii="Times New Roman" w:hAnsi="Times New Roman" w:eastAsia="宋体" w:cs="Times New Roman"/>
          <w:sz w:val="21"/>
          <w:highlight w:val="none"/>
          <w:lang w:val="en-US" w:eastAsia="zh-CN" w:bidi="ar-SA"/>
        </w:rPr>
      </w:pPr>
      <w:r>
        <w:rPr>
          <w:rFonts w:ascii="Times New Roman" w:hAnsi="Times New Roman" w:eastAsia="宋体" w:cs="Times New Roman"/>
          <w:color w:val="auto"/>
          <w:sz w:val="21"/>
          <w:highlight w:val="none"/>
          <w:lang w:val="en-US" w:eastAsia="zh-CN" w:bidi="ar-SA"/>
        </w:rPr>
        <w:t>d)  接于低压单相系统电压</w:t>
      </w:r>
      <w:r>
        <w:rPr>
          <w:rFonts w:ascii="Times New Roman" w:hAnsi="Times New Roman" w:eastAsia="宋体" w:cs="Times New Roman"/>
          <w:sz w:val="21"/>
          <w:highlight w:val="none"/>
          <w:lang w:val="en-US" w:eastAsia="zh-CN" w:bidi="ar-SA"/>
        </w:rPr>
        <w:t>互感器，一般只需要一个二次绕组，必要时可再附加剩余绕组。</w:t>
      </w:r>
      <w:bookmarkStart w:id="300" w:name="pindex723"/>
      <w:bookmarkEnd w:id="300"/>
    </w:p>
    <w:p w14:paraId="307AC6F4">
      <w:pPr>
        <w:pStyle w:val="259"/>
        <w:bidi w:val="0"/>
        <w:ind w:left="0" w:leftChars="0" w:firstLine="0" w:firstLineChars="0"/>
        <w:rPr>
          <w:highlight w:val="none"/>
          <w:lang w:val="en-US" w:eastAsia="zh-CN"/>
        </w:rPr>
      </w:pPr>
      <w:bookmarkStart w:id="301" w:name="_Toc18467"/>
      <w:bookmarkStart w:id="302" w:name="_Toc23916"/>
      <w:bookmarkStart w:id="303" w:name="_Toc170918050"/>
      <w:bookmarkStart w:id="304" w:name="_Toc13537"/>
      <w:r>
        <w:rPr>
          <w:highlight w:val="none"/>
          <w:lang w:val="en-US" w:eastAsia="zh-CN"/>
        </w:rPr>
        <w:t>试验</w:t>
      </w:r>
      <w:bookmarkEnd w:id="301"/>
      <w:bookmarkEnd w:id="302"/>
      <w:bookmarkEnd w:id="303"/>
      <w:bookmarkEnd w:id="304"/>
      <w:bookmarkStart w:id="305" w:name="pindex724"/>
      <w:bookmarkEnd w:id="305"/>
    </w:p>
    <w:p w14:paraId="769FEFE5">
      <w:pPr>
        <w:pStyle w:val="260"/>
        <w:bidi w:val="0"/>
        <w:ind w:left="710" w:leftChars="0" w:hanging="710" w:firstLineChars="0"/>
        <w:rPr>
          <w:highlight w:val="none"/>
          <w:lang w:val="en-US" w:eastAsia="zh-CN"/>
        </w:rPr>
      </w:pPr>
      <w:bookmarkStart w:id="306" w:name="_Toc170918051"/>
      <w:bookmarkStart w:id="307" w:name="_Toc30928"/>
      <w:bookmarkStart w:id="308" w:name="_Toc25474"/>
      <w:r>
        <w:rPr>
          <w:highlight w:val="none"/>
          <w:lang w:val="en-US" w:eastAsia="zh-CN"/>
        </w:rPr>
        <w:t>试验分类</w:t>
      </w:r>
      <w:bookmarkEnd w:id="306"/>
      <w:bookmarkEnd w:id="307"/>
      <w:bookmarkEnd w:id="308"/>
      <w:bookmarkStart w:id="309" w:name="pindex725"/>
      <w:bookmarkEnd w:id="309"/>
    </w:p>
    <w:p w14:paraId="4DED1A54">
      <w:pPr>
        <w:autoSpaceDE w:val="0"/>
        <w:autoSpaceDN w:val="0"/>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电压互感器试验分为例行试验、型式试验、特殊试验和交接试验。</w:t>
      </w:r>
    </w:p>
    <w:p w14:paraId="77FD8A74">
      <w:pPr>
        <w:numPr>
          <w:ilvl w:val="0"/>
          <w:numId w:val="38"/>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型式试验是对每种型式电压互感器中的一台所进行的试验，用以验证按同一技术规范制造的互感器均应满足除例行试验外所规定的要求。新产品在成批投产前应进行全部型式试验。当更改结构、原材料或工艺方法时，应重新进行部分或全部型式试验项目。型式试验可以从同一型式的电压互感器中选取具有代表性的产品作为试品，并应在生产的批量中抽取。</w:t>
      </w:r>
    </w:p>
    <w:p w14:paraId="13E30DEB">
      <w:pPr>
        <w:numPr>
          <w:ilvl w:val="0"/>
          <w:numId w:val="38"/>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例行试验是每台电压互感器都应承受的试验。</w:t>
      </w:r>
    </w:p>
    <w:p w14:paraId="30FFEA75">
      <w:pPr>
        <w:numPr>
          <w:ilvl w:val="0"/>
          <w:numId w:val="38"/>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特殊试验是型式试验或例行试验之外经制造厂与用户协商同意的试验。</w:t>
      </w:r>
    </w:p>
    <w:p w14:paraId="3E5D3975">
      <w:pPr>
        <w:numPr>
          <w:ilvl w:val="0"/>
          <w:numId w:val="38"/>
        </w:numPr>
        <w:autoSpaceDE/>
        <w:autoSpaceDN/>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交接试验是设备安装竣工后的验收试验，检验电压互感器的运输和安装质量。</w:t>
      </w:r>
    </w:p>
    <w:p w14:paraId="198AB276">
      <w:pPr>
        <w:pStyle w:val="260"/>
        <w:bidi w:val="0"/>
        <w:ind w:left="710" w:leftChars="0" w:hanging="710" w:firstLineChars="0"/>
        <w:rPr>
          <w:highlight w:val="none"/>
          <w:lang w:val="en-US" w:eastAsia="zh-CN"/>
        </w:rPr>
      </w:pPr>
      <w:bookmarkStart w:id="310" w:name="_Toc14701"/>
      <w:bookmarkStart w:id="311" w:name="_Toc170918052"/>
      <w:bookmarkStart w:id="312" w:name="_Toc3468"/>
      <w:r>
        <w:rPr>
          <w:rFonts w:hint="eastAsia"/>
          <w:highlight w:val="none"/>
          <w:lang w:val="en-US" w:eastAsia="zh-CN"/>
        </w:rPr>
        <w:t>试验</w:t>
      </w:r>
      <w:r>
        <w:rPr>
          <w:highlight w:val="none"/>
          <w:lang w:val="en-US" w:eastAsia="zh-CN"/>
        </w:rPr>
        <w:t>项目</w:t>
      </w:r>
      <w:bookmarkEnd w:id="310"/>
      <w:bookmarkEnd w:id="311"/>
      <w:bookmarkEnd w:id="312"/>
      <w:bookmarkStart w:id="313" w:name="pindex731"/>
      <w:bookmarkEnd w:id="313"/>
    </w:p>
    <w:p w14:paraId="7BA4BE60">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szCs w:val="21"/>
          <w:highlight w:val="none"/>
          <w:lang w:val="en-US" w:eastAsia="zh-CN" w:bidi="ar-SA"/>
        </w:rPr>
        <w:t>电压互感器型式试验、例行试验、特殊试验和交接试验的</w:t>
      </w:r>
      <w:r>
        <w:rPr>
          <w:rFonts w:ascii="Times New Roman" w:hAnsi="Times New Roman" w:eastAsia="宋体" w:cs="Times New Roman"/>
          <w:sz w:val="21"/>
          <w:highlight w:val="none"/>
          <w:lang w:val="en-US" w:eastAsia="zh-CN" w:bidi="ar-SA"/>
        </w:rPr>
        <w:t>试验项目、试验方法、试验判据见表8。电压互感器试验应符合下列要求：</w:t>
      </w:r>
    </w:p>
    <w:p w14:paraId="53E9050A">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试验项目的试验顺序应按照GB/T 22071.2进行；</w:t>
      </w:r>
    </w:p>
    <w:p w14:paraId="1A602F4E">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表8中的试验项目并非适用于所有类型的电压互感器，如不适用，则可不进行该项试验；</w:t>
      </w:r>
    </w:p>
    <w:p w14:paraId="01D8AE90">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除非另有规定，所有绝缘型式试验应在同一台电压互感器上进行；</w:t>
      </w:r>
    </w:p>
    <w:p w14:paraId="7E47D1B1">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电压互感器在经受规定的绝缘型式试验后，应经受全部例行试验；</w:t>
      </w:r>
    </w:p>
    <w:p w14:paraId="3F3BF384">
      <w:pPr>
        <w:numPr>
          <w:ilvl w:val="0"/>
          <w:numId w:val="39"/>
        </w:numPr>
        <w:ind w:left="839" w:leftChars="0" w:hanging="419" w:firstLineChars="0"/>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温升试验、准确度试验和励磁特性试验应在额定频率下进行；</w:t>
      </w:r>
    </w:p>
    <w:p w14:paraId="092AADF7">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一次端的重复</w:t>
      </w:r>
      <w:r>
        <w:rPr>
          <w:rFonts w:hint="eastAsia" w:cs="Times New Roman"/>
          <w:szCs w:val="21"/>
          <w:highlight w:val="none"/>
          <w:lang w:val="en-US" w:eastAsia="zh-CN"/>
        </w:rPr>
        <w:t>交流</w:t>
      </w:r>
      <w:r>
        <w:rPr>
          <w:rFonts w:ascii="Times New Roman" w:hAnsi="Times New Roman" w:eastAsia="宋体" w:cs="Times New Roman"/>
          <w:szCs w:val="21"/>
          <w:highlight w:val="none"/>
        </w:rPr>
        <w:t>耐压试验应在规定试验电压值的80%下进行；</w:t>
      </w:r>
    </w:p>
    <w:p w14:paraId="7A1B0A66">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交接试验，35</w:t>
      </w:r>
      <w:r>
        <w:rPr>
          <w:rFonts w:ascii="Times New Roman" w:hAnsi="Times New Roman" w:eastAsia="宋体" w:cs="Times New Roman"/>
          <w:highlight w:val="none"/>
        </w:rPr>
        <w:t> </w:t>
      </w:r>
      <w:r>
        <w:rPr>
          <w:rFonts w:ascii="Times New Roman" w:hAnsi="Times New Roman" w:eastAsia="宋体" w:cs="Times New Roman"/>
          <w:szCs w:val="21"/>
          <w:highlight w:val="none"/>
        </w:rPr>
        <w:t>kV ~110</w:t>
      </w:r>
      <w:r>
        <w:rPr>
          <w:rFonts w:ascii="Times New Roman" w:hAnsi="Times New Roman" w:eastAsia="宋体" w:cs="Times New Roman"/>
          <w:highlight w:val="none"/>
        </w:rPr>
        <w:t> </w:t>
      </w:r>
      <w:r>
        <w:rPr>
          <w:rFonts w:ascii="Times New Roman" w:hAnsi="Times New Roman" w:eastAsia="宋体" w:cs="Times New Roman"/>
          <w:szCs w:val="21"/>
          <w:highlight w:val="none"/>
        </w:rPr>
        <w:t>kV电压互感器应按10%的比例抽样开展局部放电试验；</w:t>
      </w:r>
    </w:p>
    <w:p w14:paraId="15C93058">
      <w:pPr>
        <w:numPr>
          <w:ilvl w:val="0"/>
          <w:numId w:val="39"/>
        </w:numPr>
        <w:ind w:left="839" w:leftChars="0" w:hanging="419" w:firstLineChars="0"/>
        <w:rPr>
          <w:rFonts w:ascii="Times New Roman" w:hAnsi="Times New Roman" w:eastAsia="宋体" w:cs="Times New Roman"/>
          <w:szCs w:val="21"/>
          <w:highlight w:val="none"/>
        </w:rPr>
      </w:pPr>
      <w:r>
        <w:rPr>
          <w:rFonts w:ascii="Times New Roman" w:hAnsi="Times New Roman" w:eastAsia="宋体" w:cs="Times New Roman"/>
          <w:szCs w:val="21"/>
          <w:highlight w:val="none"/>
        </w:rPr>
        <w:t>交接试验，220</w:t>
      </w:r>
      <w:r>
        <w:rPr>
          <w:rFonts w:ascii="Times New Roman" w:hAnsi="Times New Roman" w:eastAsia="宋体" w:cs="Times New Roman"/>
          <w:highlight w:val="none"/>
        </w:rPr>
        <w:t> </w:t>
      </w:r>
      <w:r>
        <w:rPr>
          <w:rFonts w:ascii="Times New Roman" w:hAnsi="Times New Roman" w:eastAsia="宋体" w:cs="Times New Roman"/>
          <w:szCs w:val="21"/>
          <w:highlight w:val="none"/>
        </w:rPr>
        <w:t>kV及以上电压等级电压互感器在绝缘性能有怀疑时宜进行局部放电试验。</w:t>
      </w:r>
    </w:p>
    <w:p w14:paraId="050A3B9C">
      <w:pPr>
        <w:autoSpaceDE w:val="0"/>
        <w:autoSpaceDN w:val="0"/>
        <w:jc w:val="center"/>
        <w:rPr>
          <w:rFonts w:ascii="Times New Roman" w:hAnsi="Times New Roman" w:eastAsia="黑体" w:cs="Times New Roman"/>
          <w:szCs w:val="20"/>
          <w:highlight w:val="none"/>
        </w:rPr>
      </w:pPr>
    </w:p>
    <w:p w14:paraId="22BCA4AC">
      <w:pPr>
        <w:autoSpaceDE w:val="0"/>
        <w:autoSpaceDN w:val="0"/>
        <w:jc w:val="center"/>
        <w:rPr>
          <w:rFonts w:ascii="Times New Roman" w:hAnsi="Times New Roman" w:eastAsia="黑体" w:cs="Times New Roman"/>
          <w:szCs w:val="20"/>
          <w:highlight w:val="none"/>
        </w:rPr>
      </w:pPr>
      <w:r>
        <w:rPr>
          <w:rFonts w:ascii="Times New Roman" w:hAnsi="Times New Roman" w:eastAsia="黑体" w:cs="Times New Roman"/>
          <w:szCs w:val="20"/>
          <w:highlight w:val="none"/>
        </w:rPr>
        <w:t>表8 电压互感器试验项目</w:t>
      </w:r>
      <w:bookmarkStart w:id="314" w:name="pindex740"/>
      <w:bookmarkEnd w:id="314"/>
    </w:p>
    <w:tbl>
      <w:tblPr>
        <w:tblStyle w:val="88"/>
        <w:tblW w:w="5087" w:type="pct"/>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6"/>
        <w:gridCol w:w="2680"/>
        <w:gridCol w:w="1271"/>
        <w:gridCol w:w="1277"/>
        <w:gridCol w:w="939"/>
        <w:gridCol w:w="939"/>
        <w:gridCol w:w="941"/>
        <w:gridCol w:w="1006"/>
      </w:tblGrid>
      <w:tr w14:paraId="50E3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04998E80">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序号</w:t>
            </w:r>
          </w:p>
        </w:tc>
        <w:tc>
          <w:tcPr>
            <w:tcW w:w="1375" w:type="pct"/>
            <w:noWrap w:val="0"/>
            <w:vAlign w:val="center"/>
          </w:tcPr>
          <w:p w14:paraId="17A9002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试验项目</w:t>
            </w:r>
          </w:p>
        </w:tc>
        <w:tc>
          <w:tcPr>
            <w:tcW w:w="652" w:type="pct"/>
            <w:noWrap w:val="0"/>
            <w:vAlign w:val="center"/>
          </w:tcPr>
          <w:p w14:paraId="28F94A9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试验方法</w:t>
            </w:r>
          </w:p>
        </w:tc>
        <w:tc>
          <w:tcPr>
            <w:tcW w:w="655" w:type="pct"/>
            <w:noWrap w:val="0"/>
            <w:vAlign w:val="center"/>
          </w:tcPr>
          <w:p w14:paraId="71320B0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试验判据</w:t>
            </w:r>
          </w:p>
        </w:tc>
        <w:tc>
          <w:tcPr>
            <w:tcW w:w="482" w:type="pct"/>
            <w:noWrap w:val="0"/>
            <w:vAlign w:val="center"/>
          </w:tcPr>
          <w:p w14:paraId="30929C5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型式试验</w:t>
            </w:r>
          </w:p>
        </w:tc>
        <w:tc>
          <w:tcPr>
            <w:tcW w:w="482" w:type="pct"/>
            <w:noWrap w:val="0"/>
            <w:vAlign w:val="center"/>
          </w:tcPr>
          <w:p w14:paraId="57509CE7">
            <w:pPr>
              <w:autoSpaceDE w:val="0"/>
              <w:autoSpaceDN w:val="0"/>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例行试验</w:t>
            </w:r>
          </w:p>
        </w:tc>
        <w:tc>
          <w:tcPr>
            <w:tcW w:w="483" w:type="pct"/>
            <w:noWrap w:val="0"/>
            <w:vAlign w:val="center"/>
          </w:tcPr>
          <w:p w14:paraId="4E8508C2">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特殊试验</w:t>
            </w:r>
          </w:p>
        </w:tc>
        <w:tc>
          <w:tcPr>
            <w:tcW w:w="516" w:type="pct"/>
            <w:noWrap w:val="0"/>
            <w:vAlign w:val="center"/>
          </w:tcPr>
          <w:p w14:paraId="0B42E82C">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交接试验</w:t>
            </w:r>
          </w:p>
        </w:tc>
      </w:tr>
      <w:tr w14:paraId="067D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3734242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w:t>
            </w:r>
          </w:p>
        </w:tc>
        <w:tc>
          <w:tcPr>
            <w:tcW w:w="1375" w:type="pct"/>
            <w:noWrap w:val="0"/>
            <w:vAlign w:val="center"/>
          </w:tcPr>
          <w:p w14:paraId="782004F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温升试验</w:t>
            </w:r>
          </w:p>
        </w:tc>
        <w:tc>
          <w:tcPr>
            <w:tcW w:w="652" w:type="pct"/>
            <w:noWrap w:val="0"/>
            <w:vAlign w:val="center"/>
          </w:tcPr>
          <w:p w14:paraId="15FF1EAE">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061215C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7FA7109B">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3E2460E2">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70BE1C8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2A27E4E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49DBD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7A6C35E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w:t>
            </w:r>
          </w:p>
        </w:tc>
        <w:tc>
          <w:tcPr>
            <w:tcW w:w="1375" w:type="pct"/>
            <w:noWrap w:val="0"/>
            <w:vAlign w:val="center"/>
          </w:tcPr>
          <w:p w14:paraId="74F86451">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一次端冲击耐压试验</w:t>
            </w:r>
          </w:p>
        </w:tc>
        <w:tc>
          <w:tcPr>
            <w:tcW w:w="652" w:type="pct"/>
            <w:noWrap w:val="0"/>
            <w:vAlign w:val="center"/>
          </w:tcPr>
          <w:p w14:paraId="70C0A02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60F8917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052C729C">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273CE16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07F26826">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0B1BB7DC">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34E08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0407A7FE">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3</w:t>
            </w:r>
          </w:p>
        </w:tc>
        <w:tc>
          <w:tcPr>
            <w:tcW w:w="1375" w:type="pct"/>
            <w:noWrap w:val="0"/>
            <w:vAlign w:val="center"/>
          </w:tcPr>
          <w:p w14:paraId="22A0666B">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户外型互感器的湿试验</w:t>
            </w:r>
          </w:p>
        </w:tc>
        <w:tc>
          <w:tcPr>
            <w:tcW w:w="652" w:type="pct"/>
            <w:noWrap w:val="0"/>
            <w:vAlign w:val="center"/>
          </w:tcPr>
          <w:p w14:paraId="688D728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3B877D4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43CBB197">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3A99ACC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0E41D718">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4A2FEE08">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4568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2629BF6F">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4</w:t>
            </w:r>
          </w:p>
        </w:tc>
        <w:tc>
          <w:tcPr>
            <w:tcW w:w="1375" w:type="pct"/>
            <w:noWrap w:val="0"/>
            <w:vAlign w:val="center"/>
          </w:tcPr>
          <w:p w14:paraId="69B91E49">
            <w:pPr>
              <w:autoSpaceDE w:val="0"/>
              <w:autoSpaceDN w:val="0"/>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无线电干扰电压(RIV)试验</w:t>
            </w:r>
          </w:p>
        </w:tc>
        <w:tc>
          <w:tcPr>
            <w:tcW w:w="652" w:type="pct"/>
            <w:noWrap w:val="0"/>
            <w:vAlign w:val="center"/>
          </w:tcPr>
          <w:p w14:paraId="03DD508B">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6D5D144D">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63D14F57">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785CAB3D">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4C59A370">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05DBAFE1">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50C2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6125C06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5</w:t>
            </w:r>
          </w:p>
        </w:tc>
        <w:tc>
          <w:tcPr>
            <w:tcW w:w="1375" w:type="pct"/>
            <w:noWrap w:val="0"/>
            <w:vAlign w:val="center"/>
          </w:tcPr>
          <w:p w14:paraId="1BDDD8B0">
            <w:pPr>
              <w:autoSpaceDE w:val="0"/>
              <w:autoSpaceDN w:val="0"/>
              <w:jc w:val="center"/>
              <w:rPr>
                <w:rFonts w:ascii="Times New Roman" w:hAnsi="Times New Roman" w:eastAsia="宋体" w:cs="Times New Roman"/>
                <w:color w:val="000000"/>
                <w:sz w:val="18"/>
                <w:szCs w:val="18"/>
                <w:highlight w:val="none"/>
                <w:vertAlign w:val="superscript"/>
              </w:rPr>
            </w:pPr>
            <w:r>
              <w:rPr>
                <w:rFonts w:ascii="Times New Roman" w:hAnsi="Times New Roman" w:eastAsia="宋体" w:cs="Times New Roman"/>
                <w:sz w:val="18"/>
                <w:szCs w:val="18"/>
                <w:highlight w:val="none"/>
              </w:rPr>
              <w:t>准确度试验</w:t>
            </w:r>
          </w:p>
        </w:tc>
        <w:tc>
          <w:tcPr>
            <w:tcW w:w="652" w:type="pct"/>
            <w:noWrap w:val="0"/>
            <w:vAlign w:val="center"/>
          </w:tcPr>
          <w:p w14:paraId="4DF07789">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GB/T 22071.2</w:t>
            </w:r>
          </w:p>
        </w:tc>
        <w:tc>
          <w:tcPr>
            <w:tcW w:w="655" w:type="pct"/>
            <w:noWrap w:val="0"/>
            <w:vAlign w:val="center"/>
          </w:tcPr>
          <w:p w14:paraId="11FECF90">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8.3</w:t>
            </w:r>
          </w:p>
        </w:tc>
        <w:tc>
          <w:tcPr>
            <w:tcW w:w="482" w:type="pct"/>
            <w:noWrap w:val="0"/>
            <w:vAlign w:val="center"/>
          </w:tcPr>
          <w:p w14:paraId="24ABCE1A">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3CD6DE07">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76080453">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1BD527C9">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1978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1F4F044C">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6</w:t>
            </w:r>
          </w:p>
        </w:tc>
        <w:tc>
          <w:tcPr>
            <w:tcW w:w="1375" w:type="pct"/>
            <w:noWrap w:val="0"/>
            <w:vAlign w:val="center"/>
          </w:tcPr>
          <w:p w14:paraId="1298586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外壳防护等级的检验</w:t>
            </w:r>
          </w:p>
        </w:tc>
        <w:tc>
          <w:tcPr>
            <w:tcW w:w="652" w:type="pct"/>
            <w:noWrap w:val="0"/>
            <w:vAlign w:val="center"/>
          </w:tcPr>
          <w:p w14:paraId="1705A57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BACA87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3EAC6D78">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1FFE2502">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0481931D">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27CBF400">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013C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6DC7E87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7</w:t>
            </w:r>
          </w:p>
        </w:tc>
        <w:tc>
          <w:tcPr>
            <w:tcW w:w="1375" w:type="pct"/>
            <w:noWrap w:val="0"/>
            <w:vAlign w:val="center"/>
          </w:tcPr>
          <w:p w14:paraId="186FFFD3">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环境温度下密封性能试验</w:t>
            </w:r>
          </w:p>
        </w:tc>
        <w:tc>
          <w:tcPr>
            <w:tcW w:w="652" w:type="pct"/>
            <w:noWrap w:val="0"/>
            <w:vAlign w:val="center"/>
          </w:tcPr>
          <w:p w14:paraId="3EBE2A2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8.4</w:t>
            </w:r>
          </w:p>
        </w:tc>
        <w:tc>
          <w:tcPr>
            <w:tcW w:w="655" w:type="pct"/>
            <w:noWrap w:val="0"/>
            <w:vAlign w:val="center"/>
          </w:tcPr>
          <w:p w14:paraId="7043083C">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8.4</w:t>
            </w:r>
          </w:p>
        </w:tc>
        <w:tc>
          <w:tcPr>
            <w:tcW w:w="482" w:type="pct"/>
            <w:noWrap w:val="0"/>
            <w:vAlign w:val="center"/>
          </w:tcPr>
          <w:p w14:paraId="4076F3C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79DF76DB">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796EC2B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11257481">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32C0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430E903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w:t>
            </w:r>
          </w:p>
        </w:tc>
        <w:tc>
          <w:tcPr>
            <w:tcW w:w="1375" w:type="pct"/>
            <w:noWrap w:val="0"/>
            <w:vAlign w:val="center"/>
          </w:tcPr>
          <w:p w14:paraId="12F0EA4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压力试验（适用于气体绝缘产品）</w:t>
            </w:r>
          </w:p>
        </w:tc>
        <w:tc>
          <w:tcPr>
            <w:tcW w:w="652" w:type="pct"/>
            <w:noWrap w:val="0"/>
            <w:vAlign w:val="center"/>
          </w:tcPr>
          <w:p w14:paraId="2F950F8D">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41EC317E">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71EFF245">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74BB363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70691196">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6824F39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667C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4C25501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9</w:t>
            </w:r>
          </w:p>
        </w:tc>
        <w:tc>
          <w:tcPr>
            <w:tcW w:w="1375" w:type="pct"/>
            <w:noWrap w:val="0"/>
            <w:vAlign w:val="center"/>
          </w:tcPr>
          <w:p w14:paraId="1D1350F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短路承受能力试验</w:t>
            </w:r>
          </w:p>
        </w:tc>
        <w:tc>
          <w:tcPr>
            <w:tcW w:w="652" w:type="pct"/>
            <w:noWrap w:val="0"/>
            <w:vAlign w:val="center"/>
          </w:tcPr>
          <w:p w14:paraId="331A231B">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2BC1514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6BDB26CA">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2" w:type="pct"/>
            <w:noWrap w:val="0"/>
            <w:vAlign w:val="center"/>
          </w:tcPr>
          <w:p w14:paraId="4A3A6C01">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3" w:type="pct"/>
            <w:noWrap w:val="0"/>
            <w:vAlign w:val="center"/>
          </w:tcPr>
          <w:p w14:paraId="43A1B364">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468AB1B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6129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5C3726E6">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10</w:t>
            </w:r>
          </w:p>
        </w:tc>
        <w:tc>
          <w:tcPr>
            <w:tcW w:w="1375" w:type="pct"/>
            <w:noWrap w:val="0"/>
            <w:vAlign w:val="center"/>
          </w:tcPr>
          <w:p w14:paraId="3952038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励磁特性测量</w:t>
            </w:r>
          </w:p>
        </w:tc>
        <w:tc>
          <w:tcPr>
            <w:tcW w:w="652" w:type="pct"/>
            <w:noWrap w:val="0"/>
            <w:vAlign w:val="center"/>
          </w:tcPr>
          <w:p w14:paraId="15F1BC0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774723E0">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8.5</w:t>
            </w:r>
          </w:p>
        </w:tc>
        <w:tc>
          <w:tcPr>
            <w:tcW w:w="482" w:type="pct"/>
            <w:noWrap w:val="0"/>
            <w:vAlign w:val="center"/>
          </w:tcPr>
          <w:p w14:paraId="63D4D6E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482" w:type="pct"/>
            <w:noWrap w:val="0"/>
            <w:vAlign w:val="center"/>
          </w:tcPr>
          <w:p w14:paraId="68810CF5">
            <w:pPr>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w:t>
            </w:r>
          </w:p>
        </w:tc>
        <w:tc>
          <w:tcPr>
            <w:tcW w:w="483" w:type="pct"/>
            <w:noWrap w:val="0"/>
            <w:vAlign w:val="center"/>
          </w:tcPr>
          <w:p w14:paraId="72E81437">
            <w:pPr>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2968DC92">
            <w:pPr>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w:t>
            </w:r>
          </w:p>
        </w:tc>
      </w:tr>
      <w:tr w14:paraId="1516D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68AF5A8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11</w:t>
            </w:r>
          </w:p>
        </w:tc>
        <w:tc>
          <w:tcPr>
            <w:tcW w:w="1375" w:type="pct"/>
            <w:noWrap w:val="0"/>
            <w:vAlign w:val="center"/>
          </w:tcPr>
          <w:p w14:paraId="7A529AFE">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气体露点测量（适用于气体绝缘产品）</w:t>
            </w:r>
          </w:p>
        </w:tc>
        <w:tc>
          <w:tcPr>
            <w:tcW w:w="652" w:type="pct"/>
            <w:noWrap w:val="0"/>
            <w:vAlign w:val="center"/>
          </w:tcPr>
          <w:p w14:paraId="576B98A0">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52500A6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8.6</w:t>
            </w:r>
          </w:p>
        </w:tc>
        <w:tc>
          <w:tcPr>
            <w:tcW w:w="482" w:type="pct"/>
            <w:noWrap w:val="0"/>
            <w:vAlign w:val="center"/>
          </w:tcPr>
          <w:p w14:paraId="25BE8374">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2" w:type="pct"/>
            <w:noWrap w:val="0"/>
            <w:vAlign w:val="center"/>
          </w:tcPr>
          <w:p w14:paraId="00BCAE3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699209BF">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05012F55">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43EA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66AFF1F2">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12</w:t>
            </w:r>
          </w:p>
        </w:tc>
        <w:tc>
          <w:tcPr>
            <w:tcW w:w="1375" w:type="pct"/>
            <w:noWrap w:val="0"/>
            <w:vAlign w:val="center"/>
          </w:tcPr>
          <w:p w14:paraId="36F1C956">
            <w:pPr>
              <w:autoSpaceDE w:val="0"/>
              <w:autoSpaceDN w:val="0"/>
              <w:jc w:val="center"/>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eastAsia="zh-CN"/>
              </w:rPr>
              <w:t>一次端交流耐压试验</w:t>
            </w:r>
          </w:p>
        </w:tc>
        <w:tc>
          <w:tcPr>
            <w:tcW w:w="652" w:type="pct"/>
            <w:noWrap w:val="0"/>
            <w:vAlign w:val="center"/>
          </w:tcPr>
          <w:p w14:paraId="49315F23">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4EA50CBE">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8.7</w:t>
            </w:r>
          </w:p>
        </w:tc>
        <w:tc>
          <w:tcPr>
            <w:tcW w:w="482" w:type="pct"/>
            <w:noWrap w:val="0"/>
            <w:vAlign w:val="center"/>
          </w:tcPr>
          <w:p w14:paraId="30499C0D">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2" w:type="pct"/>
            <w:noWrap w:val="0"/>
            <w:vAlign w:val="center"/>
          </w:tcPr>
          <w:p w14:paraId="7F513326">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495FC765">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410B23F0">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3BE3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285D5EC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13</w:t>
            </w:r>
          </w:p>
        </w:tc>
        <w:tc>
          <w:tcPr>
            <w:tcW w:w="1375" w:type="pct"/>
            <w:noWrap w:val="0"/>
            <w:vAlign w:val="center"/>
          </w:tcPr>
          <w:p w14:paraId="43AA3E83">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局部放电测量</w:t>
            </w:r>
          </w:p>
        </w:tc>
        <w:tc>
          <w:tcPr>
            <w:tcW w:w="652" w:type="pct"/>
            <w:noWrap w:val="0"/>
            <w:vAlign w:val="center"/>
          </w:tcPr>
          <w:p w14:paraId="5EA10909">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0A999D1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8.8</w:t>
            </w:r>
          </w:p>
        </w:tc>
        <w:tc>
          <w:tcPr>
            <w:tcW w:w="482" w:type="pct"/>
            <w:noWrap w:val="0"/>
            <w:vAlign w:val="center"/>
          </w:tcPr>
          <w:p w14:paraId="561A50F1">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2" w:type="pct"/>
            <w:noWrap w:val="0"/>
            <w:vAlign w:val="center"/>
          </w:tcPr>
          <w:p w14:paraId="53E3E15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03694517">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0EE89C0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46576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 w:type="pct"/>
            <w:noWrap w:val="0"/>
            <w:vAlign w:val="center"/>
          </w:tcPr>
          <w:p w14:paraId="2BDB006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14</w:t>
            </w:r>
          </w:p>
        </w:tc>
        <w:tc>
          <w:tcPr>
            <w:tcW w:w="1375" w:type="pct"/>
            <w:noWrap w:val="0"/>
            <w:vAlign w:val="center"/>
          </w:tcPr>
          <w:p w14:paraId="39E3ADF5">
            <w:pPr>
              <w:autoSpaceDE w:val="0"/>
              <w:autoSpaceDN w:val="0"/>
              <w:jc w:val="center"/>
              <w:rPr>
                <w:rFonts w:hint="eastAsia" w:ascii="Times New Roman" w:hAnsi="Times New Roman" w:eastAsia="宋体" w:cs="Times New Roman"/>
                <w:color w:val="auto"/>
                <w:sz w:val="18"/>
                <w:szCs w:val="18"/>
                <w:highlight w:val="none"/>
                <w:lang w:eastAsia="zh-CN"/>
              </w:rPr>
            </w:pPr>
            <w:r>
              <w:rPr>
                <w:rFonts w:ascii="Times New Roman" w:hAnsi="Times New Roman" w:eastAsia="宋体" w:cs="Times New Roman"/>
                <w:color w:val="auto"/>
                <w:sz w:val="18"/>
                <w:szCs w:val="18"/>
                <w:highlight w:val="none"/>
              </w:rPr>
              <w:t>电容量和介质损耗因数测量</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适用于油纸绝缘产品</w:t>
            </w:r>
            <w:r>
              <w:rPr>
                <w:rFonts w:hint="eastAsia" w:cs="Times New Roman"/>
                <w:color w:val="auto"/>
                <w:sz w:val="18"/>
                <w:szCs w:val="18"/>
                <w:highlight w:val="none"/>
                <w:lang w:eastAsia="zh-CN"/>
              </w:rPr>
              <w:t>）</w:t>
            </w:r>
          </w:p>
        </w:tc>
        <w:tc>
          <w:tcPr>
            <w:tcW w:w="652" w:type="pct"/>
            <w:noWrap w:val="0"/>
            <w:vAlign w:val="center"/>
          </w:tcPr>
          <w:p w14:paraId="5F27EDC8">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51A3E1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8.9</w:t>
            </w:r>
          </w:p>
        </w:tc>
        <w:tc>
          <w:tcPr>
            <w:tcW w:w="482" w:type="pct"/>
            <w:noWrap w:val="0"/>
            <w:vAlign w:val="center"/>
          </w:tcPr>
          <w:p w14:paraId="5F63A72F">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2" w:type="pct"/>
            <w:noWrap w:val="0"/>
            <w:vAlign w:val="center"/>
          </w:tcPr>
          <w:p w14:paraId="13B9977E">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3" w:type="pct"/>
            <w:noWrap w:val="0"/>
            <w:vAlign w:val="center"/>
          </w:tcPr>
          <w:p w14:paraId="1B039275">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16" w:type="pct"/>
            <w:noWrap w:val="0"/>
            <w:vAlign w:val="center"/>
          </w:tcPr>
          <w:p w14:paraId="1AFB7FEB">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bl>
    <w:p w14:paraId="01B8F1D8">
      <w:pPr>
        <w:jc w:val="center"/>
      </w:pPr>
      <w:r>
        <w:rPr>
          <w:rFonts w:hint="default" w:eastAsia="黑体"/>
          <w:szCs w:val="20"/>
          <w:highlight w:val="none"/>
          <w:lang w:val="en-US" w:eastAsia="zh-CN"/>
        </w:rPr>
        <w:t>表8（续）</w:t>
      </w:r>
    </w:p>
    <w:tbl>
      <w:tblPr>
        <w:tblStyle w:val="88"/>
        <w:tblW w:w="5087" w:type="pct"/>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6"/>
        <w:gridCol w:w="2659"/>
        <w:gridCol w:w="18"/>
        <w:gridCol w:w="1270"/>
        <w:gridCol w:w="1276"/>
        <w:gridCol w:w="939"/>
        <w:gridCol w:w="937"/>
        <w:gridCol w:w="937"/>
        <w:gridCol w:w="1028"/>
      </w:tblGrid>
      <w:tr w14:paraId="71ED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 w:type="pct"/>
            <w:gridSpan w:val="2"/>
            <w:noWrap w:val="0"/>
            <w:vAlign w:val="center"/>
          </w:tcPr>
          <w:p w14:paraId="7E2F01B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15</w:t>
            </w:r>
          </w:p>
        </w:tc>
        <w:tc>
          <w:tcPr>
            <w:tcW w:w="1374" w:type="pct"/>
            <w:gridSpan w:val="2"/>
            <w:noWrap w:val="0"/>
            <w:vAlign w:val="center"/>
          </w:tcPr>
          <w:p w14:paraId="403FDCDC">
            <w:pPr>
              <w:autoSpaceDE w:val="0"/>
              <w:autoSpaceDN w:val="0"/>
              <w:jc w:val="center"/>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eastAsia="zh-CN"/>
              </w:rPr>
              <w:t>段间交流耐压试验</w:t>
            </w:r>
          </w:p>
        </w:tc>
        <w:tc>
          <w:tcPr>
            <w:tcW w:w="652" w:type="pct"/>
            <w:noWrap w:val="0"/>
            <w:vAlign w:val="center"/>
          </w:tcPr>
          <w:p w14:paraId="638565CC">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229B44E3">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GB/T 22071.2</w:t>
            </w:r>
          </w:p>
        </w:tc>
        <w:tc>
          <w:tcPr>
            <w:tcW w:w="482" w:type="pct"/>
            <w:noWrap w:val="0"/>
            <w:vAlign w:val="center"/>
          </w:tcPr>
          <w:p w14:paraId="22D8D927">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27C948EA">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1" w:type="pct"/>
            <w:noWrap w:val="0"/>
            <w:vAlign w:val="center"/>
          </w:tcPr>
          <w:p w14:paraId="382088A3">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26" w:type="pct"/>
            <w:noWrap w:val="0"/>
            <w:vAlign w:val="center"/>
          </w:tcPr>
          <w:p w14:paraId="603BAB2C">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0F1C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 w:type="pct"/>
            <w:gridSpan w:val="2"/>
            <w:noWrap w:val="0"/>
            <w:vAlign w:val="center"/>
          </w:tcPr>
          <w:p w14:paraId="53A6840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16</w:t>
            </w:r>
          </w:p>
        </w:tc>
        <w:tc>
          <w:tcPr>
            <w:tcW w:w="1374" w:type="pct"/>
            <w:gridSpan w:val="2"/>
            <w:noWrap w:val="0"/>
            <w:vAlign w:val="center"/>
          </w:tcPr>
          <w:p w14:paraId="4C014816">
            <w:pPr>
              <w:autoSpaceDE w:val="0"/>
              <w:autoSpaceDN w:val="0"/>
              <w:jc w:val="center"/>
              <w:rPr>
                <w:rFonts w:hint="eastAsia" w:ascii="Times New Roman" w:hAnsi="Times New Roman" w:eastAsia="宋体" w:cs="Times New Roman"/>
                <w:color w:val="auto"/>
                <w:sz w:val="18"/>
                <w:szCs w:val="18"/>
                <w:highlight w:val="none"/>
                <w:lang w:eastAsia="zh-CN"/>
              </w:rPr>
            </w:pPr>
            <w:r>
              <w:rPr>
                <w:rFonts w:hint="eastAsia" w:cs="Times New Roman"/>
                <w:color w:val="auto"/>
                <w:sz w:val="18"/>
                <w:szCs w:val="18"/>
                <w:highlight w:val="none"/>
                <w:lang w:eastAsia="zh-CN"/>
              </w:rPr>
              <w:t>二次端交流耐压试验</w:t>
            </w:r>
          </w:p>
        </w:tc>
        <w:tc>
          <w:tcPr>
            <w:tcW w:w="652" w:type="pct"/>
            <w:noWrap w:val="0"/>
            <w:vAlign w:val="center"/>
          </w:tcPr>
          <w:p w14:paraId="139EA836">
            <w:pPr>
              <w:autoSpaceDE w:val="0"/>
              <w:autoSpaceDN w:val="0"/>
              <w:jc w:val="center"/>
              <w:rPr>
                <w:rFonts w:ascii="Times New Roman" w:hAnsi="Times New Roman" w:eastAsia="宋体" w:cs="Times New Roman"/>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5BFC3B3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8.10</w:t>
            </w:r>
          </w:p>
        </w:tc>
        <w:tc>
          <w:tcPr>
            <w:tcW w:w="482" w:type="pct"/>
            <w:noWrap w:val="0"/>
            <w:vAlign w:val="center"/>
          </w:tcPr>
          <w:p w14:paraId="7A1E92B4">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8BF8C94">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1" w:type="pct"/>
            <w:noWrap w:val="0"/>
            <w:vAlign w:val="center"/>
          </w:tcPr>
          <w:p w14:paraId="52FB8678">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26" w:type="pct"/>
            <w:noWrap w:val="0"/>
            <w:vAlign w:val="center"/>
          </w:tcPr>
          <w:p w14:paraId="4CC5A519">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0C152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shd w:val="clear" w:color="auto" w:fill="auto"/>
            <w:noWrap w:val="0"/>
            <w:vAlign w:val="center"/>
          </w:tcPr>
          <w:p w14:paraId="1DDC2526">
            <w:pPr>
              <w:autoSpaceDE w:val="0"/>
              <w:autoSpaceDN w:val="0"/>
              <w:jc w:val="center"/>
              <w:rPr>
                <w:rFonts w:ascii="Times New Roman" w:hAnsi="Times New Roman" w:eastAsia="宋体" w:cs="Times New Roman"/>
                <w:color w:val="000000"/>
                <w:kern w:val="2"/>
                <w:sz w:val="18"/>
                <w:szCs w:val="18"/>
                <w:highlight w:val="none"/>
                <w:lang w:val="en-US" w:eastAsia="zh-CN" w:bidi="ar-SA"/>
              </w:rPr>
            </w:pPr>
            <w:r>
              <w:rPr>
                <w:rFonts w:ascii="Times New Roman" w:hAnsi="Times New Roman" w:eastAsia="宋体" w:cs="Times New Roman"/>
                <w:color w:val="000000"/>
                <w:sz w:val="18"/>
                <w:szCs w:val="18"/>
                <w:highlight w:val="none"/>
              </w:rPr>
              <w:t>17</w:t>
            </w:r>
          </w:p>
        </w:tc>
        <w:tc>
          <w:tcPr>
            <w:tcW w:w="1368" w:type="pct"/>
            <w:gridSpan w:val="2"/>
            <w:shd w:val="clear" w:color="auto" w:fill="auto"/>
            <w:noWrap w:val="0"/>
            <w:vAlign w:val="center"/>
          </w:tcPr>
          <w:p w14:paraId="421308F0">
            <w:pPr>
              <w:autoSpaceDE w:val="0"/>
              <w:autoSpaceDN w:val="0"/>
              <w:jc w:val="center"/>
              <w:rPr>
                <w:rFonts w:ascii="Times New Roman" w:hAnsi="Times New Roman" w:eastAsia="宋体" w:cs="Times New Roman"/>
                <w:color w:val="auto"/>
                <w:kern w:val="2"/>
                <w:sz w:val="18"/>
                <w:szCs w:val="18"/>
                <w:highlight w:val="none"/>
                <w:vertAlign w:val="superscript"/>
                <w:lang w:val="en-US" w:eastAsia="zh-CN" w:bidi="ar-SA"/>
              </w:rPr>
            </w:pPr>
            <w:r>
              <w:rPr>
                <w:rFonts w:ascii="Times New Roman" w:hAnsi="Times New Roman" w:eastAsia="宋体" w:cs="Times New Roman"/>
                <w:color w:val="auto"/>
                <w:sz w:val="18"/>
                <w:szCs w:val="18"/>
                <w:highlight w:val="none"/>
              </w:rPr>
              <w:t>标志的检验</w:t>
            </w:r>
          </w:p>
        </w:tc>
        <w:tc>
          <w:tcPr>
            <w:tcW w:w="661" w:type="pct"/>
            <w:gridSpan w:val="2"/>
            <w:shd w:val="clear" w:color="auto" w:fill="auto"/>
            <w:noWrap w:val="0"/>
            <w:vAlign w:val="center"/>
          </w:tcPr>
          <w:p w14:paraId="060243BA">
            <w:pPr>
              <w:autoSpaceDE w:val="0"/>
              <w:autoSpaceDN w:val="0"/>
              <w:jc w:val="center"/>
              <w:rPr>
                <w:rFonts w:ascii="Times New Roman" w:hAnsi="Times New Roman" w:eastAsia="宋体" w:cs="Times New Roman"/>
                <w:kern w:val="2"/>
                <w:sz w:val="18"/>
                <w:szCs w:val="18"/>
                <w:highlight w:val="none"/>
                <w:lang w:val="en-US" w:eastAsia="zh-CN" w:bidi="ar-SA"/>
              </w:rPr>
            </w:pPr>
            <w:r>
              <w:rPr>
                <w:rFonts w:ascii="Times New Roman" w:hAnsi="Times New Roman" w:eastAsia="宋体" w:cs="Times New Roman"/>
                <w:sz w:val="18"/>
                <w:szCs w:val="18"/>
                <w:highlight w:val="none"/>
              </w:rPr>
              <w:t>8.11</w:t>
            </w:r>
          </w:p>
        </w:tc>
        <w:tc>
          <w:tcPr>
            <w:tcW w:w="655" w:type="pct"/>
            <w:shd w:val="clear" w:color="auto" w:fill="auto"/>
            <w:noWrap w:val="0"/>
            <w:vAlign w:val="center"/>
          </w:tcPr>
          <w:p w14:paraId="16D875BC">
            <w:pPr>
              <w:autoSpaceDE w:val="0"/>
              <w:autoSpaceDN w:val="0"/>
              <w:jc w:val="center"/>
              <w:rPr>
                <w:rFonts w:ascii="Times New Roman" w:hAnsi="Times New Roman" w:eastAsia="宋体" w:cs="Times New Roman"/>
                <w:color w:val="000000"/>
                <w:kern w:val="2"/>
                <w:sz w:val="18"/>
                <w:szCs w:val="18"/>
                <w:highlight w:val="none"/>
                <w:lang w:val="en-US" w:eastAsia="zh-CN" w:bidi="ar-SA"/>
              </w:rPr>
            </w:pPr>
            <w:r>
              <w:rPr>
                <w:rFonts w:ascii="Times New Roman" w:hAnsi="Times New Roman" w:eastAsia="宋体" w:cs="Times New Roman"/>
                <w:color w:val="000000"/>
                <w:sz w:val="18"/>
                <w:szCs w:val="18"/>
                <w:highlight w:val="none"/>
              </w:rPr>
              <w:t>8.11</w:t>
            </w:r>
          </w:p>
        </w:tc>
        <w:tc>
          <w:tcPr>
            <w:tcW w:w="482" w:type="pct"/>
            <w:shd w:val="clear" w:color="auto" w:fill="auto"/>
            <w:noWrap w:val="0"/>
            <w:vAlign w:val="center"/>
          </w:tcPr>
          <w:p w14:paraId="0504230B">
            <w:pPr>
              <w:jc w:val="center"/>
              <w:rPr>
                <w:rFonts w:ascii="Times New Roman" w:hAnsi="Times New Roman" w:eastAsia="宋体" w:cs="Times New Roman"/>
                <w:kern w:val="2"/>
                <w:sz w:val="21"/>
                <w:szCs w:val="24"/>
                <w:highlight w:val="none"/>
                <w:lang w:val="en-US" w:eastAsia="zh-CN" w:bidi="ar-SA"/>
              </w:rPr>
            </w:pPr>
            <w:r>
              <w:rPr>
                <w:rFonts w:ascii="Times New Roman" w:hAnsi="Times New Roman" w:eastAsia="宋体" w:cs="Times New Roman"/>
                <w:color w:val="000000"/>
                <w:sz w:val="18"/>
                <w:szCs w:val="18"/>
                <w:highlight w:val="none"/>
              </w:rPr>
              <w:t>○</w:t>
            </w:r>
          </w:p>
        </w:tc>
        <w:tc>
          <w:tcPr>
            <w:tcW w:w="481" w:type="pct"/>
            <w:shd w:val="clear" w:color="auto" w:fill="auto"/>
            <w:noWrap w:val="0"/>
            <w:vAlign w:val="center"/>
          </w:tcPr>
          <w:p w14:paraId="5BD43952">
            <w:pPr>
              <w:jc w:val="center"/>
              <w:rPr>
                <w:rFonts w:ascii="Times New Roman" w:hAnsi="Times New Roman" w:eastAsia="宋体" w:cs="Times New Roman"/>
                <w:kern w:val="2"/>
                <w:sz w:val="21"/>
                <w:szCs w:val="24"/>
                <w:highlight w:val="none"/>
                <w:lang w:val="en-US" w:eastAsia="zh-CN" w:bidi="ar-SA"/>
              </w:rPr>
            </w:pPr>
            <w:r>
              <w:rPr>
                <w:rFonts w:ascii="Times New Roman" w:hAnsi="Times New Roman" w:eastAsia="宋体" w:cs="Times New Roman"/>
                <w:sz w:val="18"/>
                <w:szCs w:val="18"/>
                <w:highlight w:val="none"/>
              </w:rPr>
              <w:t>●</w:t>
            </w:r>
          </w:p>
        </w:tc>
        <w:tc>
          <w:tcPr>
            <w:tcW w:w="481" w:type="pct"/>
            <w:shd w:val="clear" w:color="auto" w:fill="auto"/>
            <w:noWrap w:val="0"/>
            <w:vAlign w:val="center"/>
          </w:tcPr>
          <w:p w14:paraId="51B2A75F">
            <w:pPr>
              <w:jc w:val="center"/>
              <w:rPr>
                <w:rFonts w:ascii="Times New Roman" w:hAnsi="Times New Roman" w:eastAsia="宋体" w:cs="Times New Roman"/>
                <w:kern w:val="2"/>
                <w:sz w:val="21"/>
                <w:szCs w:val="24"/>
                <w:highlight w:val="none"/>
                <w:lang w:val="en-US" w:eastAsia="zh-CN" w:bidi="ar-SA"/>
              </w:rPr>
            </w:pPr>
            <w:r>
              <w:rPr>
                <w:rFonts w:ascii="Times New Roman" w:hAnsi="Times New Roman" w:eastAsia="宋体" w:cs="Times New Roman"/>
                <w:color w:val="000000"/>
                <w:sz w:val="18"/>
                <w:szCs w:val="18"/>
                <w:highlight w:val="none"/>
              </w:rPr>
              <w:t>○</w:t>
            </w:r>
          </w:p>
        </w:tc>
        <w:tc>
          <w:tcPr>
            <w:tcW w:w="526" w:type="pct"/>
            <w:shd w:val="clear" w:color="auto" w:fill="auto"/>
            <w:noWrap w:val="0"/>
            <w:vAlign w:val="center"/>
          </w:tcPr>
          <w:p w14:paraId="0329CA38">
            <w:pPr>
              <w:jc w:val="center"/>
              <w:rPr>
                <w:rFonts w:ascii="Times New Roman" w:hAnsi="Times New Roman" w:eastAsia="宋体" w:cs="Times New Roman"/>
                <w:kern w:val="2"/>
                <w:sz w:val="21"/>
                <w:szCs w:val="24"/>
                <w:highlight w:val="none"/>
                <w:lang w:val="en-US" w:eastAsia="zh-CN" w:bidi="ar-SA"/>
              </w:rPr>
            </w:pPr>
            <w:r>
              <w:rPr>
                <w:rFonts w:ascii="Times New Roman" w:hAnsi="Times New Roman" w:eastAsia="宋体" w:cs="Times New Roman"/>
                <w:sz w:val="18"/>
                <w:szCs w:val="18"/>
                <w:highlight w:val="none"/>
              </w:rPr>
              <w:t>●</w:t>
            </w:r>
          </w:p>
        </w:tc>
      </w:tr>
      <w:tr w14:paraId="515B5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5D9F15FB">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18</w:t>
            </w:r>
          </w:p>
        </w:tc>
        <w:tc>
          <w:tcPr>
            <w:tcW w:w="1368" w:type="pct"/>
            <w:gridSpan w:val="2"/>
            <w:noWrap w:val="0"/>
            <w:vAlign w:val="center"/>
          </w:tcPr>
          <w:p w14:paraId="010D25A6">
            <w:pPr>
              <w:autoSpaceDE w:val="0"/>
              <w:autoSpaceDN w:val="0"/>
              <w:jc w:val="center"/>
              <w:rPr>
                <w:rFonts w:hint="eastAsia" w:ascii="Times New Roman" w:hAnsi="Times New Roman" w:eastAsia="宋体" w:cs="Times New Roman"/>
                <w:color w:val="auto"/>
                <w:sz w:val="18"/>
                <w:szCs w:val="18"/>
                <w:highlight w:val="none"/>
                <w:lang w:eastAsia="zh-CN"/>
              </w:rPr>
            </w:pPr>
            <w:r>
              <w:rPr>
                <w:rFonts w:ascii="Times New Roman" w:hAnsi="Times New Roman" w:eastAsia="宋体" w:cs="Times New Roman"/>
                <w:color w:val="auto"/>
                <w:sz w:val="18"/>
                <w:szCs w:val="18"/>
                <w:highlight w:val="none"/>
              </w:rPr>
              <w:t>绝缘</w:t>
            </w:r>
            <w:bookmarkStart w:id="315" w:name="bkReivew63103"/>
            <w:r>
              <w:rPr>
                <w:rFonts w:ascii="Times New Roman" w:hAnsi="Times New Roman" w:eastAsia="宋体" w:cs="Times New Roman"/>
                <w:color w:val="auto"/>
                <w:sz w:val="18"/>
                <w:szCs w:val="18"/>
                <w:highlight w:val="none"/>
              </w:rPr>
              <w:t>油性</w:t>
            </w:r>
            <w:bookmarkEnd w:id="315"/>
            <w:r>
              <w:rPr>
                <w:rFonts w:ascii="Times New Roman" w:hAnsi="Times New Roman" w:eastAsia="宋体" w:cs="Times New Roman"/>
                <w:color w:val="auto"/>
                <w:sz w:val="18"/>
                <w:szCs w:val="18"/>
                <w:highlight w:val="none"/>
              </w:rPr>
              <w:t>能试验</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适用于油纸绝缘产品</w:t>
            </w:r>
            <w:r>
              <w:rPr>
                <w:rFonts w:hint="eastAsia" w:cs="Times New Roman"/>
                <w:color w:val="auto"/>
                <w:sz w:val="18"/>
                <w:szCs w:val="18"/>
                <w:highlight w:val="none"/>
                <w:lang w:eastAsia="zh-CN"/>
              </w:rPr>
              <w:t>）</w:t>
            </w:r>
          </w:p>
        </w:tc>
        <w:tc>
          <w:tcPr>
            <w:tcW w:w="661" w:type="pct"/>
            <w:gridSpan w:val="2"/>
            <w:noWrap w:val="0"/>
            <w:vAlign w:val="center"/>
          </w:tcPr>
          <w:p w14:paraId="4F6B59A3">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91B28C5">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8.12</w:t>
            </w:r>
          </w:p>
        </w:tc>
        <w:tc>
          <w:tcPr>
            <w:tcW w:w="482" w:type="pct"/>
            <w:noWrap w:val="0"/>
            <w:vAlign w:val="center"/>
          </w:tcPr>
          <w:p w14:paraId="1B918164">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52C203F8">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1" w:type="pct"/>
            <w:noWrap w:val="0"/>
            <w:vAlign w:val="center"/>
          </w:tcPr>
          <w:p w14:paraId="32DB6793">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26" w:type="pct"/>
            <w:noWrap w:val="0"/>
            <w:vAlign w:val="center"/>
          </w:tcPr>
          <w:p w14:paraId="1B0715F0">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36D3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39BB1DE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19</w:t>
            </w:r>
          </w:p>
        </w:tc>
        <w:tc>
          <w:tcPr>
            <w:tcW w:w="1368" w:type="pct"/>
            <w:gridSpan w:val="2"/>
            <w:noWrap w:val="0"/>
            <w:vAlign w:val="center"/>
          </w:tcPr>
          <w:p w14:paraId="0A6F6822">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绝缘电阻测量</w:t>
            </w:r>
          </w:p>
        </w:tc>
        <w:tc>
          <w:tcPr>
            <w:tcW w:w="661" w:type="pct"/>
            <w:gridSpan w:val="2"/>
            <w:noWrap w:val="0"/>
            <w:vAlign w:val="center"/>
          </w:tcPr>
          <w:p w14:paraId="155C5C7F">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7229D9F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8.13</w:t>
            </w:r>
          </w:p>
        </w:tc>
        <w:tc>
          <w:tcPr>
            <w:tcW w:w="482" w:type="pct"/>
            <w:noWrap w:val="0"/>
            <w:vAlign w:val="center"/>
          </w:tcPr>
          <w:p w14:paraId="044A3B9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1DE35405">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1" w:type="pct"/>
            <w:noWrap w:val="0"/>
            <w:vAlign w:val="center"/>
          </w:tcPr>
          <w:p w14:paraId="2B32E17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26" w:type="pct"/>
            <w:noWrap w:val="0"/>
            <w:vAlign w:val="center"/>
          </w:tcPr>
          <w:p w14:paraId="052B65A7">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59925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4A4DBB09">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20</w:t>
            </w:r>
          </w:p>
        </w:tc>
        <w:tc>
          <w:tcPr>
            <w:tcW w:w="1368" w:type="pct"/>
            <w:gridSpan w:val="2"/>
            <w:noWrap w:val="0"/>
            <w:vAlign w:val="center"/>
          </w:tcPr>
          <w:p w14:paraId="410515ED">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绕组直流电阻测量</w:t>
            </w:r>
          </w:p>
        </w:tc>
        <w:tc>
          <w:tcPr>
            <w:tcW w:w="661" w:type="pct"/>
            <w:gridSpan w:val="2"/>
            <w:noWrap w:val="0"/>
            <w:vAlign w:val="center"/>
          </w:tcPr>
          <w:p w14:paraId="0DD7B97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EA0B795">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sz w:val="18"/>
                <w:szCs w:val="18"/>
                <w:highlight w:val="none"/>
              </w:rPr>
              <w:t>8.14</w:t>
            </w:r>
          </w:p>
        </w:tc>
        <w:tc>
          <w:tcPr>
            <w:tcW w:w="482" w:type="pct"/>
            <w:noWrap w:val="0"/>
            <w:vAlign w:val="center"/>
          </w:tcPr>
          <w:p w14:paraId="367EA7F0">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4CF839B4">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481" w:type="pct"/>
            <w:noWrap w:val="0"/>
            <w:vAlign w:val="center"/>
          </w:tcPr>
          <w:p w14:paraId="6BC2259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526" w:type="pct"/>
            <w:noWrap w:val="0"/>
            <w:vAlign w:val="center"/>
          </w:tcPr>
          <w:p w14:paraId="7FE72CD2">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r>
      <w:tr w14:paraId="0046C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39AE638C">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21</w:t>
            </w:r>
          </w:p>
        </w:tc>
        <w:tc>
          <w:tcPr>
            <w:tcW w:w="1368" w:type="pct"/>
            <w:gridSpan w:val="2"/>
            <w:noWrap w:val="0"/>
            <w:vAlign w:val="center"/>
          </w:tcPr>
          <w:p w14:paraId="30B50135">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一次</w:t>
            </w:r>
            <w:bookmarkStart w:id="316" w:name="bkReivew3100132"/>
            <w:r>
              <w:rPr>
                <w:rFonts w:ascii="Times New Roman" w:hAnsi="Times New Roman" w:eastAsia="宋体" w:cs="Times New Roman"/>
                <w:color w:val="auto"/>
                <w:sz w:val="18"/>
                <w:szCs w:val="18"/>
                <w:highlight w:val="none"/>
              </w:rPr>
              <w:t>端</w:t>
            </w:r>
            <w:bookmarkEnd w:id="316"/>
            <w:r>
              <w:rPr>
                <w:rFonts w:ascii="Times New Roman" w:hAnsi="Times New Roman" w:eastAsia="宋体" w:cs="Times New Roman"/>
                <w:color w:val="auto"/>
                <w:sz w:val="18"/>
                <w:szCs w:val="18"/>
                <w:highlight w:val="none"/>
              </w:rPr>
              <w:t>多次截</w:t>
            </w:r>
            <w:bookmarkStart w:id="317" w:name="bkReivew3060743"/>
            <w:r>
              <w:rPr>
                <w:rFonts w:ascii="Times New Roman" w:hAnsi="Times New Roman" w:eastAsia="宋体" w:cs="Times New Roman"/>
                <w:color w:val="auto"/>
                <w:sz w:val="18"/>
                <w:szCs w:val="18"/>
                <w:highlight w:val="none"/>
              </w:rPr>
              <w:t>断</w:t>
            </w:r>
            <w:bookmarkEnd w:id="317"/>
            <w:r>
              <w:rPr>
                <w:rFonts w:ascii="Times New Roman" w:hAnsi="Times New Roman" w:eastAsia="宋体" w:cs="Times New Roman"/>
                <w:color w:val="auto"/>
                <w:sz w:val="18"/>
                <w:szCs w:val="18"/>
                <w:highlight w:val="none"/>
              </w:rPr>
              <w:t>冲击试验</w:t>
            </w:r>
          </w:p>
        </w:tc>
        <w:tc>
          <w:tcPr>
            <w:tcW w:w="661" w:type="pct"/>
            <w:gridSpan w:val="2"/>
            <w:noWrap w:val="0"/>
            <w:vAlign w:val="center"/>
          </w:tcPr>
          <w:p w14:paraId="7056E02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3767391D">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53C1A46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41BEE6C">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D9EA628">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6C90111C">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4844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6736774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22</w:t>
            </w:r>
          </w:p>
        </w:tc>
        <w:tc>
          <w:tcPr>
            <w:tcW w:w="1368" w:type="pct"/>
            <w:gridSpan w:val="2"/>
            <w:noWrap w:val="0"/>
            <w:vAlign w:val="center"/>
          </w:tcPr>
          <w:p w14:paraId="6578D6CE">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传递过电压试验</w:t>
            </w:r>
          </w:p>
        </w:tc>
        <w:tc>
          <w:tcPr>
            <w:tcW w:w="661" w:type="pct"/>
            <w:gridSpan w:val="2"/>
            <w:noWrap w:val="0"/>
            <w:vAlign w:val="center"/>
          </w:tcPr>
          <w:p w14:paraId="1EFAFD66">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7416ADB">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2983651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471C9872">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00CE22C3">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0397DD2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2CB5C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5D63720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23</w:t>
            </w:r>
          </w:p>
        </w:tc>
        <w:tc>
          <w:tcPr>
            <w:tcW w:w="1368" w:type="pct"/>
            <w:gridSpan w:val="2"/>
            <w:noWrap w:val="0"/>
            <w:vAlign w:val="center"/>
          </w:tcPr>
          <w:p w14:paraId="525830CA">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机械强度试验</w:t>
            </w:r>
          </w:p>
        </w:tc>
        <w:tc>
          <w:tcPr>
            <w:tcW w:w="661" w:type="pct"/>
            <w:gridSpan w:val="2"/>
            <w:noWrap w:val="0"/>
            <w:vAlign w:val="center"/>
          </w:tcPr>
          <w:p w14:paraId="4B85E64C">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3396662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4BA1091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27FCC871">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716F29C">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557EC8B3">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18328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79658FFA">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24</w:t>
            </w:r>
          </w:p>
        </w:tc>
        <w:tc>
          <w:tcPr>
            <w:tcW w:w="1368" w:type="pct"/>
            <w:gridSpan w:val="2"/>
            <w:noWrap w:val="0"/>
            <w:vAlign w:val="center"/>
          </w:tcPr>
          <w:p w14:paraId="0C47720A">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内部电弧故障试验</w:t>
            </w:r>
          </w:p>
        </w:tc>
        <w:tc>
          <w:tcPr>
            <w:tcW w:w="661" w:type="pct"/>
            <w:gridSpan w:val="2"/>
            <w:noWrap w:val="0"/>
            <w:vAlign w:val="center"/>
          </w:tcPr>
          <w:p w14:paraId="0590A7C5">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3E99E114">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784E7ECD">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5956A2A">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09F17B16">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619B160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0B0D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6883B43D">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25</w:t>
            </w:r>
          </w:p>
        </w:tc>
        <w:tc>
          <w:tcPr>
            <w:tcW w:w="1368" w:type="pct"/>
            <w:gridSpan w:val="2"/>
            <w:noWrap w:val="0"/>
            <w:vAlign w:val="center"/>
          </w:tcPr>
          <w:p w14:paraId="764FDFA9">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低温和高温下的密封性能试验（适用于气体绝缘产品）</w:t>
            </w:r>
          </w:p>
        </w:tc>
        <w:tc>
          <w:tcPr>
            <w:tcW w:w="661" w:type="pct"/>
            <w:gridSpan w:val="2"/>
            <w:noWrap w:val="0"/>
            <w:vAlign w:val="center"/>
          </w:tcPr>
          <w:p w14:paraId="6D38B72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2EF58778">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58471DCD">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55D69074">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553443C7">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4DBEF619">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67CDC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09F2F8E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26</w:t>
            </w:r>
          </w:p>
        </w:tc>
        <w:tc>
          <w:tcPr>
            <w:tcW w:w="1368" w:type="pct"/>
            <w:gridSpan w:val="2"/>
            <w:noWrap w:val="0"/>
            <w:vAlign w:val="center"/>
          </w:tcPr>
          <w:p w14:paraId="51DC0913">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腐蚀试验</w:t>
            </w:r>
          </w:p>
        </w:tc>
        <w:tc>
          <w:tcPr>
            <w:tcW w:w="661" w:type="pct"/>
            <w:gridSpan w:val="2"/>
            <w:noWrap w:val="0"/>
            <w:vAlign w:val="center"/>
          </w:tcPr>
          <w:p w14:paraId="6CC729DF">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96ACBC7">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33A02A96">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7865E13B">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39EB6B54">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56629C96">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663BD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 w:type="pct"/>
            <w:noWrap w:val="0"/>
            <w:vAlign w:val="center"/>
          </w:tcPr>
          <w:p w14:paraId="4D4441E2">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27</w:t>
            </w:r>
          </w:p>
        </w:tc>
        <w:tc>
          <w:tcPr>
            <w:tcW w:w="1368" w:type="pct"/>
            <w:gridSpan w:val="2"/>
            <w:noWrap w:val="0"/>
            <w:vAlign w:val="center"/>
          </w:tcPr>
          <w:p w14:paraId="7E32A022">
            <w:pPr>
              <w:autoSpaceDE w:val="0"/>
              <w:autoSpaceDN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着火危险试验</w:t>
            </w:r>
          </w:p>
        </w:tc>
        <w:tc>
          <w:tcPr>
            <w:tcW w:w="661" w:type="pct"/>
            <w:gridSpan w:val="2"/>
            <w:noWrap w:val="0"/>
            <w:vAlign w:val="center"/>
          </w:tcPr>
          <w:p w14:paraId="13405A7B">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655" w:type="pct"/>
            <w:noWrap w:val="0"/>
            <w:vAlign w:val="center"/>
          </w:tcPr>
          <w:p w14:paraId="12E5C351">
            <w:pPr>
              <w:autoSpaceDE w:val="0"/>
              <w:autoSpaceDN w:val="0"/>
              <w:jc w:val="center"/>
              <w:rPr>
                <w:rFonts w:ascii="Times New Roman" w:hAnsi="Times New Roman" w:eastAsia="宋体" w:cs="Times New Roman"/>
                <w:color w:val="000000"/>
                <w:sz w:val="18"/>
                <w:szCs w:val="18"/>
                <w:highlight w:val="none"/>
              </w:rPr>
            </w:pPr>
            <w:r>
              <w:rPr>
                <w:rFonts w:ascii="Times New Roman" w:hAnsi="Times New Roman" w:eastAsia="宋体" w:cs="Times New Roman"/>
                <w:color w:val="000000"/>
                <w:sz w:val="18"/>
                <w:szCs w:val="18"/>
                <w:highlight w:val="none"/>
              </w:rPr>
              <w:t>GB/T 22071.2</w:t>
            </w:r>
          </w:p>
        </w:tc>
        <w:tc>
          <w:tcPr>
            <w:tcW w:w="482" w:type="pct"/>
            <w:noWrap w:val="0"/>
            <w:vAlign w:val="center"/>
          </w:tcPr>
          <w:p w14:paraId="0F57F48E">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0EB09535">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c>
          <w:tcPr>
            <w:tcW w:w="481" w:type="pct"/>
            <w:noWrap w:val="0"/>
            <w:vAlign w:val="center"/>
          </w:tcPr>
          <w:p w14:paraId="4ED9B04A">
            <w:pPr>
              <w:jc w:val="center"/>
              <w:rPr>
                <w:rFonts w:ascii="Times New Roman" w:hAnsi="Times New Roman" w:eastAsia="宋体" w:cs="Times New Roman"/>
                <w:highlight w:val="none"/>
              </w:rPr>
            </w:pPr>
            <w:r>
              <w:rPr>
                <w:rFonts w:ascii="Times New Roman" w:hAnsi="Times New Roman" w:eastAsia="宋体" w:cs="Times New Roman"/>
                <w:sz w:val="18"/>
                <w:szCs w:val="18"/>
                <w:highlight w:val="none"/>
              </w:rPr>
              <w:t>●</w:t>
            </w:r>
          </w:p>
        </w:tc>
        <w:tc>
          <w:tcPr>
            <w:tcW w:w="526" w:type="pct"/>
            <w:noWrap w:val="0"/>
            <w:vAlign w:val="center"/>
          </w:tcPr>
          <w:p w14:paraId="6C488369">
            <w:pPr>
              <w:jc w:val="center"/>
              <w:rPr>
                <w:rFonts w:ascii="Times New Roman" w:hAnsi="Times New Roman" w:eastAsia="宋体" w:cs="Times New Roman"/>
                <w:highlight w:val="none"/>
              </w:rPr>
            </w:pPr>
            <w:r>
              <w:rPr>
                <w:rFonts w:ascii="Times New Roman" w:hAnsi="Times New Roman" w:eastAsia="宋体" w:cs="Times New Roman"/>
                <w:color w:val="000000"/>
                <w:sz w:val="18"/>
                <w:szCs w:val="18"/>
                <w:highlight w:val="none"/>
              </w:rPr>
              <w:t>○</w:t>
            </w:r>
          </w:p>
        </w:tc>
      </w:tr>
      <w:tr w14:paraId="205E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0"/>
            <w:noWrap w:val="0"/>
            <w:vAlign w:val="center"/>
          </w:tcPr>
          <w:p w14:paraId="46018498">
            <w:pPr>
              <w:widowControl w:val="0"/>
              <w:numPr>
                <w:ilvl w:val="0"/>
                <w:numId w:val="21"/>
              </w:numPr>
              <w:tabs>
                <w:tab w:val="left" w:pos="360"/>
              </w:tabs>
              <w:autoSpaceDE w:val="0"/>
              <w:autoSpaceDN w:val="0"/>
              <w:spacing w:before="78" w:after="78"/>
              <w:ind w:left="1050"/>
              <w:jc w:val="both"/>
              <w:rPr>
                <w:rFonts w:ascii="Times New Roman" w:hAnsi="Times New Roman" w:eastAsia="宋体" w:cs="Times New Roman"/>
                <w:sz w:val="18"/>
                <w:szCs w:val="18"/>
                <w:highlight w:val="none"/>
                <w:lang w:val="en-US" w:eastAsia="zh-CN" w:bidi="ar-SA"/>
              </w:rPr>
            </w:pPr>
            <w:r>
              <w:rPr>
                <w:rFonts w:ascii="Times New Roman" w:hAnsi="Times New Roman" w:eastAsia="宋体" w:cs="Times New Roman"/>
                <w:sz w:val="18"/>
                <w:szCs w:val="18"/>
                <w:highlight w:val="none"/>
                <w:lang w:val="en-US" w:eastAsia="zh-CN" w:bidi="ar-SA"/>
              </w:rPr>
              <w:t>“●”表示必须做试验项目；“○”表示不做试验项目。</w:t>
            </w:r>
          </w:p>
        </w:tc>
      </w:tr>
    </w:tbl>
    <w:p w14:paraId="335B2B89">
      <w:pPr>
        <w:pStyle w:val="260"/>
        <w:bidi w:val="0"/>
        <w:ind w:left="710" w:leftChars="0" w:hanging="710" w:firstLineChars="0"/>
        <w:rPr>
          <w:highlight w:val="none"/>
          <w:lang w:val="en-US" w:eastAsia="zh-CN"/>
        </w:rPr>
      </w:pPr>
      <w:bookmarkStart w:id="318" w:name="_Toc22999"/>
      <w:bookmarkStart w:id="319" w:name="_Toc170918053"/>
      <w:bookmarkStart w:id="320" w:name="_Toc2345"/>
      <w:r>
        <w:rPr>
          <w:highlight w:val="none"/>
          <w:lang w:val="en-US" w:eastAsia="zh-CN"/>
        </w:rPr>
        <w:t>准确度试验</w:t>
      </w:r>
      <w:bookmarkEnd w:id="318"/>
      <w:bookmarkEnd w:id="319"/>
      <w:bookmarkEnd w:id="320"/>
      <w:bookmarkStart w:id="321" w:name="pindex966"/>
      <w:bookmarkEnd w:id="321"/>
    </w:p>
    <w:p w14:paraId="4D34C528">
      <w:pPr>
        <w:ind w:firstLine="420" w:firstLineChars="200"/>
        <w:jc w:val="both"/>
        <w:rPr>
          <w:rFonts w:ascii="Times New Roman" w:hAnsi="Times New Roman" w:eastAsia="宋体" w:cs="Times New Roman"/>
          <w:color w:val="000000"/>
          <w:sz w:val="21"/>
          <w:highlight w:val="none"/>
          <w:lang w:val="en-US" w:eastAsia="zh-CN" w:bidi="ar-SA"/>
        </w:rPr>
      </w:pPr>
      <w:bookmarkStart w:id="322" w:name="sys967038"/>
      <w:r>
        <w:rPr>
          <w:rFonts w:ascii="Times New Roman" w:hAnsi="Times New Roman" w:eastAsia="宋体" w:cs="Times New Roman"/>
          <w:color w:val="000000"/>
          <w:sz w:val="21"/>
          <w:highlight w:val="none"/>
          <w:lang w:val="en-US" w:eastAsia="zh-CN" w:bidi="ar-SA"/>
        </w:rPr>
        <w:t>准确度试验作为型式试验和例行试验项目，应满足GB/T 22071.2的要求</w:t>
      </w:r>
      <w:bookmarkEnd w:id="322"/>
      <w:bookmarkStart w:id="323" w:name="sys9678543"/>
      <w:r>
        <w:rPr>
          <w:rFonts w:ascii="Times New Roman" w:hAnsi="Times New Roman" w:eastAsia="宋体" w:cs="Times New Roman"/>
          <w:color w:val="000000"/>
          <w:sz w:val="21"/>
          <w:highlight w:val="none"/>
          <w:lang w:val="en-US" w:eastAsia="zh-CN" w:bidi="ar-SA"/>
        </w:rPr>
        <w:t>。</w:t>
      </w:r>
      <w:bookmarkEnd w:id="323"/>
    </w:p>
    <w:p w14:paraId="25EC41B9">
      <w:pPr>
        <w:pStyle w:val="260"/>
        <w:bidi w:val="0"/>
        <w:ind w:left="710" w:leftChars="0" w:hanging="710" w:firstLineChars="0"/>
        <w:rPr>
          <w:highlight w:val="none"/>
          <w:lang w:val="en-US" w:eastAsia="zh-CN"/>
        </w:rPr>
      </w:pPr>
      <w:bookmarkStart w:id="324" w:name="_Toc170918054"/>
      <w:bookmarkStart w:id="325" w:name="_Toc18284"/>
      <w:bookmarkStart w:id="326" w:name="_Toc4399"/>
      <w:r>
        <w:rPr>
          <w:highlight w:val="none"/>
          <w:lang w:val="en-US" w:eastAsia="zh-CN"/>
        </w:rPr>
        <w:t>环境温度下密封性能试验</w:t>
      </w:r>
      <w:bookmarkEnd w:id="324"/>
      <w:bookmarkEnd w:id="325"/>
      <w:bookmarkEnd w:id="326"/>
      <w:bookmarkStart w:id="327" w:name="pindex968"/>
      <w:bookmarkEnd w:id="327"/>
    </w:p>
    <w:p w14:paraId="3D014107">
      <w:pPr>
        <w:tabs>
          <w:tab w:val="center" w:pos="4201"/>
          <w:tab w:val="right" w:leader="dot" w:pos="9298"/>
        </w:tabs>
        <w:ind w:firstLine="420" w:firstLineChars="200"/>
        <w:jc w:val="both"/>
        <w:rPr>
          <w:rFonts w:ascii="Times New Roman" w:hAnsi="Times New Roman" w:eastAsia="宋体" w:cs="Times New Roman"/>
          <w:sz w:val="21"/>
          <w:highlight w:val="none"/>
          <w:lang w:val="en-US" w:eastAsia="zh-CN" w:bidi="ar-SA"/>
        </w:rPr>
      </w:pPr>
      <w:bookmarkStart w:id="328" w:name="sys969044"/>
      <w:r>
        <w:rPr>
          <w:rFonts w:ascii="Times New Roman" w:hAnsi="Times New Roman" w:eastAsia="宋体" w:cs="Times New Roman"/>
          <w:sz w:val="21"/>
          <w:highlight w:val="none"/>
          <w:lang w:val="en-US" w:eastAsia="zh-CN" w:bidi="ar-SA"/>
        </w:rPr>
        <w:t>环境温度下密封性能试验，作为型式试验和例行试验项目应满足GB/T 22071.2的要求。</w:t>
      </w:r>
      <w:bookmarkEnd w:id="328"/>
    </w:p>
    <w:p w14:paraId="1BE95D6A">
      <w:pPr>
        <w:ind w:firstLine="420" w:firstLineChars="20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密封性能检查作为交接试验项目，油浸式电压互感器外表应无可见油渍现象，气体绝缘电压互感器定性检漏应无泄漏点，定性检漏方法应符合GB/T 11023的要求，怀疑有泄漏点时应进行定量检漏，定量检漏方法应符合GB/T 11023的要</w:t>
      </w:r>
      <w:r>
        <w:rPr>
          <w:rFonts w:ascii="Times New Roman" w:hAnsi="Times New Roman" w:eastAsia="宋体" w:cs="Times New Roman"/>
          <w:color w:val="auto"/>
          <w:sz w:val="21"/>
          <w:highlight w:val="none"/>
          <w:lang w:val="en-US" w:eastAsia="zh-CN" w:bidi="ar-SA"/>
        </w:rPr>
        <w:t>求，年</w:t>
      </w:r>
      <w:bookmarkStart w:id="329" w:name="bkReivew1102005"/>
      <w:r>
        <w:rPr>
          <w:rFonts w:ascii="Times New Roman" w:hAnsi="Times New Roman" w:eastAsia="宋体" w:cs="Times New Roman"/>
          <w:color w:val="auto"/>
          <w:sz w:val="21"/>
          <w:highlight w:val="none"/>
          <w:lang w:val="en-US" w:eastAsia="zh-CN" w:bidi="ar-SA"/>
        </w:rPr>
        <w:t>泄漏率</w:t>
      </w:r>
      <w:bookmarkEnd w:id="329"/>
      <w:r>
        <w:rPr>
          <w:rFonts w:ascii="Times New Roman" w:hAnsi="Times New Roman" w:eastAsia="宋体" w:cs="Times New Roman"/>
          <w:color w:val="auto"/>
          <w:sz w:val="21"/>
          <w:highlight w:val="none"/>
          <w:lang w:val="en-US" w:eastAsia="zh-CN" w:bidi="ar-SA"/>
        </w:rPr>
        <w:t>应小于</w:t>
      </w:r>
      <w:r>
        <w:rPr>
          <w:rFonts w:hint="eastAsia" w:cs="Times New Roman"/>
          <w:color w:val="auto"/>
          <w:sz w:val="21"/>
          <w:highlight w:val="none"/>
          <w:lang w:val="en-US" w:eastAsia="zh-CN" w:bidi="ar-SA"/>
        </w:rPr>
        <w:t>0.5</w:t>
      </w:r>
      <w:r>
        <w:rPr>
          <w:rFonts w:ascii="Times New Roman" w:hAnsi="Times New Roman" w:eastAsia="宋体" w:cs="Times New Roman"/>
          <w:color w:val="auto"/>
          <w:sz w:val="21"/>
          <w:highlight w:val="none"/>
          <w:lang w:val="en-US" w:eastAsia="zh-CN" w:bidi="ar-SA"/>
        </w:rPr>
        <w:t>%。</w:t>
      </w:r>
    </w:p>
    <w:p w14:paraId="2B9AC422">
      <w:pPr>
        <w:pStyle w:val="260"/>
        <w:bidi w:val="0"/>
        <w:ind w:left="710" w:leftChars="0" w:hanging="710" w:firstLineChars="0"/>
        <w:rPr>
          <w:highlight w:val="none"/>
          <w:lang w:val="en-US" w:eastAsia="zh-CN"/>
        </w:rPr>
      </w:pPr>
      <w:bookmarkStart w:id="330" w:name="_Toc25647"/>
      <w:bookmarkStart w:id="331" w:name="_Toc7597"/>
      <w:bookmarkStart w:id="332" w:name="_Toc170918055"/>
      <w:r>
        <w:rPr>
          <w:highlight w:val="none"/>
          <w:lang w:val="en-US" w:eastAsia="zh-CN"/>
        </w:rPr>
        <w:t>励磁特性测量</w:t>
      </w:r>
      <w:bookmarkEnd w:id="330"/>
      <w:bookmarkEnd w:id="331"/>
      <w:bookmarkEnd w:id="332"/>
      <w:bookmarkStart w:id="333" w:name="pindex971"/>
      <w:bookmarkEnd w:id="333"/>
    </w:p>
    <w:p w14:paraId="11C15FBC">
      <w:pPr>
        <w:ind w:firstLine="420" w:firstLineChars="200"/>
        <w:jc w:val="both"/>
        <w:rPr>
          <w:rFonts w:ascii="Times New Roman" w:hAnsi="Times New Roman" w:eastAsia="宋体" w:cs="Times New Roman"/>
          <w:sz w:val="21"/>
          <w:highlight w:val="none"/>
          <w:lang w:val="en-US" w:eastAsia="zh-CN" w:bidi="ar-SA"/>
        </w:rPr>
      </w:pPr>
      <w:bookmarkStart w:id="334" w:name="sys972041"/>
      <w:r>
        <w:rPr>
          <w:rFonts w:ascii="Times New Roman" w:hAnsi="Times New Roman" w:eastAsia="宋体" w:cs="Times New Roman"/>
          <w:sz w:val="21"/>
          <w:highlight w:val="none"/>
          <w:lang w:val="en-US" w:eastAsia="zh-CN" w:bidi="ar-SA"/>
        </w:rPr>
        <w:t>励磁特性测量作为例行试验项目和型式试验项目，应满足</w:t>
      </w:r>
      <w:r>
        <w:rPr>
          <w:rFonts w:ascii="Times New Roman" w:hAnsi="Times New Roman" w:eastAsia="宋体" w:cs="Times New Roman"/>
          <w:color w:val="000000"/>
          <w:sz w:val="21"/>
          <w:highlight w:val="none"/>
          <w:lang w:val="en-US" w:eastAsia="zh-CN" w:bidi="ar-SA"/>
        </w:rPr>
        <w:t>GB/T 22071.2的要求</w:t>
      </w:r>
      <w:bookmarkEnd w:id="334"/>
      <w:r>
        <w:rPr>
          <w:rFonts w:hint="eastAsia" w:ascii="Times New Roman" w:hAnsi="Times New Roman" w:eastAsia="宋体" w:cs="Times New Roman"/>
          <w:color w:val="000000"/>
          <w:sz w:val="21"/>
          <w:highlight w:val="none"/>
          <w:lang w:val="en-US" w:eastAsia="zh-CN" w:bidi="ar-SA"/>
        </w:rPr>
        <w:t>。</w:t>
      </w:r>
    </w:p>
    <w:p w14:paraId="59A14DF5">
      <w:pPr>
        <w:pStyle w:val="260"/>
        <w:bidi w:val="0"/>
        <w:ind w:left="710" w:leftChars="0" w:hanging="710" w:firstLineChars="0"/>
        <w:rPr>
          <w:highlight w:val="none"/>
          <w:lang w:val="en-US" w:eastAsia="zh-CN"/>
        </w:rPr>
      </w:pPr>
      <w:bookmarkStart w:id="335" w:name="_Toc170918056"/>
      <w:bookmarkStart w:id="336" w:name="_Toc23421"/>
      <w:bookmarkStart w:id="337" w:name="_Toc22276"/>
      <w:r>
        <w:rPr>
          <w:highlight w:val="none"/>
          <w:lang w:val="en-US" w:eastAsia="zh-CN"/>
        </w:rPr>
        <w:t>气体露点测量（适用于气体绝缘产品）</w:t>
      </w:r>
      <w:bookmarkEnd w:id="335"/>
      <w:bookmarkEnd w:id="336"/>
      <w:bookmarkEnd w:id="337"/>
      <w:bookmarkStart w:id="338" w:name="pindex973"/>
      <w:bookmarkEnd w:id="338"/>
    </w:p>
    <w:p w14:paraId="37104E1D">
      <w:pPr>
        <w:ind w:firstLine="420" w:firstLineChars="200"/>
        <w:jc w:val="both"/>
        <w:rPr>
          <w:rFonts w:ascii="Times New Roman" w:hAnsi="Times New Roman" w:eastAsia="宋体" w:cs="Times New Roman"/>
          <w:sz w:val="21"/>
          <w:highlight w:val="none"/>
          <w:lang w:val="en-US" w:eastAsia="zh-CN" w:bidi="ar-SA"/>
        </w:rPr>
      </w:pPr>
      <w:bookmarkStart w:id="339" w:name="sys974054"/>
      <w:r>
        <w:rPr>
          <w:rFonts w:ascii="Times New Roman" w:hAnsi="Times New Roman" w:eastAsia="宋体" w:cs="Times New Roman"/>
          <w:sz w:val="21"/>
          <w:highlight w:val="none"/>
          <w:lang w:val="en-US" w:eastAsia="zh-CN" w:bidi="ar-SA"/>
        </w:rPr>
        <w:t>气体露点测量，作为例行试验项目应满足6.12.1的要求，作为交接试验项目应满足GB 50150的要求。</w:t>
      </w:r>
      <w:bookmarkEnd w:id="339"/>
    </w:p>
    <w:p w14:paraId="6653B69A">
      <w:pPr>
        <w:pStyle w:val="260"/>
        <w:bidi w:val="0"/>
        <w:ind w:left="710" w:leftChars="0" w:hanging="710" w:firstLineChars="0"/>
        <w:rPr>
          <w:highlight w:val="none"/>
          <w:lang w:val="en-US" w:eastAsia="zh-CN"/>
        </w:rPr>
      </w:pPr>
      <w:bookmarkStart w:id="340" w:name="pindex975"/>
      <w:bookmarkEnd w:id="340"/>
      <w:bookmarkStart w:id="341" w:name="_Toc17730"/>
      <w:r>
        <w:rPr>
          <w:rFonts w:hint="eastAsia"/>
          <w:highlight w:val="none"/>
          <w:lang w:val="en-US" w:eastAsia="zh-CN"/>
        </w:rPr>
        <w:t>一次端交流耐压试验</w:t>
      </w:r>
      <w:bookmarkEnd w:id="341"/>
    </w:p>
    <w:p w14:paraId="288F64C2">
      <w:pPr>
        <w:ind w:firstLine="420" w:firstLineChars="200"/>
        <w:jc w:val="both"/>
        <w:rPr>
          <w:rFonts w:ascii="Times New Roman" w:hAnsi="Times New Roman" w:eastAsia="宋体" w:cs="Times New Roman"/>
          <w:sz w:val="21"/>
          <w:highlight w:val="none"/>
          <w:lang w:val="en-US" w:eastAsia="zh-CN" w:bidi="ar-SA"/>
        </w:rPr>
      </w:pPr>
      <w:bookmarkStart w:id="342" w:name="sys976060"/>
      <w:r>
        <w:rPr>
          <w:rFonts w:hint="eastAsia" w:cs="Times New Roman"/>
          <w:sz w:val="21"/>
          <w:highlight w:val="none"/>
          <w:lang w:val="en-US" w:eastAsia="zh-CN" w:bidi="ar-SA"/>
        </w:rPr>
        <w:t>一次端交流耐压试验</w:t>
      </w:r>
      <w:r>
        <w:rPr>
          <w:rFonts w:ascii="Times New Roman" w:hAnsi="Times New Roman" w:eastAsia="宋体" w:cs="Times New Roman"/>
          <w:sz w:val="21"/>
          <w:highlight w:val="none"/>
          <w:lang w:val="en-US" w:eastAsia="zh-CN" w:bidi="ar-SA"/>
        </w:rPr>
        <w:t>，作为例行试验项目应满足GB/T 22071.2的要求，作为交接试验项目应满足GB 50150的要求。</w:t>
      </w:r>
      <w:bookmarkEnd w:id="342"/>
    </w:p>
    <w:p w14:paraId="72E04D6A">
      <w:pPr>
        <w:pStyle w:val="260"/>
        <w:bidi w:val="0"/>
        <w:ind w:left="710" w:leftChars="0" w:hanging="710" w:firstLineChars="0"/>
        <w:rPr>
          <w:highlight w:val="none"/>
          <w:lang w:val="en-US" w:eastAsia="zh-CN"/>
        </w:rPr>
      </w:pPr>
      <w:bookmarkStart w:id="343" w:name="_Toc16383"/>
      <w:bookmarkStart w:id="344" w:name="_Toc12171"/>
      <w:bookmarkStart w:id="345" w:name="_Toc170918058"/>
      <w:r>
        <w:rPr>
          <w:highlight w:val="none"/>
          <w:lang w:val="en-US" w:eastAsia="zh-CN"/>
        </w:rPr>
        <w:t>局部放电测量</w:t>
      </w:r>
      <w:bookmarkEnd w:id="343"/>
      <w:bookmarkEnd w:id="344"/>
      <w:bookmarkEnd w:id="345"/>
      <w:bookmarkStart w:id="346" w:name="pindex977"/>
      <w:bookmarkEnd w:id="346"/>
    </w:p>
    <w:p w14:paraId="13528A79">
      <w:pPr>
        <w:tabs>
          <w:tab w:val="center" w:pos="4201"/>
          <w:tab w:val="right" w:leader="dot" w:pos="9298"/>
        </w:tabs>
        <w:ind w:firstLine="420" w:firstLineChars="200"/>
        <w:jc w:val="both"/>
        <w:rPr>
          <w:rFonts w:ascii="Times New Roman" w:hAnsi="Times New Roman" w:eastAsia="宋体" w:cs="Times New Roman"/>
          <w:sz w:val="21"/>
          <w:highlight w:val="none"/>
          <w:lang w:val="en-US" w:eastAsia="zh-CN" w:bidi="ar-SA"/>
        </w:rPr>
      </w:pPr>
      <w:bookmarkStart w:id="347" w:name="sys978051"/>
      <w:r>
        <w:rPr>
          <w:rFonts w:ascii="Times New Roman" w:hAnsi="Times New Roman" w:eastAsia="宋体" w:cs="Times New Roman"/>
          <w:sz w:val="21"/>
          <w:highlight w:val="none"/>
          <w:lang w:val="en-US" w:eastAsia="zh-CN" w:bidi="ar-SA"/>
        </w:rPr>
        <w:t>局部放电测量，作为例行试验项目应满足6.8的要求，作为交接试验项目应满足GB 50150的要求。</w:t>
      </w:r>
      <w:bookmarkEnd w:id="347"/>
    </w:p>
    <w:p w14:paraId="5F1D57D9">
      <w:pPr>
        <w:pStyle w:val="260"/>
        <w:bidi w:val="0"/>
        <w:ind w:left="710" w:leftChars="0" w:hanging="710" w:firstLineChars="0"/>
        <w:rPr>
          <w:highlight w:val="none"/>
          <w:lang w:val="en-US" w:eastAsia="zh-CN"/>
        </w:rPr>
      </w:pPr>
      <w:bookmarkStart w:id="348" w:name="_Toc316"/>
      <w:bookmarkStart w:id="349" w:name="_Toc170918059"/>
      <w:bookmarkStart w:id="350" w:name="_Toc1622"/>
      <w:r>
        <w:rPr>
          <w:highlight w:val="none"/>
          <w:lang w:val="en-US" w:eastAsia="zh-CN"/>
        </w:rPr>
        <w:t>电容量和介质损耗因数测量</w:t>
      </w:r>
      <w:bookmarkEnd w:id="348"/>
      <w:bookmarkEnd w:id="349"/>
      <w:bookmarkStart w:id="351" w:name="pindex979"/>
      <w:bookmarkEnd w:id="351"/>
      <w:r>
        <w:rPr>
          <w:rFonts w:hint="eastAsia"/>
          <w:highlight w:val="none"/>
          <w:lang w:val="en-US" w:eastAsia="zh-CN"/>
        </w:rPr>
        <w:t>（适用于油纸绝缘产品）</w:t>
      </w:r>
      <w:bookmarkEnd w:id="350"/>
    </w:p>
    <w:p w14:paraId="5B538D5D">
      <w:pPr>
        <w:ind w:firstLine="420" w:firstLineChars="200"/>
        <w:jc w:val="both"/>
        <w:rPr>
          <w:rFonts w:ascii="Times New Roman" w:hAnsi="Times New Roman" w:eastAsia="宋体" w:cs="Times New Roman"/>
          <w:sz w:val="21"/>
          <w:highlight w:val="none"/>
          <w:lang w:val="en-US" w:eastAsia="zh-CN" w:bidi="ar-SA"/>
        </w:rPr>
      </w:pPr>
      <w:bookmarkStart w:id="352" w:name="sys980057"/>
      <w:r>
        <w:rPr>
          <w:rFonts w:ascii="Times New Roman" w:hAnsi="Times New Roman" w:eastAsia="宋体" w:cs="Times New Roman"/>
          <w:sz w:val="21"/>
          <w:highlight w:val="none"/>
          <w:lang w:val="en-US" w:eastAsia="zh-CN" w:bidi="ar-SA"/>
        </w:rPr>
        <w:t>电容量和介质损耗因数测量，作为例行试验项目应满足6.9的要求，作为交接试验项目应满足GB 50150的要求。</w:t>
      </w:r>
      <w:bookmarkEnd w:id="352"/>
    </w:p>
    <w:p w14:paraId="1E009F2E">
      <w:pPr>
        <w:pStyle w:val="260"/>
        <w:bidi w:val="0"/>
        <w:ind w:left="710" w:leftChars="0" w:hanging="710" w:firstLineChars="0"/>
        <w:rPr>
          <w:highlight w:val="none"/>
          <w:lang w:val="en-US" w:eastAsia="zh-CN"/>
        </w:rPr>
      </w:pPr>
      <w:bookmarkStart w:id="353" w:name="pindex981"/>
      <w:bookmarkEnd w:id="353"/>
      <w:bookmarkStart w:id="354" w:name="_Toc23474"/>
      <w:r>
        <w:rPr>
          <w:rFonts w:hint="eastAsia"/>
          <w:highlight w:val="none"/>
          <w:lang w:val="en-US" w:eastAsia="zh-CN"/>
        </w:rPr>
        <w:t>二次端交流耐压试验</w:t>
      </w:r>
      <w:bookmarkEnd w:id="354"/>
    </w:p>
    <w:p w14:paraId="6A153CA3">
      <w:pPr>
        <w:ind w:firstLine="420" w:firstLineChars="200"/>
        <w:jc w:val="both"/>
        <w:rPr>
          <w:rFonts w:ascii="Times New Roman" w:hAnsi="Times New Roman" w:eastAsia="宋体" w:cs="Times New Roman"/>
          <w:sz w:val="21"/>
          <w:highlight w:val="none"/>
          <w:lang w:val="en-US" w:eastAsia="zh-CN" w:bidi="ar-SA"/>
        </w:rPr>
      </w:pPr>
      <w:bookmarkStart w:id="355" w:name="sys982037"/>
      <w:r>
        <w:rPr>
          <w:rFonts w:hint="eastAsia" w:cs="Times New Roman"/>
          <w:sz w:val="21"/>
          <w:highlight w:val="none"/>
          <w:lang w:val="en-US" w:eastAsia="zh-CN" w:bidi="ar-SA"/>
        </w:rPr>
        <w:t>二次端交流耐压试验</w:t>
      </w:r>
      <w:r>
        <w:rPr>
          <w:rFonts w:ascii="Times New Roman" w:hAnsi="Times New Roman" w:eastAsia="宋体" w:cs="Times New Roman"/>
          <w:sz w:val="21"/>
          <w:highlight w:val="none"/>
          <w:lang w:val="en-US" w:eastAsia="zh-CN" w:bidi="ar-SA"/>
        </w:rPr>
        <w:t>作为例行试验项目，应满足GB/T 22071.2的要求</w:t>
      </w:r>
      <w:bookmarkEnd w:id="355"/>
      <w:r>
        <w:rPr>
          <w:rFonts w:ascii="Times New Roman" w:hAnsi="Times New Roman" w:eastAsia="宋体" w:cs="Times New Roman"/>
          <w:sz w:val="21"/>
          <w:highlight w:val="none"/>
          <w:lang w:val="en-US" w:eastAsia="zh-CN" w:bidi="ar-SA"/>
        </w:rPr>
        <w:t>。</w:t>
      </w:r>
    </w:p>
    <w:p w14:paraId="62536735">
      <w:pPr>
        <w:pStyle w:val="260"/>
        <w:bidi w:val="0"/>
        <w:ind w:left="710" w:leftChars="0" w:hanging="710" w:firstLineChars="0"/>
        <w:rPr>
          <w:highlight w:val="none"/>
          <w:lang w:val="en-US" w:eastAsia="zh-CN"/>
        </w:rPr>
      </w:pPr>
      <w:bookmarkStart w:id="356" w:name="_Toc170918061"/>
      <w:bookmarkStart w:id="357" w:name="_Toc15964"/>
      <w:bookmarkStart w:id="358" w:name="_Toc1038"/>
      <w:r>
        <w:rPr>
          <w:highlight w:val="none"/>
          <w:lang w:val="en-US" w:eastAsia="zh-CN"/>
        </w:rPr>
        <w:t>标志的检验</w:t>
      </w:r>
      <w:bookmarkEnd w:id="356"/>
      <w:bookmarkEnd w:id="357"/>
      <w:bookmarkEnd w:id="358"/>
      <w:bookmarkStart w:id="359" w:name="pindex983"/>
      <w:bookmarkEnd w:id="359"/>
    </w:p>
    <w:p w14:paraId="587CA48E">
      <w:pPr>
        <w:ind w:firstLine="420" w:firstLineChars="200"/>
        <w:jc w:val="both"/>
        <w:rPr>
          <w:rFonts w:ascii="Times New Roman" w:hAnsi="Times New Roman" w:eastAsia="宋体" w:cs="Times New Roman"/>
          <w:sz w:val="21"/>
          <w:highlight w:val="none"/>
          <w:lang w:val="en-US" w:eastAsia="zh-CN" w:bidi="ar-SA"/>
        </w:rPr>
      </w:pPr>
      <w:bookmarkStart w:id="360" w:name="sys984039"/>
      <w:r>
        <w:rPr>
          <w:rFonts w:ascii="Times New Roman" w:hAnsi="Times New Roman" w:eastAsia="宋体" w:cs="Times New Roman"/>
          <w:sz w:val="21"/>
          <w:highlight w:val="none"/>
          <w:lang w:val="en-US" w:eastAsia="zh-CN" w:bidi="ar-SA"/>
        </w:rPr>
        <w:t>电压互感器例行试验，标志的检验包括铭牌标志的检验和端子标志的检验（极性检验）；</w:t>
      </w:r>
      <w:bookmarkEnd w:id="360"/>
      <w:bookmarkStart w:id="361" w:name="sys9843930"/>
      <w:r>
        <w:rPr>
          <w:rFonts w:ascii="Times New Roman" w:hAnsi="Times New Roman" w:eastAsia="宋体" w:cs="Times New Roman"/>
          <w:sz w:val="21"/>
          <w:highlight w:val="none"/>
          <w:lang w:val="en-US" w:eastAsia="zh-CN" w:bidi="ar-SA"/>
        </w:rPr>
        <w:t>电压互感器交接试验，标志的检验仅包括出线端子标志的极性检验。</w:t>
      </w:r>
      <w:bookmarkEnd w:id="361"/>
      <w:r>
        <w:rPr>
          <w:rFonts w:ascii="Times New Roman" w:hAnsi="Times New Roman" w:eastAsia="宋体" w:cs="Times New Roman"/>
          <w:sz w:val="21"/>
          <w:highlight w:val="none"/>
          <w:lang w:val="en-US" w:eastAsia="zh-CN" w:bidi="ar-SA"/>
        </w:rPr>
        <w:t>铭牌标志的检验应满足GB/T 20840.1和GB/T 20840.3的要求，电压互感器出线端子标志的极性应正确。</w:t>
      </w:r>
    </w:p>
    <w:p w14:paraId="42EF3000">
      <w:pPr>
        <w:pStyle w:val="260"/>
        <w:bidi w:val="0"/>
        <w:ind w:left="710" w:leftChars="0" w:hanging="710" w:firstLineChars="0"/>
        <w:rPr>
          <w:highlight w:val="none"/>
          <w:lang w:val="en-US" w:eastAsia="zh-CN"/>
        </w:rPr>
      </w:pPr>
      <w:bookmarkStart w:id="362" w:name="_Toc170918062"/>
      <w:bookmarkStart w:id="363" w:name="_Toc23869"/>
      <w:bookmarkStart w:id="364" w:name="_Toc24147"/>
      <w:r>
        <w:rPr>
          <w:highlight w:val="none"/>
          <w:lang w:val="en-US" w:eastAsia="zh-CN"/>
        </w:rPr>
        <w:t>绝缘</w:t>
      </w:r>
      <w:bookmarkStart w:id="365" w:name="bkReivew2041451"/>
      <w:r>
        <w:rPr>
          <w:highlight w:val="none"/>
          <w:lang w:val="en-US" w:eastAsia="zh-CN"/>
        </w:rPr>
        <w:t>油性</w:t>
      </w:r>
      <w:bookmarkEnd w:id="365"/>
      <w:r>
        <w:rPr>
          <w:highlight w:val="none"/>
          <w:lang w:val="en-US" w:eastAsia="zh-CN"/>
        </w:rPr>
        <w:t>能试验</w:t>
      </w:r>
      <w:bookmarkEnd w:id="362"/>
      <w:bookmarkEnd w:id="363"/>
      <w:bookmarkStart w:id="366" w:name="pindex985"/>
      <w:bookmarkEnd w:id="366"/>
      <w:r>
        <w:rPr>
          <w:rFonts w:hint="eastAsia"/>
          <w:highlight w:val="none"/>
          <w:lang w:val="en-US" w:eastAsia="zh-CN"/>
        </w:rPr>
        <w:t>（适用于油纸绝缘产品）</w:t>
      </w:r>
      <w:bookmarkEnd w:id="364"/>
    </w:p>
    <w:p w14:paraId="20770DE8">
      <w:pPr>
        <w:tabs>
          <w:tab w:val="center" w:pos="4201"/>
          <w:tab w:val="right" w:leader="dot" w:pos="9298"/>
        </w:tabs>
        <w:ind w:firstLine="420" w:firstLineChars="200"/>
        <w:jc w:val="both"/>
        <w:rPr>
          <w:rFonts w:ascii="Times New Roman" w:hAnsi="Times New Roman" w:eastAsia="宋体" w:cs="Times New Roman"/>
          <w:sz w:val="21"/>
          <w:highlight w:val="none"/>
          <w:lang w:val="en-US" w:eastAsia="zh-CN" w:bidi="ar-SA"/>
        </w:rPr>
      </w:pPr>
      <w:bookmarkStart w:id="367" w:name="sys986035"/>
      <w:r>
        <w:rPr>
          <w:rFonts w:ascii="Times New Roman" w:hAnsi="Times New Roman" w:eastAsia="宋体" w:cs="Times New Roman"/>
          <w:sz w:val="21"/>
          <w:highlight w:val="none"/>
          <w:lang w:val="en-US" w:eastAsia="zh-CN" w:bidi="ar-SA"/>
        </w:rPr>
        <w:t>绝</w:t>
      </w:r>
      <w:r>
        <w:rPr>
          <w:rFonts w:ascii="Times New Roman" w:hAnsi="Times New Roman" w:eastAsia="宋体" w:cs="Times New Roman"/>
          <w:color w:val="auto"/>
          <w:sz w:val="21"/>
          <w:highlight w:val="none"/>
          <w:lang w:val="en-US" w:eastAsia="zh-CN" w:bidi="ar-SA"/>
        </w:rPr>
        <w:t>缘</w:t>
      </w:r>
      <w:bookmarkStart w:id="368" w:name="bkReivew3010325"/>
      <w:r>
        <w:rPr>
          <w:rFonts w:ascii="Times New Roman" w:hAnsi="Times New Roman" w:eastAsia="宋体" w:cs="Times New Roman"/>
          <w:color w:val="auto"/>
          <w:sz w:val="21"/>
          <w:highlight w:val="none"/>
          <w:lang w:val="en-US" w:eastAsia="zh-CN" w:bidi="ar-SA"/>
        </w:rPr>
        <w:t>油性</w:t>
      </w:r>
      <w:bookmarkEnd w:id="368"/>
      <w:r>
        <w:rPr>
          <w:rFonts w:ascii="Times New Roman" w:hAnsi="Times New Roman" w:eastAsia="宋体" w:cs="Times New Roman"/>
          <w:color w:val="auto"/>
          <w:sz w:val="21"/>
          <w:highlight w:val="none"/>
          <w:lang w:val="en-US" w:eastAsia="zh-CN" w:bidi="ar-SA"/>
        </w:rPr>
        <w:t>能</w:t>
      </w:r>
      <w:r>
        <w:rPr>
          <w:rFonts w:ascii="Times New Roman" w:hAnsi="Times New Roman" w:eastAsia="宋体" w:cs="Times New Roman"/>
          <w:sz w:val="21"/>
          <w:highlight w:val="none"/>
          <w:lang w:val="en-US" w:eastAsia="zh-CN" w:bidi="ar-SA"/>
        </w:rPr>
        <w:t>试验作为例行试验项目，应满足GB/T 22071.2的要求</w:t>
      </w:r>
      <w:bookmarkEnd w:id="367"/>
      <w:bookmarkStart w:id="369" w:name="sys9868344"/>
      <w:r>
        <w:rPr>
          <w:rFonts w:ascii="Times New Roman" w:hAnsi="Times New Roman" w:eastAsia="宋体" w:cs="Times New Roman"/>
          <w:sz w:val="21"/>
          <w:highlight w:val="none"/>
          <w:lang w:val="en-US" w:eastAsia="zh-CN" w:bidi="ar-SA"/>
        </w:rPr>
        <w:t>。</w:t>
      </w:r>
      <w:bookmarkEnd w:id="369"/>
    </w:p>
    <w:p w14:paraId="234DEB3B">
      <w:pPr>
        <w:pStyle w:val="260"/>
        <w:bidi w:val="0"/>
        <w:ind w:left="710" w:leftChars="0" w:hanging="710" w:firstLineChars="0"/>
        <w:rPr>
          <w:highlight w:val="none"/>
          <w:lang w:val="en-US" w:eastAsia="zh-CN"/>
        </w:rPr>
      </w:pPr>
      <w:bookmarkStart w:id="370" w:name="_Toc11890"/>
      <w:bookmarkStart w:id="371" w:name="_Toc170918063"/>
      <w:bookmarkStart w:id="372" w:name="_Toc5629"/>
      <w:r>
        <w:rPr>
          <w:highlight w:val="none"/>
          <w:lang w:val="en-US" w:eastAsia="zh-CN"/>
        </w:rPr>
        <w:t>绝缘电阻测量</w:t>
      </w:r>
      <w:bookmarkEnd w:id="370"/>
      <w:bookmarkEnd w:id="371"/>
      <w:bookmarkEnd w:id="372"/>
      <w:bookmarkStart w:id="373" w:name="pindex987"/>
      <w:bookmarkEnd w:id="373"/>
    </w:p>
    <w:p w14:paraId="6E11C5D6">
      <w:pPr>
        <w:ind w:firstLine="630" w:firstLineChars="300"/>
        <w:jc w:val="both"/>
        <w:rPr>
          <w:rFonts w:ascii="Times New Roman" w:hAnsi="Times New Roman" w:eastAsia="宋体" w:cs="Times New Roman"/>
          <w:sz w:val="21"/>
          <w:highlight w:val="none"/>
          <w:lang w:val="en-US" w:eastAsia="zh-CN" w:bidi="ar-SA"/>
        </w:rPr>
      </w:pPr>
      <w:bookmarkStart w:id="374" w:name="sys988034"/>
      <w:r>
        <w:rPr>
          <w:rFonts w:ascii="Times New Roman" w:hAnsi="Times New Roman" w:eastAsia="宋体" w:cs="Times New Roman"/>
          <w:sz w:val="21"/>
          <w:highlight w:val="none"/>
          <w:lang w:val="en-US" w:eastAsia="zh-CN" w:bidi="ar-SA"/>
        </w:rPr>
        <w:t>绝缘电阻测量作为例行试验项目，应满足GB/T 22071.2的要求</w:t>
      </w:r>
      <w:bookmarkEnd w:id="374"/>
      <w:bookmarkStart w:id="375" w:name="sys9888143"/>
      <w:r>
        <w:rPr>
          <w:rFonts w:ascii="Times New Roman" w:hAnsi="Times New Roman" w:eastAsia="宋体" w:cs="Times New Roman"/>
          <w:sz w:val="21"/>
          <w:highlight w:val="none"/>
          <w:lang w:val="en-US" w:eastAsia="zh-CN" w:bidi="ar-SA"/>
        </w:rPr>
        <w:t>。</w:t>
      </w:r>
      <w:bookmarkEnd w:id="375"/>
    </w:p>
    <w:p w14:paraId="1DB449D6">
      <w:pPr>
        <w:pStyle w:val="260"/>
        <w:bidi w:val="0"/>
        <w:ind w:left="710" w:leftChars="0" w:hanging="490" w:firstLineChars="0"/>
        <w:rPr>
          <w:highlight w:val="none"/>
          <w:lang w:val="en-US" w:eastAsia="zh-CN"/>
        </w:rPr>
      </w:pPr>
      <w:bookmarkStart w:id="376" w:name="_Toc6652"/>
      <w:bookmarkStart w:id="377" w:name="_Toc170918064"/>
      <w:bookmarkStart w:id="378" w:name="_Toc16762"/>
      <w:r>
        <w:rPr>
          <w:highlight w:val="none"/>
          <w:lang w:val="en-US" w:eastAsia="zh-CN"/>
        </w:rPr>
        <w:t>绕组直流电阻测量</w:t>
      </w:r>
      <w:bookmarkEnd w:id="376"/>
      <w:bookmarkEnd w:id="377"/>
      <w:bookmarkEnd w:id="378"/>
      <w:bookmarkStart w:id="379" w:name="pindex989"/>
      <w:bookmarkEnd w:id="379"/>
    </w:p>
    <w:p w14:paraId="0B4CE2EE">
      <w:pPr>
        <w:ind w:firstLine="630" w:firstLineChars="300"/>
        <w:jc w:val="both"/>
        <w:rPr>
          <w:rFonts w:ascii="Times New Roman" w:hAnsi="Times New Roman" w:eastAsia="宋体" w:cs="Times New Roman"/>
          <w:sz w:val="21"/>
          <w:highlight w:val="none"/>
          <w:lang w:val="en-US" w:eastAsia="zh-CN" w:bidi="ar-SA"/>
        </w:rPr>
      </w:pPr>
      <w:bookmarkStart w:id="380" w:name="sys990050"/>
      <w:r>
        <w:rPr>
          <w:rFonts w:ascii="Times New Roman" w:hAnsi="Times New Roman" w:eastAsia="宋体" w:cs="Times New Roman"/>
          <w:sz w:val="21"/>
          <w:highlight w:val="none"/>
          <w:lang w:val="en-US" w:eastAsia="zh-CN" w:bidi="ar-SA"/>
        </w:rPr>
        <w:t>绕组直流电阻测量作为交接试验项目应满足GB 50150的要求</w:t>
      </w:r>
      <w:bookmarkEnd w:id="380"/>
      <w:r>
        <w:rPr>
          <w:rFonts w:ascii="Times New Roman" w:hAnsi="Times New Roman" w:eastAsia="宋体" w:cs="Times New Roman"/>
          <w:sz w:val="21"/>
          <w:highlight w:val="none"/>
          <w:lang w:val="en-US" w:eastAsia="zh-CN" w:bidi="ar-SA"/>
        </w:rPr>
        <w:t>。</w:t>
      </w:r>
    </w:p>
    <w:p w14:paraId="2C7773A6">
      <w:pPr>
        <w:pStyle w:val="259"/>
        <w:bidi w:val="0"/>
        <w:ind w:left="0" w:leftChars="0" w:firstLine="0" w:firstLineChars="0"/>
        <w:rPr>
          <w:highlight w:val="none"/>
          <w:lang w:val="en-US" w:eastAsia="zh-CN"/>
        </w:rPr>
      </w:pPr>
      <w:bookmarkStart w:id="381" w:name="_Toc9340"/>
      <w:bookmarkStart w:id="382" w:name="_Toc30709"/>
      <w:bookmarkStart w:id="383" w:name="_Toc170918069"/>
      <w:bookmarkStart w:id="384" w:name="_Toc13227"/>
      <w:r>
        <w:rPr>
          <w:highlight w:val="none"/>
          <w:lang w:val="en-US" w:eastAsia="zh-CN"/>
        </w:rPr>
        <w:t>标志</w:t>
      </w:r>
      <w:r>
        <w:rPr>
          <w:rFonts w:hint="eastAsia"/>
          <w:highlight w:val="none"/>
          <w:lang w:val="en-US" w:eastAsia="zh-CN"/>
        </w:rPr>
        <w:t>、标签和随行文件</w:t>
      </w:r>
      <w:bookmarkEnd w:id="381"/>
      <w:bookmarkEnd w:id="382"/>
      <w:bookmarkEnd w:id="383"/>
      <w:bookmarkEnd w:id="384"/>
      <w:bookmarkStart w:id="385" w:name="pindex1091"/>
      <w:bookmarkEnd w:id="385"/>
    </w:p>
    <w:p w14:paraId="2D16D84F">
      <w:pPr>
        <w:pStyle w:val="260"/>
        <w:bidi w:val="0"/>
        <w:ind w:left="710" w:leftChars="0" w:hanging="710" w:firstLineChars="0"/>
        <w:rPr>
          <w:highlight w:val="none"/>
          <w:lang w:val="en-US" w:eastAsia="zh-CN"/>
        </w:rPr>
      </w:pPr>
      <w:bookmarkStart w:id="386" w:name="_Toc287623632"/>
      <w:bookmarkStart w:id="387" w:name="_Toc10285"/>
      <w:bookmarkStart w:id="388" w:name="_Toc170918070"/>
      <w:bookmarkStart w:id="389" w:name="_Toc262827132"/>
      <w:bookmarkStart w:id="390" w:name="_Toc9402"/>
      <w:bookmarkStart w:id="391" w:name="_Toc22487"/>
      <w:bookmarkStart w:id="392" w:name="_Toc8024"/>
      <w:r>
        <w:rPr>
          <w:rFonts w:hint="eastAsia"/>
          <w:highlight w:val="none"/>
          <w:lang w:val="en-US" w:eastAsia="zh-CN"/>
        </w:rPr>
        <w:t>标志</w:t>
      </w:r>
      <w:r>
        <w:rPr>
          <w:highlight w:val="none"/>
          <w:lang w:val="en-US" w:eastAsia="zh-CN"/>
        </w:rPr>
        <w:t>和标签</w:t>
      </w:r>
      <w:bookmarkEnd w:id="386"/>
      <w:bookmarkEnd w:id="387"/>
      <w:bookmarkEnd w:id="388"/>
      <w:bookmarkEnd w:id="389"/>
      <w:bookmarkEnd w:id="390"/>
      <w:bookmarkEnd w:id="391"/>
      <w:bookmarkEnd w:id="392"/>
      <w:bookmarkStart w:id="393" w:name="pindex1092"/>
      <w:bookmarkEnd w:id="393"/>
    </w:p>
    <w:p w14:paraId="735E20CC">
      <w:pPr>
        <w:ind w:firstLine="407" w:firstLineChars="194"/>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端子标志和</w:t>
      </w:r>
      <w:r>
        <w:rPr>
          <w:rFonts w:ascii="宋体" w:hAnsi="Times New Roman" w:eastAsia="宋体" w:cs="Times New Roman"/>
          <w:sz w:val="21"/>
          <w:highlight w:val="none"/>
          <w:lang w:val="en-US" w:eastAsia="zh-CN" w:bidi="ar-SA"/>
        </w:rPr>
        <w:t>铭牌</w:t>
      </w:r>
      <w:r>
        <w:rPr>
          <w:rFonts w:hint="eastAsia" w:ascii="宋体" w:hAnsi="Times New Roman" w:eastAsia="宋体" w:cs="Times New Roman"/>
          <w:sz w:val="21"/>
          <w:highlight w:val="none"/>
          <w:lang w:val="en-US" w:eastAsia="zh-CN" w:bidi="ar-SA"/>
        </w:rPr>
        <w:t>应符合GB/T 20840.1和GB/T 20840.3的要求。</w:t>
      </w:r>
    </w:p>
    <w:p w14:paraId="5BB144ED">
      <w:pPr>
        <w:pStyle w:val="260"/>
        <w:bidi w:val="0"/>
        <w:ind w:left="710" w:leftChars="0" w:hanging="710" w:firstLineChars="0"/>
        <w:rPr>
          <w:highlight w:val="none"/>
          <w:lang w:val="en-US" w:eastAsia="zh-CN"/>
        </w:rPr>
      </w:pPr>
      <w:bookmarkStart w:id="394" w:name="_Toc28652"/>
      <w:bookmarkStart w:id="395" w:name="_Toc170918071"/>
      <w:bookmarkStart w:id="396" w:name="_Toc29560"/>
      <w:bookmarkStart w:id="397" w:name="_Toc10165"/>
      <w:bookmarkStart w:id="398" w:name="_Toc32674"/>
      <w:r>
        <w:rPr>
          <w:rFonts w:hint="eastAsia"/>
          <w:highlight w:val="none"/>
          <w:lang w:val="en-US" w:eastAsia="zh-CN"/>
        </w:rPr>
        <w:t>随行文件</w:t>
      </w:r>
      <w:bookmarkEnd w:id="394"/>
      <w:bookmarkEnd w:id="395"/>
      <w:bookmarkEnd w:id="396"/>
      <w:bookmarkEnd w:id="397"/>
      <w:bookmarkEnd w:id="398"/>
      <w:bookmarkStart w:id="399" w:name="pindex1094"/>
      <w:bookmarkEnd w:id="399"/>
    </w:p>
    <w:p w14:paraId="0925140D">
      <w:pPr>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每台电压互感器出厂应附有下列随行</w:t>
      </w:r>
      <w:r>
        <w:rPr>
          <w:rFonts w:ascii="宋体" w:hAnsi="Times New Roman" w:eastAsia="宋体" w:cs="Times New Roman"/>
          <w:sz w:val="21"/>
          <w:highlight w:val="none"/>
          <w:lang w:val="en-US" w:eastAsia="zh-CN" w:bidi="ar-SA"/>
        </w:rPr>
        <w:t>文件</w:t>
      </w:r>
      <w:r>
        <w:rPr>
          <w:rFonts w:hint="eastAsia" w:ascii="宋体" w:hAnsi="Times New Roman" w:eastAsia="宋体" w:cs="Times New Roman"/>
          <w:sz w:val="21"/>
          <w:highlight w:val="none"/>
          <w:lang w:val="en-US" w:eastAsia="zh-CN" w:bidi="ar-SA"/>
        </w:rPr>
        <w:t>：</w:t>
      </w:r>
    </w:p>
    <w:p w14:paraId="34E94A31">
      <w:pPr>
        <w:numPr>
          <w:ilvl w:val="0"/>
          <w:numId w:val="40"/>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产品合格证；</w:t>
      </w:r>
    </w:p>
    <w:p w14:paraId="739F0F38">
      <w:pPr>
        <w:numPr>
          <w:ilvl w:val="0"/>
          <w:numId w:val="40"/>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出厂试验</w:t>
      </w:r>
      <w:r>
        <w:rPr>
          <w:rFonts w:hint="eastAsia" w:ascii="Times New Roman" w:hAnsi="Times New Roman" w:eastAsia="宋体" w:cs="Times New Roman"/>
          <w:sz w:val="21"/>
          <w:highlight w:val="none"/>
          <w:lang w:val="en-US" w:eastAsia="zh-CN" w:bidi="ar-SA"/>
        </w:rPr>
        <w:t>报告</w:t>
      </w:r>
      <w:r>
        <w:rPr>
          <w:rFonts w:ascii="Times New Roman" w:hAnsi="Times New Roman" w:eastAsia="宋体" w:cs="Times New Roman"/>
          <w:sz w:val="21"/>
          <w:highlight w:val="none"/>
          <w:lang w:val="en-US" w:eastAsia="zh-CN" w:bidi="ar-SA"/>
        </w:rPr>
        <w:t>；</w:t>
      </w:r>
    </w:p>
    <w:p w14:paraId="1B61870A">
      <w:pPr>
        <w:numPr>
          <w:ilvl w:val="0"/>
          <w:numId w:val="40"/>
        </w:numPr>
        <w:ind w:left="839" w:leftChars="0" w:hanging="419" w:firstLineChars="0"/>
        <w:jc w:val="both"/>
        <w:rPr>
          <w:rFonts w:ascii="Times New Roman" w:hAnsi="Times New Roman" w:eastAsia="宋体" w:cs="Times New Roman"/>
          <w:sz w:val="21"/>
          <w:highlight w:val="none"/>
          <w:lang w:val="en-US" w:eastAsia="zh-CN" w:bidi="ar-SA"/>
        </w:rPr>
      </w:pPr>
      <w:r>
        <w:rPr>
          <w:rFonts w:ascii="Times New Roman" w:hAnsi="Times New Roman" w:eastAsia="宋体" w:cs="Times New Roman"/>
          <w:sz w:val="21"/>
          <w:highlight w:val="none"/>
          <w:lang w:val="en-US" w:eastAsia="zh-CN" w:bidi="ar-SA"/>
        </w:rPr>
        <w:t>安装使用说明书(包括产品外形尺寸图及组件安装使用说明等)；</w:t>
      </w:r>
    </w:p>
    <w:p w14:paraId="378CDB3F">
      <w:pPr>
        <w:numPr>
          <w:ilvl w:val="0"/>
          <w:numId w:val="40"/>
        </w:numPr>
        <w:ind w:left="839" w:leftChars="0" w:hanging="419" w:firstLineChars="0"/>
        <w:jc w:val="both"/>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t>拆卸运输零件(如需要)和备件(如果有)一览表。</w:t>
      </w:r>
    </w:p>
    <w:p w14:paraId="73C111A6">
      <w:pPr>
        <w:ind w:firstLine="420" w:firstLineChars="200"/>
        <w:jc w:val="both"/>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t>出厂文件应妥善包装，防止受潮。</w:t>
      </w:r>
    </w:p>
    <w:p w14:paraId="75A967F2">
      <w:pPr>
        <w:ind w:firstLine="420" w:firstLineChars="200"/>
        <w:jc w:val="both"/>
        <w:rPr>
          <w:rFonts w:ascii="宋体" w:hAnsi="宋体" w:eastAsia="宋体" w:cs="Times New Roman"/>
          <w:sz w:val="21"/>
          <w:szCs w:val="21"/>
          <w:highlight w:val="none"/>
          <w:lang w:val="en-US" w:eastAsia="zh-CN" w:bidi="ar-SA"/>
        </w:rPr>
      </w:pPr>
      <w:r>
        <w:rPr>
          <w:rFonts w:ascii="宋体" w:hAnsi="Times New Roman" w:eastAsia="宋体" w:cs="Times New Roman"/>
          <w:sz w:val="21"/>
          <w:highlight w:val="none"/>
          <w:lang w:val="en-US" w:eastAsia="zh-CN" w:bidi="ar-SA"/>
        </w:rPr>
        <w:t>根据用户要求，制造厂应提供本</w:t>
      </w:r>
      <w:r>
        <w:rPr>
          <w:rFonts w:hint="eastAsia" w:ascii="宋体" w:hAnsi="Times New Roman" w:eastAsia="宋体" w:cs="Times New Roman"/>
          <w:sz w:val="21"/>
          <w:highlight w:val="none"/>
          <w:lang w:val="en-US" w:eastAsia="zh-CN" w:bidi="ar-SA"/>
        </w:rPr>
        <w:t>文件</w:t>
      </w:r>
      <w:r>
        <w:rPr>
          <w:rFonts w:ascii="宋体" w:hAnsi="Times New Roman" w:eastAsia="宋体" w:cs="Times New Roman"/>
          <w:sz w:val="21"/>
          <w:highlight w:val="none"/>
          <w:lang w:val="en-US" w:eastAsia="zh-CN" w:bidi="ar-SA"/>
        </w:rPr>
        <w:t>规定的有效的型式试验报告</w:t>
      </w:r>
      <w:r>
        <w:rPr>
          <w:rFonts w:hint="eastAsia" w:ascii="宋体" w:hAnsi="Times New Roman" w:eastAsia="宋体" w:cs="Times New Roman"/>
          <w:sz w:val="21"/>
          <w:highlight w:val="none"/>
          <w:lang w:val="en-US" w:eastAsia="zh-CN" w:bidi="ar-SA"/>
        </w:rPr>
        <w:t>。</w:t>
      </w:r>
    </w:p>
    <w:p w14:paraId="5350DA65">
      <w:pPr>
        <w:pStyle w:val="259"/>
        <w:bidi w:val="0"/>
        <w:ind w:left="0" w:leftChars="0" w:firstLine="0" w:firstLineChars="0"/>
        <w:rPr>
          <w:highlight w:val="none"/>
          <w:lang w:val="en-US" w:eastAsia="zh-CN"/>
        </w:rPr>
      </w:pPr>
      <w:bookmarkStart w:id="400" w:name="_Toc289698033"/>
      <w:bookmarkStart w:id="401" w:name="_Toc3004"/>
      <w:bookmarkStart w:id="402" w:name="_Toc279246781"/>
      <w:bookmarkStart w:id="403" w:name="_Toc287623636"/>
      <w:bookmarkStart w:id="404" w:name="_Toc9243"/>
      <w:bookmarkStart w:id="405" w:name="_Toc289677009"/>
      <w:bookmarkStart w:id="406" w:name="_Toc170918072"/>
      <w:bookmarkStart w:id="407" w:name="_Toc279248609"/>
      <w:bookmarkStart w:id="408" w:name="_Toc279249675"/>
      <w:bookmarkStart w:id="409" w:name="_Toc262827139"/>
      <w:bookmarkStart w:id="410" w:name="_Toc17513"/>
      <w:bookmarkStart w:id="411" w:name="_Toc279244624"/>
      <w:bookmarkStart w:id="412" w:name="_Toc287623648"/>
      <w:bookmarkStart w:id="413" w:name="_Toc30050"/>
      <w:bookmarkStart w:id="414" w:name="_Toc9076"/>
      <w:r>
        <w:rPr>
          <w:highlight w:val="none"/>
          <w:lang w:val="en-US" w:eastAsia="zh-CN"/>
        </w:rPr>
        <w:t>包装、运输及</w:t>
      </w:r>
      <w:r>
        <w:rPr>
          <w:rFonts w:hint="eastAsia"/>
          <w:highlight w:val="none"/>
          <w:lang w:val="en-US" w:eastAsia="zh-CN"/>
        </w:rPr>
        <w:t>贮</w:t>
      </w:r>
      <w:r>
        <w:rPr>
          <w:highlight w:val="none"/>
          <w:lang w:val="en-US" w:eastAsia="zh-CN"/>
        </w:rPr>
        <w:t>存</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5" w:name="pindex1103"/>
      <w:bookmarkEnd w:id="415"/>
    </w:p>
    <w:p w14:paraId="4E193C9E">
      <w:pPr>
        <w:pStyle w:val="260"/>
        <w:bidi w:val="0"/>
        <w:ind w:left="710" w:leftChars="0" w:hanging="710" w:firstLineChars="0"/>
        <w:rPr>
          <w:highlight w:val="none"/>
          <w:lang w:val="en-US" w:eastAsia="zh-CN"/>
        </w:rPr>
      </w:pPr>
      <w:bookmarkStart w:id="416" w:name="_Toc170918073"/>
      <w:bookmarkStart w:id="417" w:name="_Toc23015"/>
      <w:bookmarkStart w:id="418" w:name="_Toc28995"/>
      <w:bookmarkStart w:id="419" w:name="_Toc15938"/>
      <w:bookmarkStart w:id="420" w:name="_Toc31245"/>
      <w:r>
        <w:rPr>
          <w:rFonts w:hint="eastAsia"/>
          <w:highlight w:val="none"/>
          <w:lang w:val="en-US" w:eastAsia="zh-CN"/>
        </w:rPr>
        <w:t>包装</w:t>
      </w:r>
      <w:bookmarkEnd w:id="416"/>
      <w:bookmarkEnd w:id="417"/>
      <w:bookmarkEnd w:id="418"/>
      <w:bookmarkEnd w:id="419"/>
      <w:bookmarkEnd w:id="420"/>
      <w:bookmarkStart w:id="421" w:name="pindex1104"/>
      <w:bookmarkEnd w:id="421"/>
    </w:p>
    <w:p w14:paraId="2AAA5795">
      <w:pPr>
        <w:ind w:firstLine="420" w:firstLineChars="200"/>
        <w:jc w:val="both"/>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t>包装方法应符合GB/T 13384的规定，</w:t>
      </w:r>
      <w:r>
        <w:rPr>
          <w:rFonts w:hint="eastAsia" w:ascii="宋体" w:hAnsi="Times New Roman" w:eastAsia="宋体" w:cs="Times New Roman"/>
          <w:sz w:val="21"/>
          <w:highlight w:val="none"/>
          <w:lang w:val="en-US" w:eastAsia="zh-CN" w:bidi="ar-SA"/>
        </w:rPr>
        <w:t>应保证产品及其组件、零件的整个运输和贮存期间不致损坏及松动。户内互感器的包装，还应保证互感器在整个运输和贮存期间不受到雨淋。</w:t>
      </w:r>
    </w:p>
    <w:p w14:paraId="7CB2B622">
      <w:pPr>
        <w:pStyle w:val="260"/>
        <w:bidi w:val="0"/>
        <w:ind w:left="710" w:leftChars="0" w:hanging="710" w:firstLineChars="0"/>
        <w:rPr>
          <w:highlight w:val="none"/>
          <w:lang w:val="en-US" w:eastAsia="zh-CN"/>
        </w:rPr>
      </w:pPr>
      <w:bookmarkStart w:id="422" w:name="_Toc17955"/>
      <w:bookmarkStart w:id="423" w:name="_Toc27799"/>
      <w:bookmarkStart w:id="424" w:name="_Toc18705"/>
      <w:bookmarkStart w:id="425" w:name="_Toc5957"/>
      <w:bookmarkStart w:id="426" w:name="_Toc170918074"/>
      <w:bookmarkStart w:id="427" w:name="_Hlk170917449"/>
      <w:r>
        <w:rPr>
          <w:rFonts w:hint="eastAsia"/>
          <w:highlight w:val="none"/>
          <w:lang w:val="en-US" w:eastAsia="zh-CN"/>
        </w:rPr>
        <w:t>运输</w:t>
      </w:r>
      <w:bookmarkEnd w:id="422"/>
      <w:bookmarkEnd w:id="423"/>
      <w:bookmarkEnd w:id="424"/>
      <w:bookmarkEnd w:id="425"/>
      <w:bookmarkEnd w:id="426"/>
      <w:bookmarkStart w:id="428" w:name="pindex1106"/>
      <w:bookmarkEnd w:id="428"/>
    </w:p>
    <w:p w14:paraId="2419CB12">
      <w:pPr>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电压互感器</w:t>
      </w:r>
      <w:r>
        <w:rPr>
          <w:rFonts w:ascii="宋体" w:hAnsi="Times New Roman" w:eastAsia="宋体" w:cs="Times New Roman"/>
          <w:sz w:val="21"/>
          <w:highlight w:val="none"/>
          <w:lang w:val="en-US" w:eastAsia="zh-CN" w:bidi="ar-SA"/>
        </w:rPr>
        <w:t>的</w:t>
      </w:r>
      <w:r>
        <w:rPr>
          <w:rFonts w:hint="eastAsia" w:ascii="宋体" w:hAnsi="Times New Roman" w:eastAsia="宋体" w:cs="Times New Roman"/>
          <w:sz w:val="21"/>
          <w:highlight w:val="none"/>
          <w:lang w:val="en-US" w:eastAsia="zh-CN" w:bidi="ar-SA"/>
        </w:rPr>
        <w:t>运输应符合</w:t>
      </w:r>
      <w:r>
        <w:rPr>
          <w:rFonts w:ascii="宋体" w:hAnsi="Times New Roman" w:eastAsia="宋体" w:cs="Times New Roman"/>
          <w:sz w:val="21"/>
          <w:highlight w:val="none"/>
          <w:lang w:val="en-US" w:eastAsia="zh-CN" w:bidi="ar-SA"/>
        </w:rPr>
        <w:t>下列要求：</w:t>
      </w:r>
    </w:p>
    <w:p w14:paraId="57347DB7">
      <w:pPr>
        <w:numPr>
          <w:ilvl w:val="0"/>
          <w:numId w:val="41"/>
        </w:numPr>
        <w:autoSpaceDE w:val="0"/>
        <w:autoSpaceDN w:val="0"/>
        <w:ind w:left="840" w:hanging="42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电压互感器的运输应符合制造厂的要求。</w:t>
      </w:r>
      <w:bookmarkStart w:id="429" w:name="pindex1108"/>
      <w:bookmarkEnd w:id="429"/>
    </w:p>
    <w:p w14:paraId="1C450D24">
      <w:pPr>
        <w:numPr>
          <w:ilvl w:val="0"/>
          <w:numId w:val="41"/>
        </w:numPr>
        <w:autoSpaceDE w:val="0"/>
        <w:autoSpaceDN w:val="0"/>
        <w:ind w:left="840" w:hanging="42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电压互感器运输中膨胀器应采用固定限位等措施。</w:t>
      </w:r>
      <w:bookmarkStart w:id="430" w:name="pindex1109"/>
      <w:bookmarkEnd w:id="430"/>
    </w:p>
    <w:p w14:paraId="2BA16401">
      <w:pPr>
        <w:numPr>
          <w:ilvl w:val="0"/>
          <w:numId w:val="41"/>
        </w:numPr>
        <w:autoSpaceDE w:val="0"/>
        <w:autoSpaceDN w:val="0"/>
        <w:ind w:left="840" w:hanging="420"/>
        <w:rPr>
          <w:rFonts w:ascii="Times New Roman" w:hAnsi="Times New Roman" w:eastAsia="宋体" w:cs="Times New Roman"/>
          <w:szCs w:val="21"/>
          <w:highlight w:val="none"/>
        </w:rPr>
      </w:pPr>
      <w:bookmarkStart w:id="431" w:name="sys1110039"/>
      <w:r>
        <w:rPr>
          <w:rFonts w:ascii="Times New Roman" w:hAnsi="宋体" w:eastAsia="宋体" w:cs="Times New Roman"/>
          <w:highlight w:val="none"/>
        </w:rPr>
        <w:t>电压互感器各个供电连接的接触面</w:t>
      </w:r>
      <w:r>
        <w:rPr>
          <w:rFonts w:ascii="Times New Roman" w:hAnsi="Times New Roman" w:eastAsia="宋体" w:cs="Times New Roman"/>
          <w:highlight w:val="none"/>
        </w:rPr>
        <w:t>(</w:t>
      </w:r>
      <w:r>
        <w:rPr>
          <w:rFonts w:ascii="Times New Roman" w:hAnsi="宋体" w:eastAsia="宋体" w:cs="Times New Roman"/>
          <w:highlight w:val="none"/>
        </w:rPr>
        <w:t>包括接地处的金属平面</w:t>
      </w:r>
      <w:r>
        <w:rPr>
          <w:rFonts w:ascii="Times New Roman" w:hAnsi="Times New Roman" w:eastAsia="宋体" w:cs="Times New Roman"/>
          <w:highlight w:val="none"/>
        </w:rPr>
        <w:t>)</w:t>
      </w:r>
      <w:r>
        <w:rPr>
          <w:rFonts w:ascii="Times New Roman" w:hAnsi="宋体" w:eastAsia="宋体" w:cs="Times New Roman"/>
          <w:highlight w:val="none"/>
        </w:rPr>
        <w:t>在运输期间应有防蚀措施</w:t>
      </w:r>
      <w:r>
        <w:rPr>
          <w:rFonts w:hint="eastAsia" w:ascii="Times New Roman" w:hAnsi="宋体" w:eastAsia="宋体" w:cs="Times New Roman"/>
          <w:highlight w:val="none"/>
        </w:rPr>
        <w:t>。</w:t>
      </w:r>
      <w:bookmarkEnd w:id="431"/>
      <w:bookmarkStart w:id="432" w:name="pindex1110"/>
      <w:bookmarkEnd w:id="432"/>
    </w:p>
    <w:p w14:paraId="4003253E">
      <w:pPr>
        <w:numPr>
          <w:ilvl w:val="0"/>
          <w:numId w:val="41"/>
        </w:numPr>
        <w:autoSpaceDE w:val="0"/>
        <w:autoSpaceDN w:val="0"/>
        <w:ind w:left="840" w:hanging="420"/>
        <w:rPr>
          <w:rFonts w:ascii="Times New Roman" w:hAnsi="Times New Roman" w:eastAsia="宋体" w:cs="Times New Roman"/>
          <w:szCs w:val="21"/>
          <w:highlight w:val="none"/>
        </w:rPr>
      </w:pPr>
      <w:r>
        <w:rPr>
          <w:rFonts w:ascii="Times New Roman" w:hAnsi="宋体" w:eastAsia="宋体" w:cs="Times New Roman"/>
          <w:highlight w:val="none"/>
        </w:rPr>
        <w:t>电压互感器在运输过程中应无严重震动、颠簸和撞击现象</w:t>
      </w:r>
      <w:r>
        <w:rPr>
          <w:rFonts w:hint="eastAsia" w:ascii="Times New Roman" w:hAnsi="宋体" w:eastAsia="宋体" w:cs="Times New Roman"/>
          <w:highlight w:val="none"/>
        </w:rPr>
        <w:t>。</w:t>
      </w:r>
      <w:bookmarkStart w:id="433" w:name="pindex1111"/>
      <w:bookmarkEnd w:id="433"/>
    </w:p>
    <w:p w14:paraId="12BB734C">
      <w:pPr>
        <w:numPr>
          <w:ilvl w:val="0"/>
          <w:numId w:val="41"/>
        </w:numPr>
        <w:autoSpaceDE w:val="0"/>
        <w:autoSpaceDN w:val="0"/>
        <w:ind w:left="840" w:hanging="420"/>
        <w:rPr>
          <w:rFonts w:ascii="Times New Roman" w:hAnsi="Times New Roman" w:eastAsia="宋体" w:cs="Times New Roman"/>
          <w:color w:val="auto"/>
          <w:szCs w:val="21"/>
          <w:highlight w:val="none"/>
        </w:rPr>
      </w:pPr>
      <w:r>
        <w:rPr>
          <w:rFonts w:hint="eastAsia" w:ascii="Times New Roman" w:hAnsi="Times New Roman" w:eastAsia="宋体" w:cs="Times New Roman"/>
          <w:szCs w:val="21"/>
          <w:highlight w:val="none"/>
        </w:rPr>
        <w:t>220</w:t>
      </w:r>
      <w:r>
        <w:rPr>
          <w:rFonts w:ascii="Times New Roman" w:hAnsi="Times New Roman" w:eastAsia="宋体" w:cs="Times New Roman"/>
          <w:szCs w:val="21"/>
          <w:highlight w:val="none"/>
        </w:rPr>
        <w:t> </w:t>
      </w:r>
      <w:r>
        <w:rPr>
          <w:rFonts w:hint="eastAsia" w:ascii="Times New Roman" w:hAnsi="Times New Roman" w:eastAsia="宋体" w:cs="Times New Roman"/>
          <w:szCs w:val="21"/>
          <w:highlight w:val="none"/>
        </w:rPr>
        <w:t>kV及以上电压等级油浸式电压互感器运输时应在每辆运输车上安装冲击记录仪，设备运抵现场后检</w:t>
      </w:r>
      <w:r>
        <w:rPr>
          <w:rFonts w:hint="eastAsia" w:ascii="Times New Roman" w:hAnsi="Times New Roman" w:eastAsia="宋体" w:cs="Times New Roman"/>
          <w:color w:val="auto"/>
          <w:szCs w:val="21"/>
          <w:highlight w:val="none"/>
        </w:rPr>
        <w:t>查确认，记录数值超过10</w:t>
      </w:r>
      <w:r>
        <w:rPr>
          <w:rFonts w:ascii="Times New Roman" w:hAnsi="宋体" w:eastAsia="宋体" w:cs="宋体"/>
          <w:color w:val="auto"/>
          <w:highlight w:val="none"/>
        </w:rPr>
        <w:t> </w:t>
      </w:r>
      <w:r>
        <w:rPr>
          <w:rFonts w:hint="eastAsia" w:ascii="Times New Roman" w:hAnsi="Times New Roman" w:eastAsia="宋体" w:cs="Times New Roman"/>
          <w:color w:val="auto"/>
          <w:szCs w:val="21"/>
          <w:highlight w:val="none"/>
        </w:rPr>
        <w:t>g应返厂检查。</w:t>
      </w:r>
      <w:bookmarkStart w:id="434" w:name="pindex1112"/>
      <w:bookmarkEnd w:id="434"/>
    </w:p>
    <w:p w14:paraId="2942F692">
      <w:pPr>
        <w:numPr>
          <w:ilvl w:val="0"/>
          <w:numId w:val="41"/>
        </w:numPr>
        <w:autoSpaceDE w:val="0"/>
        <w:autoSpaceDN w:val="0"/>
        <w:ind w:left="840" w:hanging="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对于</w:t>
      </w:r>
      <w:r>
        <w:rPr>
          <w:rFonts w:hint="eastAsia" w:ascii="Times New Roman" w:hAnsi="Times New Roman" w:eastAsia="宋体" w:cs="Times New Roman"/>
          <w:color w:val="auto"/>
          <w:szCs w:val="21"/>
          <w:highlight w:val="none"/>
        </w:rPr>
        <w:t>气体绝缘</w:t>
      </w:r>
      <w:r>
        <w:rPr>
          <w:rFonts w:ascii="Times New Roman" w:hAnsi="Times New Roman" w:eastAsia="宋体" w:cs="Times New Roman"/>
          <w:color w:val="auto"/>
          <w:szCs w:val="21"/>
          <w:highlight w:val="none"/>
        </w:rPr>
        <w:t>电</w:t>
      </w:r>
      <w:r>
        <w:rPr>
          <w:rFonts w:hint="eastAsia" w:ascii="Times New Roman" w:hAnsi="Times New Roman" w:eastAsia="宋体" w:cs="Times New Roman"/>
          <w:color w:val="auto"/>
          <w:szCs w:val="21"/>
          <w:highlight w:val="none"/>
        </w:rPr>
        <w:t>压</w:t>
      </w:r>
      <w:r>
        <w:rPr>
          <w:rFonts w:ascii="Times New Roman" w:hAnsi="Times New Roman" w:eastAsia="宋体" w:cs="Times New Roman"/>
          <w:color w:val="auto"/>
          <w:szCs w:val="21"/>
          <w:highlight w:val="none"/>
        </w:rPr>
        <w:t>互感器，运输时110（66）</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kV产品每批次超过10台时，每车装10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g振</w:t>
      </w:r>
      <w:bookmarkStart w:id="435" w:name="bkReivew3001425"/>
      <w:r>
        <w:rPr>
          <w:rFonts w:ascii="Times New Roman" w:hAnsi="Times New Roman" w:eastAsia="宋体" w:cs="Times New Roman"/>
          <w:color w:val="auto"/>
          <w:szCs w:val="21"/>
          <w:highlight w:val="none"/>
        </w:rPr>
        <w:t>动子</w:t>
      </w:r>
      <w:bookmarkEnd w:id="435"/>
      <w:r>
        <w:rPr>
          <w:rFonts w:ascii="Times New Roman" w:hAnsi="Times New Roman" w:eastAsia="宋体" w:cs="Times New Roman"/>
          <w:color w:val="auto"/>
          <w:szCs w:val="21"/>
          <w:highlight w:val="none"/>
        </w:rPr>
        <w:t>2个，低于10台时每车装10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g振</w:t>
      </w:r>
      <w:bookmarkStart w:id="436" w:name="bkReivew3081721"/>
      <w:r>
        <w:rPr>
          <w:rFonts w:ascii="Times New Roman" w:hAnsi="Times New Roman" w:eastAsia="宋体" w:cs="Times New Roman"/>
          <w:color w:val="auto"/>
          <w:szCs w:val="21"/>
          <w:highlight w:val="none"/>
        </w:rPr>
        <w:t>动子</w:t>
      </w:r>
      <w:bookmarkEnd w:id="436"/>
      <w:r>
        <w:rPr>
          <w:rFonts w:ascii="Times New Roman" w:hAnsi="Times New Roman" w:eastAsia="宋体" w:cs="Times New Roman"/>
          <w:color w:val="auto"/>
          <w:szCs w:val="21"/>
          <w:highlight w:val="none"/>
        </w:rPr>
        <w:t>1个；220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kV产品每台安装10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g振</w:t>
      </w:r>
      <w:bookmarkStart w:id="437" w:name="bkReivew3021626"/>
      <w:r>
        <w:rPr>
          <w:rFonts w:ascii="Times New Roman" w:hAnsi="Times New Roman" w:eastAsia="宋体" w:cs="Times New Roman"/>
          <w:color w:val="auto"/>
          <w:szCs w:val="21"/>
          <w:highlight w:val="none"/>
        </w:rPr>
        <w:t>动子</w:t>
      </w:r>
      <w:bookmarkEnd w:id="437"/>
      <w:r>
        <w:rPr>
          <w:rFonts w:ascii="Times New Roman" w:hAnsi="Times New Roman" w:eastAsia="宋体" w:cs="Times New Roman"/>
          <w:color w:val="auto"/>
          <w:szCs w:val="21"/>
          <w:highlight w:val="none"/>
        </w:rPr>
        <w:t>1个；330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kV及以上每台安装带</w:t>
      </w:r>
      <w:bookmarkStart w:id="438" w:name="bkReivew1100731"/>
      <w:r>
        <w:rPr>
          <w:rFonts w:ascii="Times New Roman" w:hAnsi="Times New Roman" w:eastAsia="宋体" w:cs="Times New Roman"/>
          <w:color w:val="auto"/>
          <w:szCs w:val="21"/>
          <w:highlight w:val="none"/>
        </w:rPr>
        <w:t>时</w:t>
      </w:r>
      <w:bookmarkEnd w:id="438"/>
      <w:r>
        <w:rPr>
          <w:rFonts w:ascii="Times New Roman" w:hAnsi="Times New Roman" w:eastAsia="宋体" w:cs="Times New Roman"/>
          <w:color w:val="auto"/>
          <w:szCs w:val="21"/>
          <w:highlight w:val="none"/>
        </w:rPr>
        <w:t>标的三维冲撞记录仪。到达目的地后检查振动记录装置的记录，若记录数值超过10 g一次或10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g振</w:t>
      </w:r>
      <w:bookmarkStart w:id="439" w:name="bkReivew1181634"/>
      <w:r>
        <w:rPr>
          <w:rFonts w:ascii="Times New Roman" w:hAnsi="Times New Roman" w:eastAsia="宋体" w:cs="Times New Roman"/>
          <w:color w:val="auto"/>
          <w:szCs w:val="21"/>
          <w:highlight w:val="none"/>
        </w:rPr>
        <w:t>动子</w:t>
      </w:r>
      <w:bookmarkEnd w:id="439"/>
      <w:r>
        <w:rPr>
          <w:rFonts w:ascii="Times New Roman" w:hAnsi="Times New Roman" w:eastAsia="宋体" w:cs="Times New Roman"/>
          <w:color w:val="auto"/>
          <w:szCs w:val="21"/>
          <w:highlight w:val="none"/>
        </w:rPr>
        <w:t>落下，则产品应返厂解体检查</w:t>
      </w:r>
      <w:r>
        <w:rPr>
          <w:rFonts w:hint="eastAsia" w:ascii="Times New Roman" w:hAnsi="Times New Roman" w:eastAsia="宋体" w:cs="Times New Roman"/>
          <w:color w:val="auto"/>
          <w:szCs w:val="21"/>
          <w:highlight w:val="none"/>
        </w:rPr>
        <w:t>。</w:t>
      </w:r>
      <w:bookmarkStart w:id="440" w:name="pindex1113"/>
      <w:bookmarkEnd w:id="440"/>
    </w:p>
    <w:p w14:paraId="2215B675">
      <w:pPr>
        <w:numPr>
          <w:ilvl w:val="0"/>
          <w:numId w:val="41"/>
        </w:numPr>
        <w:autoSpaceDE w:val="0"/>
        <w:autoSpaceDN w:val="0"/>
        <w:ind w:left="840" w:hanging="420"/>
        <w:rPr>
          <w:rFonts w:ascii="Times New Roman" w:hAnsi="Times New Roman" w:eastAsia="宋体" w:cs="Times New Roman"/>
          <w:color w:val="auto"/>
          <w:szCs w:val="21"/>
          <w:highlight w:val="none"/>
        </w:rPr>
      </w:pPr>
      <w:bookmarkStart w:id="441" w:name="_Toc309754981"/>
      <w:bookmarkStart w:id="442" w:name="_Toc309744251"/>
      <w:bookmarkStart w:id="443" w:name="_Toc309756125"/>
      <w:bookmarkStart w:id="444" w:name="_Toc296872657"/>
      <w:r>
        <w:rPr>
          <w:rFonts w:ascii="Times New Roman" w:hAnsi="Times New Roman" w:eastAsia="宋体" w:cs="Times New Roman"/>
          <w:color w:val="auto"/>
          <w:szCs w:val="21"/>
          <w:highlight w:val="none"/>
        </w:rPr>
        <w:t>气体</w:t>
      </w:r>
      <w:r>
        <w:rPr>
          <w:rFonts w:hint="eastAsia" w:ascii="Times New Roman" w:hAnsi="Times New Roman" w:eastAsia="宋体" w:cs="Times New Roman"/>
          <w:color w:val="auto"/>
          <w:szCs w:val="21"/>
          <w:highlight w:val="none"/>
        </w:rPr>
        <w:t>绝缘</w:t>
      </w:r>
      <w:r>
        <w:rPr>
          <w:rFonts w:ascii="Times New Roman" w:hAnsi="Times New Roman" w:eastAsia="宋体" w:cs="Times New Roman"/>
          <w:color w:val="auto"/>
          <w:szCs w:val="21"/>
          <w:highlight w:val="none"/>
        </w:rPr>
        <w:t>电</w:t>
      </w:r>
      <w:r>
        <w:rPr>
          <w:rFonts w:hint="eastAsia" w:ascii="Times New Roman" w:hAnsi="Times New Roman" w:eastAsia="宋体" w:cs="Times New Roman"/>
          <w:color w:val="auto"/>
          <w:szCs w:val="21"/>
          <w:highlight w:val="none"/>
        </w:rPr>
        <w:t>压</w:t>
      </w:r>
      <w:r>
        <w:rPr>
          <w:rFonts w:ascii="Times New Roman" w:hAnsi="Times New Roman" w:eastAsia="宋体" w:cs="Times New Roman"/>
          <w:color w:val="auto"/>
          <w:szCs w:val="21"/>
          <w:highlight w:val="none"/>
        </w:rPr>
        <w:t>互感器的充气气压应保证运输中维持正压，出厂充气压强</w:t>
      </w:r>
      <w:r>
        <w:rPr>
          <w:rFonts w:hint="eastAsia" w:ascii="Times New Roman" w:hAnsi="Times New Roman" w:eastAsia="宋体" w:cs="Times New Roman"/>
          <w:color w:val="auto"/>
          <w:szCs w:val="21"/>
          <w:highlight w:val="none"/>
        </w:rPr>
        <w:t>在</w:t>
      </w:r>
      <w:r>
        <w:rPr>
          <w:rFonts w:ascii="Times New Roman" w:hAnsi="Times New Roman" w:eastAsia="宋体" w:cs="Times New Roman"/>
          <w:color w:val="auto"/>
          <w:szCs w:val="21"/>
          <w:highlight w:val="none"/>
        </w:rPr>
        <w:t>20</w:t>
      </w:r>
      <w:r>
        <w:rPr>
          <w:rFonts w:ascii="Times New Roman" w:hAnsi="宋体" w:eastAsia="宋体" w:cs="宋体"/>
          <w:color w:val="auto"/>
          <w:highlight w:val="none"/>
        </w:rPr>
        <w:t> </w:t>
      </w:r>
      <w:r>
        <w:rPr>
          <w:rFonts w:hint="eastAsia" w:ascii="宋体" w:hAnsi="宋体" w:eastAsia="宋体" w:cs="Times New Roman"/>
          <w:color w:val="auto"/>
          <w:szCs w:val="21"/>
          <w:highlight w:val="none"/>
        </w:rPr>
        <w:t>℃</w:t>
      </w:r>
      <w:r>
        <w:rPr>
          <w:rFonts w:ascii="Times New Roman" w:hAnsi="Times New Roman" w:eastAsia="宋体" w:cs="Times New Roman"/>
          <w:color w:val="auto"/>
          <w:szCs w:val="21"/>
          <w:highlight w:val="none"/>
        </w:rPr>
        <w:t>时</w:t>
      </w:r>
      <w:r>
        <w:rPr>
          <w:rFonts w:hint="eastAsia"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rPr>
        <w:t>绝对压强为130</w:t>
      </w:r>
      <w:r>
        <w:rPr>
          <w:rFonts w:ascii="Times New Roman" w:hAnsi="宋体" w:eastAsia="宋体" w:cs="宋体"/>
          <w:color w:val="auto"/>
          <w:highlight w:val="none"/>
        </w:rPr>
        <w:t> </w:t>
      </w:r>
      <w:r>
        <w:rPr>
          <w:rFonts w:ascii="Times New Roman" w:hAnsi="Times New Roman" w:eastAsia="宋体" w:cs="Times New Roman"/>
          <w:color w:val="auto"/>
          <w:szCs w:val="21"/>
          <w:highlight w:val="none"/>
        </w:rPr>
        <w:t>kPa。</w:t>
      </w:r>
      <w:bookmarkEnd w:id="441"/>
      <w:bookmarkEnd w:id="442"/>
      <w:bookmarkEnd w:id="443"/>
      <w:bookmarkEnd w:id="444"/>
      <w:bookmarkStart w:id="445" w:name="pindex1114"/>
      <w:bookmarkEnd w:id="445"/>
    </w:p>
    <w:p w14:paraId="6DD9369C">
      <w:pPr>
        <w:pStyle w:val="260"/>
        <w:bidi w:val="0"/>
        <w:ind w:left="710" w:leftChars="0" w:hanging="710" w:firstLineChars="0"/>
        <w:rPr>
          <w:highlight w:val="none"/>
          <w:lang w:val="en-US" w:eastAsia="zh-CN"/>
        </w:rPr>
      </w:pPr>
      <w:bookmarkStart w:id="446" w:name="_Toc18157"/>
      <w:bookmarkStart w:id="447" w:name="_Toc17900"/>
      <w:bookmarkStart w:id="448" w:name="_Toc170918075"/>
      <w:r>
        <w:rPr>
          <w:rFonts w:hint="eastAsia"/>
          <w:highlight w:val="none"/>
          <w:lang w:val="en-US" w:eastAsia="zh-CN"/>
        </w:rPr>
        <w:t>贮存</w:t>
      </w:r>
      <w:bookmarkEnd w:id="446"/>
      <w:bookmarkEnd w:id="447"/>
      <w:bookmarkEnd w:id="448"/>
      <w:bookmarkStart w:id="449" w:name="pindex1115"/>
      <w:bookmarkEnd w:id="449"/>
    </w:p>
    <w:p w14:paraId="1050A31D">
      <w:pPr>
        <w:ind w:firstLine="420" w:firstLineChars="200"/>
        <w:jc w:val="both"/>
        <w:rPr>
          <w:rFonts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电压互感器</w:t>
      </w:r>
      <w:r>
        <w:rPr>
          <w:rFonts w:ascii="宋体" w:hAnsi="Times New Roman" w:eastAsia="宋体" w:cs="Times New Roman"/>
          <w:sz w:val="21"/>
          <w:highlight w:val="none"/>
          <w:lang w:val="en-US" w:eastAsia="zh-CN" w:bidi="ar-SA"/>
        </w:rPr>
        <w:t>的贮存</w:t>
      </w:r>
      <w:r>
        <w:rPr>
          <w:rFonts w:hint="eastAsia" w:ascii="宋体" w:hAnsi="Times New Roman" w:eastAsia="宋体" w:cs="Times New Roman"/>
          <w:sz w:val="21"/>
          <w:highlight w:val="none"/>
          <w:lang w:val="en-US" w:eastAsia="zh-CN" w:bidi="ar-SA"/>
        </w:rPr>
        <w:t>应符合</w:t>
      </w:r>
      <w:r>
        <w:rPr>
          <w:rFonts w:ascii="宋体" w:hAnsi="Times New Roman" w:eastAsia="宋体" w:cs="Times New Roman"/>
          <w:sz w:val="21"/>
          <w:highlight w:val="none"/>
          <w:lang w:val="en-US" w:eastAsia="zh-CN" w:bidi="ar-SA"/>
        </w:rPr>
        <w:t>下列要求：</w:t>
      </w:r>
    </w:p>
    <w:p w14:paraId="47569763">
      <w:pPr>
        <w:numPr>
          <w:ilvl w:val="0"/>
          <w:numId w:val="42"/>
        </w:numPr>
        <w:autoSpaceDE w:val="0"/>
        <w:autoSpaceDN w:val="0"/>
        <w:ind w:left="840" w:hanging="42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电压互感器的贮存应符合制造厂的要求</w:t>
      </w:r>
      <w:bookmarkStart w:id="450" w:name="pindex1117"/>
      <w:bookmarkEnd w:id="450"/>
      <w:r>
        <w:rPr>
          <w:rFonts w:hint="eastAsia" w:ascii="Times New Roman" w:hAnsi="Times New Roman" w:eastAsia="宋体" w:cs="Times New Roman"/>
          <w:szCs w:val="21"/>
          <w:highlight w:val="none"/>
        </w:rPr>
        <w:t>。</w:t>
      </w:r>
    </w:p>
    <w:p w14:paraId="0ED1AF06">
      <w:pPr>
        <w:numPr>
          <w:ilvl w:val="0"/>
          <w:numId w:val="42"/>
        </w:numPr>
        <w:autoSpaceDE w:val="0"/>
        <w:autoSpaceDN w:val="0"/>
        <w:ind w:left="840" w:hanging="420"/>
        <w:rPr>
          <w:rFonts w:ascii="Times New Roman" w:hAnsi="Times New Roman" w:eastAsia="宋体" w:cs="Times New Roman"/>
          <w:szCs w:val="21"/>
          <w:highlight w:val="none"/>
        </w:rPr>
      </w:pPr>
      <w:bookmarkStart w:id="451" w:name="sys1118039"/>
      <w:r>
        <w:rPr>
          <w:rFonts w:ascii="Times New Roman" w:hAnsi="Times New Roman" w:eastAsia="宋体" w:cs="Times New Roman"/>
          <w:szCs w:val="21"/>
          <w:highlight w:val="none"/>
        </w:rPr>
        <w:t>电</w:t>
      </w:r>
      <w:r>
        <w:rPr>
          <w:rFonts w:hint="eastAsia" w:ascii="Times New Roman" w:hAnsi="Times New Roman" w:eastAsia="宋体" w:cs="Times New Roman"/>
          <w:szCs w:val="21"/>
          <w:highlight w:val="none"/>
        </w:rPr>
        <w:t>压</w:t>
      </w:r>
      <w:r>
        <w:rPr>
          <w:rFonts w:ascii="Times New Roman" w:hAnsi="Times New Roman" w:eastAsia="宋体" w:cs="Times New Roman"/>
          <w:szCs w:val="21"/>
          <w:highlight w:val="none"/>
        </w:rPr>
        <w:t>互感器各个供电连接的接触面(包括接地处的金属平面)在</w:t>
      </w:r>
      <w:r>
        <w:rPr>
          <w:rFonts w:hint="eastAsia" w:ascii="Times New Roman" w:hAnsi="Times New Roman" w:eastAsia="宋体" w:cs="Times New Roman"/>
          <w:szCs w:val="21"/>
          <w:highlight w:val="none"/>
        </w:rPr>
        <w:t>贮存</w:t>
      </w:r>
      <w:r>
        <w:rPr>
          <w:rFonts w:ascii="Times New Roman" w:hAnsi="Times New Roman" w:eastAsia="宋体" w:cs="Times New Roman"/>
          <w:szCs w:val="21"/>
          <w:highlight w:val="none"/>
        </w:rPr>
        <w:t>期间应有防蚀措施</w:t>
      </w:r>
      <w:bookmarkEnd w:id="451"/>
      <w:bookmarkStart w:id="452" w:name="pindex1118"/>
      <w:bookmarkEnd w:id="452"/>
      <w:r>
        <w:rPr>
          <w:rFonts w:hint="eastAsia" w:ascii="Times New Roman" w:hAnsi="Times New Roman" w:eastAsia="宋体" w:cs="Times New Roman"/>
          <w:szCs w:val="21"/>
          <w:highlight w:val="none"/>
        </w:rPr>
        <w:t>。</w:t>
      </w:r>
    </w:p>
    <w:p w14:paraId="3918134F">
      <w:pPr>
        <w:numPr>
          <w:ilvl w:val="0"/>
          <w:numId w:val="42"/>
        </w:numPr>
        <w:autoSpaceDE w:val="0"/>
        <w:autoSpaceDN w:val="0"/>
        <w:ind w:left="840" w:hanging="420"/>
        <w:rPr>
          <w:rFonts w:ascii="Times New Roman" w:hAnsi="Times New Roman" w:eastAsia="宋体" w:cs="Times New Roman"/>
          <w:szCs w:val="21"/>
          <w:highlight w:val="none"/>
        </w:rPr>
      </w:pPr>
      <w:r>
        <w:rPr>
          <w:rFonts w:ascii="Times New Roman" w:hAnsi="Times New Roman" w:eastAsia="宋体" w:cs="Times New Roman"/>
          <w:szCs w:val="21"/>
          <w:highlight w:val="none"/>
        </w:rPr>
        <w:t>产品在贮存期间，应避免直接受晒雨淋，底座要高于地面50 mm以上，长期贮存应进行包装，贮存处的环境温度应在</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30</w:t>
      </w:r>
      <w:r>
        <w:rPr>
          <w:rFonts w:ascii="Times New Roman" w:hAnsi="宋体" w:eastAsia="宋体" w:cs="宋体"/>
          <w:highlight w:val="none"/>
        </w:rPr>
        <w:t> </w:t>
      </w:r>
      <w:r>
        <w:rPr>
          <w:rFonts w:hint="eastAsia" w:ascii="宋体" w:hAnsi="宋体" w:eastAsia="宋体" w:cs="Times New Roman"/>
          <w:szCs w:val="21"/>
          <w:highlight w:val="none"/>
        </w:rPr>
        <w:t>℃</w:t>
      </w: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40</w:t>
      </w:r>
      <w:r>
        <w:rPr>
          <w:rFonts w:ascii="Times New Roman" w:hAnsi="宋体" w:eastAsia="宋体" w:cs="宋体"/>
          <w:highlight w:val="none"/>
        </w:rPr>
        <w:t> </w:t>
      </w:r>
      <w:r>
        <w:rPr>
          <w:rFonts w:hint="eastAsia" w:ascii="宋体" w:hAnsi="宋体" w:eastAsia="宋体" w:cs="Times New Roman"/>
          <w:szCs w:val="21"/>
          <w:highlight w:val="none"/>
        </w:rPr>
        <w:t>℃</w:t>
      </w:r>
      <w:r>
        <w:rPr>
          <w:rFonts w:ascii="Times New Roman" w:hAnsi="Times New Roman" w:eastAsia="宋体" w:cs="Times New Roman"/>
          <w:szCs w:val="21"/>
          <w:highlight w:val="none"/>
        </w:rPr>
        <w:t>范围内。贮存期间应经常检查油面及密封情况</w:t>
      </w:r>
      <w:bookmarkStart w:id="453" w:name="pindex1119"/>
      <w:bookmarkEnd w:id="453"/>
      <w:r>
        <w:rPr>
          <w:rFonts w:hint="eastAsia" w:ascii="Times New Roman" w:hAnsi="Times New Roman" w:eastAsia="宋体" w:cs="Times New Roman"/>
          <w:szCs w:val="21"/>
          <w:highlight w:val="none"/>
        </w:rPr>
        <w:t>。</w:t>
      </w:r>
    </w:p>
    <w:p w14:paraId="08677319">
      <w:pPr>
        <w:numPr>
          <w:ilvl w:val="0"/>
          <w:numId w:val="42"/>
        </w:numPr>
        <w:autoSpaceDE w:val="0"/>
        <w:autoSpaceDN w:val="0"/>
        <w:ind w:left="840" w:hanging="42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长期贮存的电压互感器应直立放置</w:t>
      </w:r>
      <w:bookmarkStart w:id="454" w:name="pindex1120"/>
      <w:bookmarkEnd w:id="454"/>
      <w:r>
        <w:rPr>
          <w:rFonts w:hint="eastAsia" w:ascii="Times New Roman" w:hAnsi="Times New Roman" w:eastAsia="宋体" w:cs="Times New Roman"/>
          <w:szCs w:val="21"/>
          <w:highlight w:val="none"/>
        </w:rPr>
        <w:t>。</w:t>
      </w:r>
    </w:p>
    <w:p w14:paraId="229ECC64">
      <w:pPr>
        <w:pStyle w:val="258"/>
        <w:ind w:firstLine="420"/>
        <w:rPr>
          <w:rFonts w:ascii="Times New Roman" w:eastAsiaTheme="minorEastAsia"/>
          <w:color w:val="auto"/>
          <w:szCs w:val="21"/>
          <w:highlight w:val="none"/>
        </w:rPr>
      </w:pPr>
      <w:r>
        <w:rPr>
          <w:rFonts w:hint="eastAsia" w:ascii="Times New Roman" w:hAnsi="Times New Roman" w:eastAsia="宋体" w:cs="Times New Roman"/>
          <w:szCs w:val="21"/>
          <w:highlight w:val="none"/>
        </w:rPr>
        <w:t>贮存的电压互感器投入运行前，应按DL/T 393的要求开展相关试验。</w:t>
      </w:r>
      <w:bookmarkEnd w:id="427"/>
    </w:p>
    <w:p w14:paraId="0461AA7F">
      <w:pPr>
        <w:pStyle w:val="258"/>
        <w:ind w:firstLineChars="95"/>
        <w:jc w:val="center"/>
        <w:rPr>
          <w:rFonts w:ascii="黑体" w:hAnsi="黑体" w:eastAsia="黑体"/>
          <w:b/>
          <w:color w:val="auto"/>
          <w:highlight w:val="none"/>
        </w:rPr>
      </w:pPr>
      <w:r>
        <w:rPr>
          <w:rFonts w:hint="eastAsia" w:ascii="黑体" w:hAnsi="黑体" w:eastAsia="黑体"/>
          <w:b/>
          <w:color w:val="auto"/>
          <w:highlight w:val="none"/>
        </w:rPr>
        <w:t>━━━━━━━━━━━</w:t>
      </w:r>
    </w:p>
    <w:p w14:paraId="65C1F290">
      <w:pPr>
        <w:rPr>
          <w:color w:val="auto"/>
          <w:highlight w:val="none"/>
        </w:rPr>
      </w:pPr>
    </w:p>
    <w:p w14:paraId="5FE7DE93">
      <w:pPr>
        <w:pStyle w:val="349"/>
        <w:numPr>
          <w:ilvl w:val="0"/>
          <w:numId w:val="13"/>
        </w:numPr>
        <w:rPr>
          <w:color w:val="auto"/>
          <w:highlight w:val="none"/>
        </w:rPr>
      </w:pPr>
    </w:p>
    <w:p w14:paraId="42481327">
      <w:pPr>
        <w:pStyle w:val="350"/>
        <w:numPr>
          <w:ilvl w:val="0"/>
          <w:numId w:val="14"/>
        </w:numPr>
        <w:rPr>
          <w:color w:val="auto"/>
          <w:highlight w:val="none"/>
        </w:rPr>
      </w:pPr>
    </w:p>
    <w:sectPr>
      <w:footerReference r:id="rId13" w:type="default"/>
      <w:footerReference r:id="rId14" w:type="even"/>
      <w:pgSz w:w="11907" w:h="16839"/>
      <w:pgMar w:top="1417" w:right="1134" w:bottom="1134" w:left="1417" w:header="1417" w:footer="113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60101010101"/>
    <w:charset w:val="86"/>
    <w:family w:val="modern"/>
    <w:pitch w:val="default"/>
    <w:sig w:usb0="00000000" w:usb1="00000000"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DA9C">
    <w:pPr>
      <w:pStyle w:val="252"/>
      <w:ind w:right="360" w:firstLine="36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3CD718">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3CD718">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7B0C">
    <w:pPr>
      <w:pStyle w:val="251"/>
      <w:ind w:right="360" w:firstLine="36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A2E74B">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0A2E74B">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F1E9">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B7DD">
    <w:pPr>
      <w:pStyle w:val="252"/>
      <w:ind w:right="360" w:firstLine="36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88877A">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488877A">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4B3F">
    <w:pPr>
      <w:pStyle w:val="251"/>
      <w:ind w:right="360" w:firstLine="360"/>
      <w:rPr>
        <w:rStyle w:val="23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71AC11">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D71AC11">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1993">
    <w:pPr>
      <w:pStyle w:val="252"/>
      <w:ind w:right="360" w:firstLine="360"/>
      <w:rPr>
        <w:rStyle w:val="234"/>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6DE72">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E6DE72">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6095">
    <w:pPr>
      <w:pStyle w:val="251"/>
      <w:ind w:right="360" w:firstLine="360"/>
      <w:rPr>
        <w:rStyle w:val="234"/>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9AF1E">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59AF1E">
                    <w:pPr>
                      <w:pStyle w:val="60"/>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4E8E">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A0F3">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7A44">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73D4">
    <w:pPr>
      <w:pStyle w:val="253"/>
      <w:pBdr>
        <w:bottom w:val="none" w:color="auto" w:sz="0" w:space="0"/>
      </w:pBdr>
      <w:wordWrap w:val="0"/>
    </w:pPr>
    <w:r>
      <w:rPr>
        <w:rFonts w:hint="eastAsia"/>
        <w:lang w:val="en-US" w:eastAsia="zh-CN"/>
      </w:rPr>
      <w:t>T/CSEE</w:t>
    </w:r>
    <w:r>
      <w:t xml:space="preserve"> </w:t>
    </w:r>
    <w:r>
      <w:rPr>
        <w:rFonts w:hint="eastAsia"/>
        <w:lang w:val="en-US" w:eastAsia="zh-CN"/>
      </w:rPr>
      <w:t>XX</w:t>
    </w:r>
    <w: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EB13">
    <w:pPr>
      <w:pStyle w:val="62"/>
      <w:pBdr>
        <w:bottom w:val="none" w:color="auto" w:sz="0" w:space="0"/>
      </w:pBdr>
      <w:snapToGrid/>
      <w:jc w:val="left"/>
      <w:rPr>
        <w:rFonts w:ascii="黑体" w:eastAsia="黑体"/>
        <w:bCs/>
        <w:kern w:val="0"/>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58ADD"/>
    <w:multiLevelType w:val="singleLevel"/>
    <w:tmpl w:val="81158ADD"/>
    <w:lvl w:ilvl="0" w:tentative="0">
      <w:start w:val="1"/>
      <w:numFmt w:val="lowerLetter"/>
      <w:lvlText w:val="%1）"/>
      <w:lvlJc w:val="left"/>
      <w:pPr>
        <w:ind w:left="839" w:leftChars="0" w:hanging="419" w:firstLineChars="0"/>
      </w:pPr>
      <w:rPr>
        <w:rFonts w:hint="default"/>
      </w:rPr>
    </w:lvl>
  </w:abstractNum>
  <w:abstractNum w:abstractNumId="1">
    <w:nsid w:val="B8BF24ED"/>
    <w:multiLevelType w:val="singleLevel"/>
    <w:tmpl w:val="B8BF24ED"/>
    <w:lvl w:ilvl="0" w:tentative="0">
      <w:start w:val="1"/>
      <w:numFmt w:val="lowerLetter"/>
      <w:lvlText w:val="%1）"/>
      <w:lvlJc w:val="left"/>
      <w:pPr>
        <w:ind w:left="839" w:leftChars="0" w:hanging="419" w:firstLineChars="0"/>
      </w:pPr>
      <w:rPr>
        <w:rFonts w:hint="default"/>
      </w:rPr>
    </w:lvl>
  </w:abstractNum>
  <w:abstractNum w:abstractNumId="2">
    <w:nsid w:val="B9639836"/>
    <w:multiLevelType w:val="singleLevel"/>
    <w:tmpl w:val="B9639836"/>
    <w:lvl w:ilvl="0" w:tentative="0">
      <w:start w:val="1"/>
      <w:numFmt w:val="lowerLetter"/>
      <w:lvlText w:val="%1）"/>
      <w:lvlJc w:val="left"/>
      <w:pPr>
        <w:ind w:left="839" w:leftChars="0" w:hanging="419" w:firstLineChars="0"/>
      </w:pPr>
      <w:rPr>
        <w:rFonts w:hint="default"/>
      </w:rPr>
    </w:lvl>
  </w:abstractNum>
  <w:abstractNum w:abstractNumId="3">
    <w:nsid w:val="B9880DDA"/>
    <w:multiLevelType w:val="singleLevel"/>
    <w:tmpl w:val="B9880DDA"/>
    <w:lvl w:ilvl="0" w:tentative="0">
      <w:start w:val="1"/>
      <w:numFmt w:val="lowerLetter"/>
      <w:lvlText w:val="%1)"/>
      <w:lvlJc w:val="left"/>
      <w:pPr>
        <w:ind w:left="839" w:leftChars="0" w:hanging="419" w:firstLineChars="0"/>
      </w:pPr>
      <w:rPr>
        <w:rFonts w:hint="default"/>
      </w:rPr>
    </w:lvl>
  </w:abstractNum>
  <w:abstractNum w:abstractNumId="4">
    <w:nsid w:val="C5F9F18B"/>
    <w:multiLevelType w:val="multilevel"/>
    <w:tmpl w:val="C5F9F18B"/>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hanging="710"/>
      </w:pPr>
      <w:rPr>
        <w:rFonts w:hint="eastAsia"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pStyle w:val="261"/>
      <w:suff w:val="nothing"/>
      <w:lvlText w:val="%1.%2.%3　"/>
      <w:lvlJc w:val="left"/>
      <w:pPr>
        <w:ind w:left="142" w:hanging="142"/>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D724B9DB"/>
    <w:multiLevelType w:val="singleLevel"/>
    <w:tmpl w:val="D724B9DB"/>
    <w:lvl w:ilvl="0" w:tentative="0">
      <w:start w:val="1"/>
      <w:numFmt w:val="lowerLetter"/>
      <w:lvlText w:val="%1）"/>
      <w:lvlJc w:val="left"/>
      <w:pPr>
        <w:ind w:left="839" w:leftChars="0" w:hanging="419" w:firstLineChars="0"/>
      </w:pPr>
      <w:rPr>
        <w:rFonts w:hint="default"/>
      </w:rPr>
    </w:lvl>
  </w:abstractNum>
  <w:abstractNum w:abstractNumId="6">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7">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8">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9">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10">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11">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12">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13">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14">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5">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6">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8">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0">
    <w:nsid w:val="103269B2"/>
    <w:multiLevelType w:val="singleLevel"/>
    <w:tmpl w:val="103269B2"/>
    <w:lvl w:ilvl="0" w:tentative="0">
      <w:start w:val="1"/>
      <w:numFmt w:val="lowerLetter"/>
      <w:lvlText w:val="%1）"/>
      <w:lvlJc w:val="left"/>
      <w:pPr>
        <w:ind w:left="839" w:leftChars="0" w:hanging="419" w:firstLineChars="0"/>
      </w:pPr>
      <w:rPr>
        <w:rFonts w:hint="default"/>
      </w:rPr>
    </w:lvl>
  </w:abstractNum>
  <w:abstractNum w:abstractNumId="21">
    <w:nsid w:val="15E52C66"/>
    <w:multiLevelType w:val="multilevel"/>
    <w:tmpl w:val="15E52C6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44F286B"/>
    <w:multiLevelType w:val="singleLevel"/>
    <w:tmpl w:val="244F286B"/>
    <w:lvl w:ilvl="0" w:tentative="0">
      <w:start w:val="1"/>
      <w:numFmt w:val="lowerLetter"/>
      <w:lvlText w:val="%1）"/>
      <w:lvlJc w:val="left"/>
      <w:pPr>
        <w:ind w:left="839" w:leftChars="0" w:hanging="419" w:firstLineChars="0"/>
      </w:pPr>
      <w:rPr>
        <w:rFonts w:hint="default"/>
      </w:rPr>
    </w:lvl>
  </w:abstractNum>
  <w:abstractNum w:abstractNumId="23">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9">
    <w:nsid w:val="4CD010F2"/>
    <w:multiLevelType w:val="multilevel"/>
    <w:tmpl w:val="4CD010F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E50BC23"/>
    <w:multiLevelType w:val="singleLevel"/>
    <w:tmpl w:val="4E50BC23"/>
    <w:lvl w:ilvl="0" w:tentative="0">
      <w:start w:val="1"/>
      <w:numFmt w:val="decimal"/>
      <w:lvlText w:val="%1)"/>
      <w:lvlJc w:val="left"/>
      <w:pPr>
        <w:ind w:left="425" w:hanging="425"/>
      </w:pPr>
      <w:rPr>
        <w:rFonts w:hint="default"/>
      </w:rPr>
    </w:lvl>
  </w:abstractNum>
  <w:abstractNum w:abstractNumId="31">
    <w:nsid w:val="52BB231A"/>
    <w:multiLevelType w:val="multilevel"/>
    <w:tmpl w:val="52BB23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55E02EF4"/>
    <w:multiLevelType w:val="multilevel"/>
    <w:tmpl w:val="55E02EF4"/>
    <w:lvl w:ilvl="0" w:tentative="0">
      <w:start w:val="1"/>
      <w:numFmt w:val="decimal"/>
      <w:pStyle w:val="538"/>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4">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5">
    <w:nsid w:val="64D0D3EA"/>
    <w:multiLevelType w:val="singleLevel"/>
    <w:tmpl w:val="64D0D3EA"/>
    <w:lvl w:ilvl="0" w:tentative="0">
      <w:start w:val="1"/>
      <w:numFmt w:val="lowerLetter"/>
      <w:lvlText w:val="%1）"/>
      <w:lvlJc w:val="left"/>
      <w:pPr>
        <w:ind w:left="839" w:leftChars="0" w:hanging="419" w:firstLineChars="0"/>
      </w:pPr>
      <w:rPr>
        <w:rFonts w:hint="default"/>
      </w:rPr>
    </w:lvl>
  </w:abstractNum>
  <w:abstractNum w:abstractNumId="3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9C7DD1D"/>
    <w:multiLevelType w:val="multilevel"/>
    <w:tmpl w:val="79C7DD1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7F206E19"/>
    <w:multiLevelType w:val="singleLevel"/>
    <w:tmpl w:val="7F206E19"/>
    <w:lvl w:ilvl="0" w:tentative="0">
      <w:start w:val="1"/>
      <w:numFmt w:val="lowerLetter"/>
      <w:lvlText w:val="%1）"/>
      <w:lvlJc w:val="left"/>
      <w:pPr>
        <w:ind w:left="839" w:leftChars="0" w:hanging="419" w:firstLineChars="0"/>
      </w:pPr>
      <w:rPr>
        <w:rFonts w:hint="default"/>
      </w:rPr>
    </w:lvl>
  </w:abstractNum>
  <w:num w:numId="1">
    <w:abstractNumId w:val="9"/>
  </w:num>
  <w:num w:numId="2">
    <w:abstractNumId w:val="11"/>
  </w:num>
  <w:num w:numId="3">
    <w:abstractNumId w:val="14"/>
  </w:num>
  <w:num w:numId="4">
    <w:abstractNumId w:val="15"/>
  </w:num>
  <w:num w:numId="5">
    <w:abstractNumId w:val="12"/>
  </w:num>
  <w:num w:numId="6">
    <w:abstractNumId w:val="8"/>
  </w:num>
  <w:num w:numId="7">
    <w:abstractNumId w:val="13"/>
  </w:num>
  <w:num w:numId="8">
    <w:abstractNumId w:val="10"/>
  </w:num>
  <w:num w:numId="9">
    <w:abstractNumId w:val="7"/>
  </w:num>
  <w:num w:numId="10">
    <w:abstractNumId w:val="6"/>
  </w:num>
  <w:num w:numId="11">
    <w:abstractNumId w:val="4"/>
  </w:num>
  <w:num w:numId="12">
    <w:abstractNumId w:val="36"/>
  </w:num>
  <w:num w:numId="13">
    <w:abstractNumId w:val="34"/>
  </w:num>
  <w:num w:numId="14">
    <w:abstractNumId w:val="23"/>
  </w:num>
  <w:num w:numId="15">
    <w:abstractNumId w:val="39"/>
  </w:num>
  <w:num w:numId="16">
    <w:abstractNumId w:val="18"/>
  </w:num>
  <w:num w:numId="17">
    <w:abstractNumId w:val="27"/>
  </w:num>
  <w:num w:numId="18">
    <w:abstractNumId w:val="33"/>
  </w:num>
  <w:num w:numId="19">
    <w:abstractNumId w:val="17"/>
  </w:num>
  <w:num w:numId="20">
    <w:abstractNumId w:val="32"/>
  </w:num>
  <w:num w:numId="21">
    <w:abstractNumId w:val="37"/>
  </w:num>
  <w:num w:numId="22">
    <w:abstractNumId w:val="16"/>
  </w:num>
  <w:num w:numId="23">
    <w:abstractNumId w:val="26"/>
  </w:num>
  <w:num w:numId="24">
    <w:abstractNumId w:val="28"/>
  </w:num>
  <w:num w:numId="25">
    <w:abstractNumId w:val="38"/>
  </w:num>
  <w:num w:numId="26">
    <w:abstractNumId w:val="19"/>
  </w:num>
  <w:num w:numId="27">
    <w:abstractNumId w:val="25"/>
  </w:num>
  <w:num w:numId="28">
    <w:abstractNumId w:val="24"/>
  </w:num>
  <w:num w:numId="29">
    <w:abstractNumId w:val="2"/>
  </w:num>
  <w:num w:numId="30">
    <w:abstractNumId w:val="30"/>
  </w:num>
  <w:num w:numId="31">
    <w:abstractNumId w:val="3"/>
  </w:num>
  <w:num w:numId="32">
    <w:abstractNumId w:val="5"/>
  </w:num>
  <w:num w:numId="33">
    <w:abstractNumId w:val="1"/>
  </w:num>
  <w:num w:numId="34">
    <w:abstractNumId w:val="41"/>
  </w:num>
  <w:num w:numId="35">
    <w:abstractNumId w:val="20"/>
  </w:num>
  <w:num w:numId="36">
    <w:abstractNumId w:val="31"/>
  </w:num>
  <w:num w:numId="37">
    <w:abstractNumId w:val="29"/>
  </w:num>
  <w:num w:numId="38">
    <w:abstractNumId w:val="35"/>
  </w:num>
  <w:num w:numId="39">
    <w:abstractNumId w:val="22"/>
  </w:num>
  <w:num w:numId="40">
    <w:abstractNumId w:val="0"/>
  </w:num>
  <w:num w:numId="41">
    <w:abstractNumId w:val="4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M1NjMxZTI1MjIxMzVmMWQ2OTJlYzI0ZGU4NjgifQ=="/>
  </w:docVars>
  <w:rsids>
    <w:rsidRoot w:val="00BA7C85"/>
    <w:rsid w:val="000059B7"/>
    <w:rsid w:val="00006548"/>
    <w:rsid w:val="00023F1B"/>
    <w:rsid w:val="00027BD3"/>
    <w:rsid w:val="00031EEE"/>
    <w:rsid w:val="000327BE"/>
    <w:rsid w:val="00036B39"/>
    <w:rsid w:val="00037167"/>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0F5148"/>
    <w:rsid w:val="00123BF9"/>
    <w:rsid w:val="00127602"/>
    <w:rsid w:val="00144633"/>
    <w:rsid w:val="00145D12"/>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049E"/>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C3E08"/>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31E75"/>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07380"/>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906"/>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23E4"/>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169CF"/>
    <w:rsid w:val="00B226E1"/>
    <w:rsid w:val="00B23075"/>
    <w:rsid w:val="00B24932"/>
    <w:rsid w:val="00B37C0E"/>
    <w:rsid w:val="00B454CA"/>
    <w:rsid w:val="00B55871"/>
    <w:rsid w:val="00B565EB"/>
    <w:rsid w:val="00B57F96"/>
    <w:rsid w:val="00B614B1"/>
    <w:rsid w:val="00B74D02"/>
    <w:rsid w:val="00B807AF"/>
    <w:rsid w:val="00B90349"/>
    <w:rsid w:val="00BA7C85"/>
    <w:rsid w:val="00BB0B93"/>
    <w:rsid w:val="00BC6C4C"/>
    <w:rsid w:val="00BE027D"/>
    <w:rsid w:val="00BF3DB8"/>
    <w:rsid w:val="00BF533F"/>
    <w:rsid w:val="00C048E2"/>
    <w:rsid w:val="00C12F1C"/>
    <w:rsid w:val="00C21765"/>
    <w:rsid w:val="00C22264"/>
    <w:rsid w:val="00C231D9"/>
    <w:rsid w:val="00C26FF1"/>
    <w:rsid w:val="00C35BEA"/>
    <w:rsid w:val="00C422BC"/>
    <w:rsid w:val="00C531E8"/>
    <w:rsid w:val="00C63371"/>
    <w:rsid w:val="00C7294C"/>
    <w:rsid w:val="00C7721B"/>
    <w:rsid w:val="00C80B64"/>
    <w:rsid w:val="00C825D9"/>
    <w:rsid w:val="00C839AC"/>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21F0EF7"/>
    <w:rsid w:val="032D54F2"/>
    <w:rsid w:val="07BF151F"/>
    <w:rsid w:val="08D41991"/>
    <w:rsid w:val="0D827F25"/>
    <w:rsid w:val="0ED15D49"/>
    <w:rsid w:val="10601B7E"/>
    <w:rsid w:val="1B74415D"/>
    <w:rsid w:val="1C636E6F"/>
    <w:rsid w:val="1E282908"/>
    <w:rsid w:val="1EC843B0"/>
    <w:rsid w:val="27754233"/>
    <w:rsid w:val="2A4F5BED"/>
    <w:rsid w:val="31165923"/>
    <w:rsid w:val="32454B7F"/>
    <w:rsid w:val="38280060"/>
    <w:rsid w:val="3A1C56CC"/>
    <w:rsid w:val="3BD72D4E"/>
    <w:rsid w:val="453E5321"/>
    <w:rsid w:val="4ECA63AA"/>
    <w:rsid w:val="548A5A83"/>
    <w:rsid w:val="55137FA3"/>
    <w:rsid w:val="6426173B"/>
    <w:rsid w:val="667D2BB4"/>
    <w:rsid w:val="6B580C4D"/>
    <w:rsid w:val="702E23C7"/>
    <w:rsid w:val="721A7C30"/>
    <w:rsid w:val="72393272"/>
    <w:rsid w:val="74DD1EFB"/>
    <w:rsid w:val="76395DE6"/>
    <w:rsid w:val="7A9A3279"/>
    <w:rsid w:val="7B64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0" w:semiHidden="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0" w:semiHidden="0"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semiHidden="0"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0" w:semiHidden="0"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qFormat="1"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iPriority="99" w:name="Table Simple 1"/>
    <w:lsdException w:qFormat="1" w:uiPriority="99" w:name="Table Simple 2"/>
    <w:lsdException w:qFormat="1" w:uiPriority="99" w:name="Table Simple 3"/>
    <w:lsdException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6"/>
    <w:qFormat/>
    <w:uiPriority w:val="0"/>
    <w:pPr>
      <w:keepNext/>
      <w:keepLines/>
      <w:spacing w:before="260" w:after="260" w:line="416" w:lineRule="auto"/>
      <w:outlineLvl w:val="2"/>
    </w:pPr>
    <w:rPr>
      <w:b/>
      <w:bCs/>
      <w:sz w:val="32"/>
      <w:szCs w:val="32"/>
    </w:rPr>
  </w:style>
  <w:style w:type="paragraph" w:styleId="8">
    <w:name w:val="heading 4"/>
    <w:basedOn w:val="1"/>
    <w:next w:val="1"/>
    <w:link w:val="527"/>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28"/>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7"/>
    <w:semiHidden/>
    <w:unhideWhenUsed/>
    <w:qFormat/>
    <w:uiPriority w:val="99"/>
    <w:pPr>
      <w:ind w:firstLine="420" w:firstLineChars="200"/>
    </w:pPr>
  </w:style>
  <w:style w:type="paragraph" w:styleId="3">
    <w:name w:val="Body Text Indent"/>
    <w:basedOn w:val="1"/>
    <w:link w:val="486"/>
    <w:semiHidden/>
    <w:unhideWhenUsed/>
    <w:qFormat/>
    <w:uiPriority w:val="99"/>
    <w:pPr>
      <w:spacing w:after="120"/>
      <w:ind w:left="420" w:leftChars="200"/>
    </w:pPr>
  </w:style>
  <w:style w:type="paragraph" w:styleId="4">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qFormat/>
    <w:uiPriority w:val="0"/>
    <w:pPr>
      <w:ind w:left="500" w:leftChars="500"/>
    </w:pPr>
  </w:style>
  <w:style w:type="paragraph" w:styleId="16">
    <w:name w:val="toc 6"/>
    <w:basedOn w:val="17"/>
    <w:qFormat/>
    <w:uiPriority w:val="0"/>
    <w:pPr>
      <w:ind w:left="400" w:leftChars="400"/>
    </w:pPr>
  </w:style>
  <w:style w:type="paragraph" w:styleId="17">
    <w:name w:val="toc 5"/>
    <w:basedOn w:val="18"/>
    <w:qFormat/>
    <w:uiPriority w:val="0"/>
    <w:pPr>
      <w:ind w:left="300" w:leftChars="300"/>
    </w:pPr>
  </w:style>
  <w:style w:type="paragraph" w:styleId="18">
    <w:name w:val="toc 4"/>
    <w:basedOn w:val="19"/>
    <w:qFormat/>
    <w:uiPriority w:val="0"/>
    <w:pPr>
      <w:ind w:left="200" w:leftChars="200"/>
    </w:pPr>
  </w:style>
  <w:style w:type="paragraph" w:styleId="19">
    <w:name w:val="toc 3"/>
    <w:basedOn w:val="20"/>
    <w:qFormat/>
    <w:uiPriority w:val="39"/>
    <w:pPr>
      <w:ind w:left="100" w:leftChars="100"/>
    </w:pPr>
  </w:style>
  <w:style w:type="paragraph" w:styleId="20">
    <w:name w:val="toc 2"/>
    <w:basedOn w:val="21"/>
    <w:qFormat/>
    <w:uiPriority w:val="39"/>
  </w:style>
  <w:style w:type="paragraph" w:styleId="21">
    <w:name w:val="toc 1"/>
    <w:link w:val="529"/>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2"/>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8"/>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semiHidden/>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unhideWhenUsed/>
    <w:qFormat/>
    <w:uiPriority w:val="0"/>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0"/>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6"/>
    <w:semiHidden/>
    <w:unhideWhenUsed/>
    <w:qFormat/>
    <w:uiPriority w:val="99"/>
  </w:style>
  <w:style w:type="paragraph" w:styleId="39">
    <w:name w:val="Body Text 3"/>
    <w:basedOn w:val="1"/>
    <w:link w:val="489"/>
    <w:semiHidden/>
    <w:unhideWhenUsed/>
    <w:qFormat/>
    <w:uiPriority w:val="99"/>
    <w:pPr>
      <w:spacing w:after="120"/>
    </w:pPr>
    <w:rPr>
      <w:sz w:val="16"/>
      <w:szCs w:val="16"/>
    </w:rPr>
  </w:style>
  <w:style w:type="paragraph" w:styleId="40">
    <w:name w:val="Closing"/>
    <w:basedOn w:val="1"/>
    <w:link w:val="361"/>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w:basedOn w:val="1"/>
    <w:link w:val="333"/>
    <w:semiHidden/>
    <w:unhideWhenUsed/>
    <w:qFormat/>
    <w:uiPriority w:val="99"/>
    <w:pPr>
      <w:spacing w:after="12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unhideWhenUsed/>
    <w:qFormat/>
    <w:uiPriority w:val="0"/>
    <w:pPr>
      <w:ind w:left="100" w:leftChars="2500"/>
    </w:pPr>
  </w:style>
  <w:style w:type="paragraph" w:styleId="56">
    <w:name w:val="Body Text Indent 2"/>
    <w:basedOn w:val="1"/>
    <w:link w:val="490"/>
    <w:unhideWhenUsed/>
    <w:qFormat/>
    <w:uiPriority w:val="0"/>
    <w:pPr>
      <w:spacing w:after="120" w:line="480" w:lineRule="auto"/>
      <w:ind w:left="420" w:leftChars="200"/>
    </w:pPr>
  </w:style>
  <w:style w:type="paragraph" w:styleId="57">
    <w:name w:val="endnote text"/>
    <w:basedOn w:val="1"/>
    <w:link w:val="473"/>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unhideWhenUsed/>
    <w:qFormat/>
    <w:uiPriority w:val="0"/>
    <w:rPr>
      <w:sz w:val="18"/>
      <w:szCs w:val="18"/>
    </w:rPr>
  </w:style>
  <w:style w:type="paragraph" w:styleId="60">
    <w:name w:val="footer"/>
    <w:basedOn w:val="1"/>
    <w:link w:val="518"/>
    <w:qFormat/>
    <w:uiPriority w:val="99"/>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qFormat/>
    <w:uiPriority w:val="0"/>
  </w:style>
  <w:style w:type="paragraph" w:styleId="77">
    <w:name w:val="Body Text 2"/>
    <w:basedOn w:val="1"/>
    <w:link w:val="488"/>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unhideWhenUsed/>
    <w:qFormat/>
    <w:uiPriority w:val="0"/>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unhideWhenUsed/>
    <w:qFormat/>
    <w:uiPriority w:val="0"/>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6"/>
    <w:next w:val="36"/>
    <w:link w:val="369"/>
    <w:unhideWhenUsed/>
    <w:qFormat/>
    <w:uiPriority w:val="0"/>
    <w:rPr>
      <w:b/>
      <w:bCs/>
    </w:rPr>
  </w:style>
  <w:style w:type="paragraph" w:styleId="87">
    <w:name w:val="Body Text First Indent"/>
    <w:basedOn w:val="42"/>
    <w:link w:val="485"/>
    <w:semiHidden/>
    <w:unhideWhenUsed/>
    <w:qFormat/>
    <w:uiPriority w:val="99"/>
    <w:pPr>
      <w:ind w:firstLine="420" w:firstLineChars="1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0"/>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22"/>
    <w:qFormat/>
    <w:uiPriority w:val="0"/>
    <w:pPr>
      <w:numPr>
        <w:ilvl w:val="1"/>
        <w:numId w:val="11"/>
      </w:numPr>
      <w:spacing w:before="156" w:beforeLines="50" w:after="156" w:afterLines="50"/>
      <w:ind w:hanging="71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link w:val="523"/>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basedOn w:val="268"/>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basedOn w:val="271"/>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2"/>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5"/>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8"/>
    <w:semiHidden/>
    <w:qFormat/>
    <w:uiPriority w:val="99"/>
    <w:rPr>
      <w:kern w:val="2"/>
      <w:sz w:val="21"/>
      <w:szCs w:val="24"/>
    </w:rPr>
  </w:style>
  <w:style w:type="character" w:customStyle="1" w:styleId="357">
    <w:name w:val="纯文本 字符"/>
    <w:basedOn w:val="231"/>
    <w:link w:val="50"/>
    <w:semiHidden/>
    <w:qFormat/>
    <w:uiPriority w:val="99"/>
    <w:rPr>
      <w:rFonts w:ascii="宋体" w:hAnsi="Courier New" w:cs="Courier New"/>
      <w:kern w:val="2"/>
      <w:sz w:val="21"/>
      <w:szCs w:val="21"/>
    </w:rPr>
  </w:style>
  <w:style w:type="character" w:customStyle="1" w:styleId="358">
    <w:name w:val="电子邮件签名 字符"/>
    <w:basedOn w:val="231"/>
    <w:link w:val="27"/>
    <w:semiHidden/>
    <w:qFormat/>
    <w:uiPriority w:val="99"/>
    <w:rPr>
      <w:kern w:val="2"/>
      <w:sz w:val="21"/>
      <w:szCs w:val="24"/>
    </w:rPr>
  </w:style>
  <w:style w:type="character" w:customStyle="1" w:styleId="359">
    <w:name w:val="副标题 字符"/>
    <w:basedOn w:val="231"/>
    <w:link w:val="67"/>
    <w:qFormat/>
    <w:uiPriority w:val="11"/>
    <w:rPr>
      <w:rFonts w:asciiTheme="majorHAnsi" w:hAnsiTheme="majorHAnsi" w:cstheme="majorBidi"/>
      <w:b/>
      <w:bCs/>
      <w:kern w:val="28"/>
      <w:sz w:val="32"/>
      <w:szCs w:val="32"/>
    </w:rPr>
  </w:style>
  <w:style w:type="character" w:customStyle="1" w:styleId="360">
    <w:name w:val="宏文本 字符"/>
    <w:basedOn w:val="231"/>
    <w:link w:val="4"/>
    <w:semiHidden/>
    <w:qFormat/>
    <w:uiPriority w:val="99"/>
    <w:rPr>
      <w:rFonts w:ascii="Courier New" w:hAnsi="Courier New" w:cs="Courier New"/>
      <w:kern w:val="2"/>
      <w:sz w:val="24"/>
      <w:szCs w:val="24"/>
    </w:rPr>
  </w:style>
  <w:style w:type="character" w:customStyle="1" w:styleId="361">
    <w:name w:val="结束语 字符"/>
    <w:basedOn w:val="231"/>
    <w:link w:val="40"/>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9"/>
    <w:qFormat/>
    <w:uiPriority w:val="0"/>
    <w:rPr>
      <w:kern w:val="2"/>
      <w:sz w:val="18"/>
      <w:szCs w:val="18"/>
    </w:rPr>
  </w:style>
  <w:style w:type="character" w:customStyle="1" w:styleId="368">
    <w:name w:val="批注文字 字符"/>
    <w:basedOn w:val="231"/>
    <w:link w:val="36"/>
    <w:qFormat/>
    <w:uiPriority w:val="0"/>
    <w:rPr>
      <w:kern w:val="2"/>
      <w:sz w:val="21"/>
      <w:szCs w:val="24"/>
    </w:rPr>
  </w:style>
  <w:style w:type="character" w:customStyle="1" w:styleId="369">
    <w:name w:val="批注主题 字符"/>
    <w:basedOn w:val="368"/>
    <w:link w:val="86"/>
    <w:qFormat/>
    <w:uiPriority w:val="0"/>
    <w:rPr>
      <w:b/>
      <w:bCs/>
      <w:kern w:val="2"/>
      <w:sz w:val="21"/>
      <w:szCs w:val="24"/>
    </w:rPr>
  </w:style>
  <w:style w:type="character" w:customStyle="1" w:styleId="370">
    <w:name w:val="签名 字符"/>
    <w:basedOn w:val="231"/>
    <w:link w:val="63"/>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5"/>
    <w:qFormat/>
    <w:uiPriority w:val="0"/>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7"/>
    <w:semiHidden/>
    <w:qFormat/>
    <w:uiPriority w:val="99"/>
    <w:rPr>
      <w:kern w:val="2"/>
      <w:sz w:val="21"/>
      <w:szCs w:val="24"/>
    </w:rPr>
  </w:style>
  <w:style w:type="character" w:customStyle="1" w:styleId="474">
    <w:name w:val="文档结构图 字符"/>
    <w:basedOn w:val="231"/>
    <w:link w:val="34"/>
    <w:qFormat/>
    <w:uiPriority w:val="0"/>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7"/>
    <w:semiHidden/>
    <w:qFormat/>
    <w:uiPriority w:val="99"/>
    <w:rPr>
      <w:kern w:val="2"/>
      <w:sz w:val="21"/>
      <w:szCs w:val="24"/>
    </w:rPr>
  </w:style>
  <w:style w:type="character" w:customStyle="1" w:styleId="486">
    <w:name w:val="正文文本缩进 字符"/>
    <w:basedOn w:val="231"/>
    <w:link w:val="3"/>
    <w:semiHidden/>
    <w:qFormat/>
    <w:uiPriority w:val="99"/>
    <w:rPr>
      <w:kern w:val="2"/>
      <w:sz w:val="21"/>
      <w:szCs w:val="24"/>
    </w:rPr>
  </w:style>
  <w:style w:type="character" w:customStyle="1" w:styleId="487">
    <w:name w:val="正文文本首行缩进 2 字符"/>
    <w:basedOn w:val="486"/>
    <w:link w:val="2"/>
    <w:semiHidden/>
    <w:qFormat/>
    <w:uiPriority w:val="99"/>
    <w:rPr>
      <w:kern w:val="2"/>
      <w:sz w:val="21"/>
      <w:szCs w:val="24"/>
    </w:rPr>
  </w:style>
  <w:style w:type="character" w:customStyle="1" w:styleId="488">
    <w:name w:val="正文文本 2 字符"/>
    <w:basedOn w:val="231"/>
    <w:link w:val="77"/>
    <w:semiHidden/>
    <w:qFormat/>
    <w:uiPriority w:val="99"/>
    <w:rPr>
      <w:kern w:val="2"/>
      <w:sz w:val="21"/>
      <w:szCs w:val="24"/>
    </w:rPr>
  </w:style>
  <w:style w:type="character" w:customStyle="1" w:styleId="489">
    <w:name w:val="正文文本 3 字符"/>
    <w:basedOn w:val="231"/>
    <w:link w:val="39"/>
    <w:semiHidden/>
    <w:qFormat/>
    <w:uiPriority w:val="99"/>
    <w:rPr>
      <w:kern w:val="2"/>
      <w:sz w:val="16"/>
      <w:szCs w:val="16"/>
    </w:rPr>
  </w:style>
  <w:style w:type="character" w:customStyle="1" w:styleId="490">
    <w:name w:val="正文文本缩进 2 字符"/>
    <w:basedOn w:val="231"/>
    <w:link w:val="56"/>
    <w:qFormat/>
    <w:uiPriority w:val="0"/>
    <w:rPr>
      <w:kern w:val="2"/>
      <w:sz w:val="21"/>
      <w:szCs w:val="24"/>
    </w:rPr>
  </w:style>
  <w:style w:type="character" w:customStyle="1" w:styleId="491">
    <w:name w:val="正文文本缩进 3 字符"/>
    <w:basedOn w:val="231"/>
    <w:link w:val="72"/>
    <w:semiHidden/>
    <w:qFormat/>
    <w:uiPriority w:val="99"/>
    <w:rPr>
      <w:kern w:val="2"/>
      <w:sz w:val="16"/>
      <w:szCs w:val="16"/>
    </w:rPr>
  </w:style>
  <w:style w:type="character" w:customStyle="1" w:styleId="492">
    <w:name w:val="注释标题 字符"/>
    <w:basedOn w:val="231"/>
    <w:link w:val="24"/>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2"/>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character" w:customStyle="1" w:styleId="518">
    <w:name w:val="页脚 字符"/>
    <w:link w:val="60"/>
    <w:qFormat/>
    <w:uiPriority w:val="99"/>
    <w:rPr>
      <w:kern w:val="2"/>
      <w:sz w:val="18"/>
      <w:szCs w:val="18"/>
    </w:rPr>
  </w:style>
  <w:style w:type="character" w:customStyle="1" w:styleId="519">
    <w:name w:val="页眉 字符"/>
    <w:link w:val="62"/>
    <w:qFormat/>
    <w:uiPriority w:val="99"/>
    <w:rPr>
      <w:kern w:val="2"/>
      <w:sz w:val="18"/>
      <w:szCs w:val="18"/>
    </w:rPr>
  </w:style>
  <w:style w:type="paragraph" w:customStyle="1" w:styleId="520">
    <w:name w:val="表内文字"/>
    <w:basedOn w:val="1"/>
    <w:qFormat/>
    <w:uiPriority w:val="0"/>
    <w:pPr>
      <w:spacing w:line="240" w:lineRule="atLeast"/>
    </w:pPr>
    <w:rPr>
      <w:rFonts w:ascii="宋体" w:hAnsi="宋体"/>
      <w:bCs/>
      <w:kern w:val="0"/>
      <w:szCs w:val="21"/>
    </w:rPr>
  </w:style>
  <w:style w:type="paragraph" w:customStyle="1" w:styleId="521">
    <w:name w:val="三级无"/>
    <w:basedOn w:val="290"/>
    <w:qFormat/>
    <w:uiPriority w:val="0"/>
    <w:pPr>
      <w:numPr>
        <w:ilvl w:val="0"/>
        <w:numId w:val="0"/>
      </w:numPr>
      <w:spacing w:before="0" w:beforeLines="0" w:after="0" w:afterLines="0"/>
      <w:outlineLvl w:val="4"/>
    </w:pPr>
    <w:rPr>
      <w:rFonts w:ascii="宋体" w:eastAsia="宋体"/>
    </w:rPr>
  </w:style>
  <w:style w:type="character" w:customStyle="1" w:styleId="522">
    <w:name w:val="一级条标题 Char Char"/>
    <w:link w:val="260"/>
    <w:qFormat/>
    <w:uiPriority w:val="0"/>
    <w:rPr>
      <w:rFonts w:ascii="黑体" w:eastAsia="黑体"/>
      <w:sz w:val="21"/>
      <w:szCs w:val="21"/>
    </w:rPr>
  </w:style>
  <w:style w:type="character" w:customStyle="1" w:styleId="523">
    <w:name w:val="二级条标题 Char Char"/>
    <w:link w:val="261"/>
    <w:qFormat/>
    <w:uiPriority w:val="0"/>
    <w:rPr>
      <w:rFonts w:ascii="黑体" w:eastAsia="黑体"/>
      <w:sz w:val="21"/>
      <w:szCs w:val="21"/>
    </w:rPr>
  </w:style>
  <w:style w:type="character" w:customStyle="1" w:styleId="524">
    <w:name w:val="标题 1 字符"/>
    <w:link w:val="5"/>
    <w:qFormat/>
    <w:uiPriority w:val="0"/>
    <w:rPr>
      <w:b/>
      <w:bCs/>
      <w:kern w:val="44"/>
      <w:sz w:val="44"/>
      <w:szCs w:val="44"/>
    </w:rPr>
  </w:style>
  <w:style w:type="character" w:customStyle="1" w:styleId="525">
    <w:name w:val="标题 2 字符"/>
    <w:link w:val="6"/>
    <w:qFormat/>
    <w:uiPriority w:val="0"/>
    <w:rPr>
      <w:rFonts w:ascii="Arial" w:hAnsi="Arial" w:eastAsia="黑体"/>
      <w:b/>
      <w:bCs/>
      <w:kern w:val="2"/>
      <w:sz w:val="32"/>
      <w:szCs w:val="32"/>
    </w:rPr>
  </w:style>
  <w:style w:type="character" w:customStyle="1" w:styleId="526">
    <w:name w:val="标题 3 字符"/>
    <w:link w:val="7"/>
    <w:qFormat/>
    <w:uiPriority w:val="0"/>
    <w:rPr>
      <w:b/>
      <w:bCs/>
      <w:kern w:val="2"/>
      <w:sz w:val="32"/>
      <w:szCs w:val="32"/>
    </w:rPr>
  </w:style>
  <w:style w:type="character" w:customStyle="1" w:styleId="527">
    <w:name w:val="标题 4 字符"/>
    <w:link w:val="8"/>
    <w:qFormat/>
    <w:uiPriority w:val="0"/>
    <w:rPr>
      <w:rFonts w:ascii="Arial" w:hAnsi="Arial" w:eastAsia="黑体"/>
      <w:b/>
      <w:bCs/>
      <w:kern w:val="2"/>
      <w:sz w:val="28"/>
      <w:szCs w:val="28"/>
    </w:rPr>
  </w:style>
  <w:style w:type="character" w:customStyle="1" w:styleId="528">
    <w:name w:val="标题 5 字符"/>
    <w:link w:val="9"/>
    <w:qFormat/>
    <w:uiPriority w:val="0"/>
    <w:rPr>
      <w:b/>
      <w:bCs/>
      <w:kern w:val="2"/>
      <w:sz w:val="28"/>
      <w:szCs w:val="28"/>
    </w:rPr>
  </w:style>
  <w:style w:type="character" w:customStyle="1" w:styleId="529">
    <w:name w:val="TOC 1 字符"/>
    <w:link w:val="21"/>
    <w:qFormat/>
    <w:uiPriority w:val="39"/>
    <w:rPr>
      <w:rFonts w:ascii="宋体"/>
      <w:sz w:val="21"/>
    </w:rPr>
  </w:style>
  <w:style w:type="paragraph" w:customStyle="1" w:styleId="530">
    <w:name w:val="样式 样式1 + 段前: 0.5 行 段后: 0.5 行"/>
    <w:basedOn w:val="531"/>
    <w:qFormat/>
    <w:uiPriority w:val="0"/>
    <w:pPr>
      <w:tabs>
        <w:tab w:val="left" w:pos="1680"/>
      </w:tabs>
      <w:spacing w:before="156" w:beforeLines="50" w:after="156" w:afterLines="50"/>
      <w:ind w:left="1986" w:hanging="420"/>
    </w:pPr>
  </w:style>
  <w:style w:type="paragraph" w:customStyle="1" w:styleId="531">
    <w:name w:val="样式1"/>
    <w:basedOn w:val="8"/>
    <w:qFormat/>
    <w:uiPriority w:val="0"/>
    <w:pPr>
      <w:keepNext w:val="0"/>
      <w:keepLines w:val="0"/>
      <w:widowControl/>
      <w:adjustRightInd w:val="0"/>
      <w:spacing w:before="0" w:after="0" w:line="240" w:lineRule="auto"/>
      <w:jc w:val="left"/>
      <w:outlineLvl w:val="9"/>
    </w:pPr>
    <w:rPr>
      <w:rFonts w:ascii="Times New Roman" w:hAnsi="Times New Roman"/>
      <w:b w:val="0"/>
      <w:bCs w:val="0"/>
      <w:kern w:val="0"/>
      <w:sz w:val="21"/>
      <w:szCs w:val="20"/>
    </w:rPr>
  </w:style>
  <w:style w:type="paragraph" w:customStyle="1" w:styleId="532">
    <w:name w:val="样式 样式 样式 样式1 + 段前: 0.5 行 段后: 0.5 行 + 段前: 0.5 行 段后: 0.5 行 + 段前: 0..."/>
    <w:basedOn w:val="533"/>
    <w:qFormat/>
    <w:uiPriority w:val="0"/>
    <w:pPr>
      <w:tabs>
        <w:tab w:val="left" w:pos="1680"/>
      </w:tabs>
    </w:pPr>
  </w:style>
  <w:style w:type="paragraph" w:customStyle="1" w:styleId="533">
    <w:name w:val="样式 样式 样式1 + 段前: 0.5 行 段后: 0.5 行 + 段前: 0.5 行 段后: 0.5 行"/>
    <w:basedOn w:val="530"/>
    <w:qFormat/>
    <w:uiPriority w:val="0"/>
    <w:rPr>
      <w:rFonts w:hAnsi="黑体" w:eastAsia="宋体"/>
    </w:rPr>
  </w:style>
  <w:style w:type="paragraph" w:customStyle="1" w:styleId="53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5">
    <w:name w:val="TOC 标题1"/>
    <w:basedOn w:val="5"/>
    <w:next w:val="1"/>
    <w:qFormat/>
    <w:uiPriority w:val="39"/>
    <w:pPr>
      <w:widowControl/>
      <w:spacing w:before="480" w:after="0" w:line="276" w:lineRule="auto"/>
      <w:ind w:left="425" w:hanging="425"/>
      <w:jc w:val="left"/>
      <w:outlineLvl w:val="9"/>
    </w:pPr>
    <w:rPr>
      <w:rFonts w:ascii="Cambria" w:hAnsi="Cambria"/>
      <w:color w:val="365F91"/>
      <w:kern w:val="0"/>
      <w:sz w:val="28"/>
      <w:szCs w:val="28"/>
    </w:rPr>
  </w:style>
  <w:style w:type="paragraph" w:customStyle="1" w:styleId="53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37">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38">
    <w:name w:val="注：（正文）"/>
    <w:basedOn w:val="303"/>
    <w:next w:val="258"/>
    <w:qFormat/>
    <w:uiPriority w:val="0"/>
    <w:pPr>
      <w:numPr>
        <w:numId w:val="20"/>
      </w:numPr>
      <w:tabs>
        <w:tab w:val="left" w:pos="360"/>
      </w:tabs>
    </w:pPr>
  </w:style>
  <w:style w:type="paragraph" w:customStyle="1" w:styleId="539">
    <w:name w:val="样式 样式 样式 样式 样式 样式1 + 段前: 0.5 行 段后: 0.5 行 + 段前: 0.5 行 段后: 0.5 行 +...1"/>
    <w:basedOn w:val="540"/>
    <w:qFormat/>
    <w:uiPriority w:val="0"/>
    <w:pPr>
      <w:tabs>
        <w:tab w:val="left" w:pos="1680"/>
      </w:tabs>
      <w:ind w:left="0"/>
    </w:pPr>
  </w:style>
  <w:style w:type="paragraph" w:customStyle="1" w:styleId="540">
    <w:name w:val="样式 样式 样式 样式 样式1 + 段前: 0.5 行 段后: 0.5 行 + 段前: 0.5 行 段后: 0.5 行 + 段前..."/>
    <w:basedOn w:val="532"/>
    <w:qFormat/>
    <w:uiPriority w:val="0"/>
  </w:style>
  <w:style w:type="paragraph" w:customStyle="1" w:styleId="54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42">
    <w:name w:val="列表段落1"/>
    <w:basedOn w:val="1"/>
    <w:qFormat/>
    <w:uiPriority w:val="34"/>
    <w:pPr>
      <w:ind w:firstLine="420" w:firstLineChars="200"/>
    </w:pPr>
  </w:style>
  <w:style w:type="paragraph" w:customStyle="1" w:styleId="543">
    <w:name w:val="D2"/>
    <w:basedOn w:val="1"/>
    <w:qFormat/>
    <w:uiPriority w:val="0"/>
    <w:pPr>
      <w:spacing w:line="480" w:lineRule="auto"/>
    </w:pPr>
    <w:rPr>
      <w:rFonts w:ascii="EU-F1" w:eastAsia="黑体"/>
      <w:szCs w:val="21"/>
    </w:rPr>
  </w:style>
  <w:style w:type="paragraph" w:customStyle="1" w:styleId="544">
    <w:name w:val="样式 样式 样式 样式 样式 样式 样式1 + 段前: 0.5 行 段后: 0.5 行 + 段前: 0.5 行 段后: 0.5 ...1"/>
    <w:basedOn w:val="539"/>
    <w:qFormat/>
    <w:uiPriority w:val="0"/>
    <w:pPr>
      <w:spacing w:before="50" w:beforeLines="0" w:after="50" w:afterLines="0"/>
      <w:ind w:left="1843" w:firstLine="0"/>
    </w:pPr>
    <w:rPr>
      <w:rFonts w:cs="宋体"/>
    </w:rPr>
  </w:style>
  <w:style w:type="paragraph" w:customStyle="1" w:styleId="545">
    <w:name w:val="正文1"/>
    <w:qFormat/>
    <w:uiPriority w:val="0"/>
    <w:pPr>
      <w:jc w:val="both"/>
    </w:pPr>
    <w:rPr>
      <w:rFonts w:ascii="Calibri" w:hAnsi="Calibri" w:eastAsia="宋体" w:cs="Calibri"/>
      <w:kern w:val="2"/>
      <w:sz w:val="21"/>
      <w:szCs w:val="21"/>
      <w:lang w:val="en-US" w:eastAsia="zh-CN" w:bidi="ar-SA"/>
    </w:rPr>
  </w:style>
  <w:style w:type="paragraph" w:customStyle="1" w:styleId="546">
    <w:name w:val="标准文件_附录表标题"/>
    <w:basedOn w:val="1"/>
    <w:next w:val="1"/>
    <w:qFormat/>
    <w:uiPriority w:val="0"/>
    <w:pPr>
      <w:widowControl/>
      <w:adjustRightInd w:val="0"/>
      <w:snapToGrid w:val="0"/>
      <w:spacing w:beforeLines="50" w:afterLines="50"/>
      <w:ind w:firstLine="420"/>
      <w:jc w:val="center"/>
      <w:textAlignment w:val="baseline"/>
    </w:pPr>
    <w:rPr>
      <w:rFonts w:ascii="黑体" w:eastAsia="黑体"/>
      <w:kern w:val="21"/>
      <w:szCs w:val="21"/>
    </w:rPr>
  </w:style>
  <w:style w:type="paragraph" w:customStyle="1" w:styleId="547">
    <w:name w:val="标准文件_表格"/>
    <w:basedOn w:val="1"/>
    <w:qFormat/>
    <w:uiPriority w:val="0"/>
    <w:pPr>
      <w:widowControl/>
      <w:autoSpaceDE w:val="0"/>
      <w:autoSpaceDN w:val="0"/>
      <w:jc w:val="center"/>
    </w:pPr>
    <w:rPr>
      <w:rFonts w:ascii="宋体"/>
      <w:kern w:val="0"/>
      <w:sz w:val="18"/>
      <w:szCs w:val="18"/>
    </w:rPr>
  </w:style>
  <w:style w:type="character" w:customStyle="1" w:styleId="548">
    <w:name w:val="段 Char Char"/>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2.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483E88DC">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2E0838"/>
    <w:rsid w:val="004F1E24"/>
    <w:rsid w:val="00657E4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80EF-03F5-434F-AE5D-D2613B965F8A}">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19</Pages>
  <Words>9530</Words>
  <Characters>11557</Characters>
  <Lines>171</Lines>
  <Paragraphs>48</Paragraphs>
  <TotalTime>2</TotalTime>
  <ScaleCrop>false</ScaleCrop>
  <LinksUpToDate>false</LinksUpToDate>
  <CharactersWithSpaces>12020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邱进</cp:lastModifiedBy>
  <cp:lastPrinted>2021-02-08T04:27:00Z</cp:lastPrinted>
  <dcterms:modified xsi:type="dcterms:W3CDTF">2024-10-18T07:42:16Z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2052-12.1.0.18276</vt:lpwstr>
  </property>
  <property fmtid="{D5CDD505-2E9C-101B-9397-08002B2CF9AE}" pid="22" name="ICV">
    <vt:lpwstr>F092DF085F5843E78384C99A52EEF6DB_13</vt:lpwstr>
  </property>
</Properties>
</file>