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AC2C9">
      <w:pPr>
        <w:pStyle w:val="35"/>
        <w:ind w:firstLine="0" w:firstLineChars="0"/>
      </w:pPr>
    </w:p>
    <w:p w14:paraId="423EAA62">
      <w:pPr>
        <w:pStyle w:val="35"/>
        <w:ind w:firstLine="0" w:firstLineChars="0"/>
      </w:pPr>
    </w:p>
    <w:p w14:paraId="5E47ADEE">
      <w:pPr>
        <w:pStyle w:val="35"/>
        <w:ind w:firstLine="0" w:firstLineChars="0"/>
      </w:pPr>
    </w:p>
    <w:p w14:paraId="6865DE77">
      <w:pPr>
        <w:pStyle w:val="35"/>
        <w:ind w:firstLine="0" w:firstLineChars="0"/>
      </w:pPr>
    </w:p>
    <w:p w14:paraId="55231D94">
      <w:pPr>
        <w:pStyle w:val="35"/>
        <w:ind w:firstLine="0" w:firstLineChars="0"/>
      </w:pPr>
    </w:p>
    <w:p w14:paraId="0DADB3D1">
      <w:pPr>
        <w:pStyle w:val="35"/>
        <w:ind w:firstLine="0" w:firstLineChars="0"/>
      </w:pPr>
    </w:p>
    <w:p w14:paraId="06383849">
      <w:pPr>
        <w:pStyle w:val="35"/>
        <w:ind w:firstLine="0" w:firstLineChars="0"/>
      </w:pPr>
      <w:bookmarkStart w:id="40" w:name="_GoBack"/>
      <w:bookmarkEnd w:id="40"/>
    </w:p>
    <w:p w14:paraId="19CDA256">
      <w:pPr>
        <w:pStyle w:val="35"/>
        <w:ind w:firstLine="0" w:firstLineChars="0"/>
      </w:pPr>
    </w:p>
    <w:p w14:paraId="40D51D5A">
      <w:pPr>
        <w:pStyle w:val="35"/>
        <w:ind w:firstLine="0" w:firstLineChars="0"/>
      </w:pPr>
    </w:p>
    <w:p w14:paraId="1C862ACC">
      <w:pPr>
        <w:pStyle w:val="35"/>
        <w:ind w:firstLine="0" w:firstLineChars="0"/>
      </w:pPr>
    </w:p>
    <w:p w14:paraId="351EDB7E">
      <w:pPr>
        <w:pStyle w:val="35"/>
        <w:ind w:firstLine="0" w:firstLineChars="0"/>
        <w:jc w:val="center"/>
        <w:rPr>
          <w:rFonts w:hint="eastAsia" w:ascii="黑体" w:eastAsia="黑体"/>
          <w:sz w:val="44"/>
          <w:szCs w:val="44"/>
        </w:rPr>
      </w:pPr>
      <w:bookmarkStart w:id="0" w:name="OLE_LINK8"/>
      <w:r>
        <w:rPr>
          <w:rFonts w:hint="eastAsia" w:ascii="黑体" w:eastAsia="黑体"/>
          <w:sz w:val="44"/>
          <w:szCs w:val="44"/>
        </w:rPr>
        <w:t>典型</w:t>
      </w:r>
      <w:r>
        <w:rPr>
          <w:rFonts w:hint="eastAsia" w:ascii="黑体" w:eastAsia="黑体"/>
          <w:sz w:val="44"/>
          <w:szCs w:val="44"/>
          <w:lang w:eastAsia="zh-CN"/>
        </w:rPr>
        <w:t>用能设备</w:t>
      </w:r>
      <w:r>
        <w:rPr>
          <w:rFonts w:hint="eastAsia" w:ascii="黑体" w:eastAsia="黑体"/>
          <w:sz w:val="44"/>
          <w:szCs w:val="44"/>
        </w:rPr>
        <w:t>绿色智能标识</w:t>
      </w:r>
      <w:bookmarkEnd w:id="0"/>
    </w:p>
    <w:p w14:paraId="1917BA73">
      <w:pPr>
        <w:pStyle w:val="35"/>
        <w:ind w:firstLine="0" w:firstLineChars="0"/>
        <w:jc w:val="center"/>
        <w:rPr>
          <w:rFonts w:hint="eastAsia" w:ascii="黑体" w:eastAsia="黑体"/>
          <w:sz w:val="44"/>
          <w:szCs w:val="44"/>
        </w:rPr>
      </w:pPr>
    </w:p>
    <w:p w14:paraId="558AF43B">
      <w:pPr>
        <w:pStyle w:val="35"/>
      </w:pPr>
    </w:p>
    <w:p w14:paraId="3C6437FE">
      <w:pPr>
        <w:pStyle w:val="35"/>
      </w:pPr>
    </w:p>
    <w:p w14:paraId="2A8AF2EB">
      <w:pPr>
        <w:pStyle w:val="37"/>
        <w:numPr>
          <w:ilvl w:val="0"/>
          <w:numId w:val="0"/>
        </w:numPr>
        <w:jc w:val="center"/>
        <w:rPr>
          <w:sz w:val="28"/>
          <w:szCs w:val="28"/>
        </w:rPr>
      </w:pPr>
      <w:bookmarkStart w:id="1" w:name="_Toc298937333"/>
      <w:bookmarkStart w:id="2" w:name="_Toc298937368"/>
      <w:bookmarkStart w:id="3" w:name="_Toc309995492"/>
      <w:bookmarkStart w:id="4" w:name="_Toc310002657"/>
      <w:bookmarkStart w:id="5" w:name="_Toc309995410"/>
      <w:bookmarkStart w:id="6" w:name="_Toc304828086"/>
      <w:bookmarkStart w:id="7" w:name="_Toc304824981"/>
      <w:bookmarkStart w:id="8" w:name="_Toc309993200"/>
      <w:bookmarkStart w:id="9" w:name="_Toc298937473"/>
      <w:bookmarkStart w:id="10" w:name="_Toc298937620"/>
      <w:bookmarkStart w:id="11" w:name="_Toc304825020"/>
      <w:bookmarkStart w:id="12" w:name="_Toc309997060"/>
      <w:bookmarkStart w:id="13" w:name="_Toc298938794"/>
      <w:bookmarkStart w:id="14" w:name="_Toc309994571"/>
      <w:bookmarkStart w:id="15" w:name="_Toc309995598"/>
      <w:bookmarkStart w:id="16" w:name="_Toc320020914"/>
      <w:bookmarkStart w:id="17" w:name="_Toc304825093"/>
      <w:bookmarkStart w:id="18" w:name="_Toc318613715"/>
      <w:bookmarkStart w:id="19" w:name="_Toc298938646"/>
      <w:bookmarkStart w:id="20" w:name="_Toc304402675"/>
      <w:bookmarkStart w:id="21" w:name="_Toc298937430"/>
      <w:bookmarkStart w:id="22" w:name="_Toc298937560"/>
      <w:bookmarkStart w:id="23" w:name="_Toc309996019"/>
      <w:r>
        <w:rPr>
          <w:rFonts w:hint="eastAsia"/>
          <w:sz w:val="28"/>
          <w:szCs w:val="28"/>
        </w:rPr>
        <w:t>编 制 说</w:t>
      </w:r>
      <w:bookmarkEnd w:id="1"/>
      <w:bookmarkEnd w:id="2"/>
      <w:r>
        <w:rPr>
          <w:rFonts w:hint="eastAsia"/>
          <w:sz w:val="28"/>
          <w:szCs w:val="28"/>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62C2DA7">
      <w:pPr>
        <w:pStyle w:val="35"/>
        <w:ind w:firstLine="560"/>
        <w:jc w:val="center"/>
        <w:rPr>
          <w:rFonts w:ascii="黑体" w:eastAsia="黑体"/>
          <w:sz w:val="28"/>
          <w:szCs w:val="28"/>
        </w:rPr>
      </w:pPr>
    </w:p>
    <w:p w14:paraId="53A38A7C">
      <w:pPr>
        <w:pStyle w:val="35"/>
        <w:ind w:firstLine="560"/>
        <w:jc w:val="center"/>
        <w:rPr>
          <w:rFonts w:ascii="黑体" w:eastAsia="黑体"/>
          <w:sz w:val="28"/>
          <w:szCs w:val="28"/>
        </w:rPr>
      </w:pPr>
    </w:p>
    <w:p w14:paraId="14F933C7">
      <w:pPr>
        <w:pStyle w:val="35"/>
        <w:sectPr>
          <w:footerReference r:id="rId4" w:type="default"/>
          <w:headerReference r:id="rId3" w:type="even"/>
          <w:pgSz w:w="11906" w:h="16838"/>
          <w:pgMar w:top="567" w:right="1134" w:bottom="1134" w:left="1417" w:header="1418" w:footer="1134" w:gutter="0"/>
          <w:pgNumType w:fmt="decimal"/>
          <w:cols w:space="720" w:num="1"/>
          <w:formProt w:val="0"/>
          <w:docGrid w:type="lines" w:linePitch="312" w:charSpace="0"/>
        </w:sectPr>
      </w:pPr>
    </w:p>
    <w:p w14:paraId="3810D5D0">
      <w:pPr>
        <w:jc w:val="center"/>
        <w:rPr>
          <w:b/>
          <w:bCs/>
          <w:sz w:val="28"/>
          <w:szCs w:val="32"/>
        </w:rPr>
      </w:pPr>
      <w:bookmarkStart w:id="24" w:name="_Toc513731109"/>
      <w:bookmarkStart w:id="25" w:name="_Toc309992160"/>
      <w:bookmarkStart w:id="26" w:name="_Toc513731021"/>
      <w:r>
        <w:rPr>
          <w:rFonts w:hint="eastAsia"/>
          <w:b/>
          <w:bCs/>
          <w:sz w:val="28"/>
          <w:szCs w:val="32"/>
        </w:rPr>
        <w:t>目</w:t>
      </w:r>
      <w:r>
        <w:rPr>
          <w:rFonts w:hint="eastAsia"/>
          <w:b/>
          <w:bCs/>
          <w:sz w:val="28"/>
          <w:szCs w:val="32"/>
          <w:lang w:val="en-US" w:eastAsia="zh-CN"/>
        </w:rPr>
        <w:t xml:space="preserve">  </w:t>
      </w:r>
      <w:r>
        <w:rPr>
          <w:rFonts w:hint="eastAsia"/>
          <w:b/>
          <w:bCs/>
          <w:sz w:val="28"/>
          <w:szCs w:val="32"/>
        </w:rPr>
        <w:t>次</w:t>
      </w:r>
      <w:bookmarkEnd w:id="24"/>
      <w:bookmarkEnd w:id="25"/>
      <w:bookmarkEnd w:id="26"/>
    </w:p>
    <w:p w14:paraId="2E948524">
      <w:pPr>
        <w:pStyle w:val="7"/>
        <w:tabs>
          <w:tab w:val="right" w:leader="dot" w:pos="9355"/>
          <w:tab w:val="clear" w:pos="9241"/>
        </w:tabs>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_Toc29063 </w:instrText>
      </w:r>
      <w:r>
        <w:rPr>
          <w:rFonts w:hAnsi="宋体"/>
        </w:rPr>
        <w:fldChar w:fldCharType="separate"/>
      </w:r>
      <w:r>
        <w:rPr>
          <w:rFonts w:hint="eastAsia" w:ascii="宋体" w:hAnsi="宋体"/>
          <w:szCs w:val="21"/>
        </w:rPr>
        <w:t>1 编制背景</w:t>
      </w:r>
      <w:r>
        <w:tab/>
      </w:r>
      <w:r>
        <w:fldChar w:fldCharType="begin"/>
      </w:r>
      <w:r>
        <w:instrText xml:space="preserve"> PAGEREF _Toc29063 \h </w:instrText>
      </w:r>
      <w:r>
        <w:fldChar w:fldCharType="separate"/>
      </w:r>
      <w:r>
        <w:t>1</w:t>
      </w:r>
      <w:r>
        <w:fldChar w:fldCharType="end"/>
      </w:r>
      <w:r>
        <w:rPr>
          <w:rFonts w:hAnsi="宋体"/>
        </w:rPr>
        <w:fldChar w:fldCharType="end"/>
      </w:r>
    </w:p>
    <w:p w14:paraId="4E1ABE65">
      <w:pPr>
        <w:pStyle w:val="7"/>
        <w:tabs>
          <w:tab w:val="right" w:leader="dot" w:pos="9355"/>
          <w:tab w:val="clear" w:pos="9241"/>
        </w:tabs>
      </w:pPr>
      <w:r>
        <w:rPr>
          <w:rFonts w:hAnsi="宋体"/>
          <w:szCs w:val="21"/>
        </w:rPr>
        <w:fldChar w:fldCharType="begin"/>
      </w:r>
      <w:r>
        <w:rPr>
          <w:rFonts w:hAnsi="宋体"/>
          <w:szCs w:val="21"/>
        </w:rPr>
        <w:instrText xml:space="preserve"> HYPERLINK \l _Toc11094 </w:instrText>
      </w:r>
      <w:r>
        <w:rPr>
          <w:rFonts w:hAnsi="宋体"/>
          <w:szCs w:val="21"/>
        </w:rPr>
        <w:fldChar w:fldCharType="separate"/>
      </w:r>
      <w:r>
        <w:rPr>
          <w:rFonts w:hint="eastAsia" w:ascii="宋体" w:hAnsi="宋体"/>
          <w:szCs w:val="21"/>
        </w:rPr>
        <w:t>2 编制主要原则</w:t>
      </w:r>
      <w:r>
        <w:tab/>
      </w:r>
      <w:r>
        <w:fldChar w:fldCharType="begin"/>
      </w:r>
      <w:r>
        <w:instrText xml:space="preserve"> PAGEREF _Toc11094 \h </w:instrText>
      </w:r>
      <w:r>
        <w:fldChar w:fldCharType="separate"/>
      </w:r>
      <w:r>
        <w:t>1</w:t>
      </w:r>
      <w:r>
        <w:fldChar w:fldCharType="end"/>
      </w:r>
      <w:r>
        <w:rPr>
          <w:rFonts w:hAnsi="宋体"/>
          <w:szCs w:val="21"/>
        </w:rPr>
        <w:fldChar w:fldCharType="end"/>
      </w:r>
    </w:p>
    <w:p w14:paraId="52AD6FF1">
      <w:pPr>
        <w:pStyle w:val="7"/>
        <w:tabs>
          <w:tab w:val="right" w:leader="dot" w:pos="9355"/>
          <w:tab w:val="clear" w:pos="9241"/>
        </w:tabs>
      </w:pPr>
      <w:r>
        <w:rPr>
          <w:rFonts w:hAnsi="宋体"/>
          <w:szCs w:val="21"/>
        </w:rPr>
        <w:fldChar w:fldCharType="begin"/>
      </w:r>
      <w:r>
        <w:rPr>
          <w:rFonts w:hAnsi="宋体"/>
          <w:szCs w:val="21"/>
        </w:rPr>
        <w:instrText xml:space="preserve"> HYPERLINK \l _Toc21642 </w:instrText>
      </w:r>
      <w:r>
        <w:rPr>
          <w:rFonts w:hAnsi="宋体"/>
          <w:szCs w:val="21"/>
        </w:rPr>
        <w:fldChar w:fldCharType="separate"/>
      </w:r>
      <w:r>
        <w:rPr>
          <w:rFonts w:hint="eastAsia" w:ascii="宋体" w:hAnsi="宋体" w:cs="Times New Roman"/>
          <w:szCs w:val="21"/>
        </w:rPr>
        <w:t>3 主要工作过程</w:t>
      </w:r>
      <w:r>
        <w:tab/>
      </w:r>
      <w:r>
        <w:fldChar w:fldCharType="begin"/>
      </w:r>
      <w:r>
        <w:instrText xml:space="preserve"> PAGEREF _Toc21642 \h </w:instrText>
      </w:r>
      <w:r>
        <w:fldChar w:fldCharType="separate"/>
      </w:r>
      <w:r>
        <w:t>2</w:t>
      </w:r>
      <w:r>
        <w:fldChar w:fldCharType="end"/>
      </w:r>
      <w:r>
        <w:rPr>
          <w:rFonts w:hAnsi="宋体"/>
          <w:szCs w:val="21"/>
        </w:rPr>
        <w:fldChar w:fldCharType="end"/>
      </w:r>
    </w:p>
    <w:p w14:paraId="149F1F51">
      <w:pPr>
        <w:pStyle w:val="7"/>
        <w:tabs>
          <w:tab w:val="right" w:leader="dot" w:pos="9355"/>
          <w:tab w:val="clear" w:pos="9241"/>
        </w:tabs>
      </w:pPr>
      <w:r>
        <w:rPr>
          <w:rFonts w:hAnsi="宋体"/>
          <w:szCs w:val="21"/>
        </w:rPr>
        <w:fldChar w:fldCharType="begin"/>
      </w:r>
      <w:r>
        <w:rPr>
          <w:rFonts w:hAnsi="宋体"/>
          <w:szCs w:val="21"/>
        </w:rPr>
        <w:instrText xml:space="preserve"> HYPERLINK \l _Toc25146 </w:instrText>
      </w:r>
      <w:r>
        <w:rPr>
          <w:rFonts w:hAnsi="宋体"/>
          <w:szCs w:val="21"/>
        </w:rPr>
        <w:fldChar w:fldCharType="separate"/>
      </w:r>
      <w:r>
        <w:rPr>
          <w:rFonts w:hint="eastAsia" w:ascii="宋体" w:hAnsi="宋体" w:cs="Times New Roman"/>
          <w:szCs w:val="21"/>
        </w:rPr>
        <w:t>4 标准结构和内容说明</w:t>
      </w:r>
      <w:r>
        <w:tab/>
      </w:r>
      <w:r>
        <w:fldChar w:fldCharType="begin"/>
      </w:r>
      <w:r>
        <w:instrText xml:space="preserve"> PAGEREF _Toc25146 \h </w:instrText>
      </w:r>
      <w:r>
        <w:fldChar w:fldCharType="separate"/>
      </w:r>
      <w:r>
        <w:t>2</w:t>
      </w:r>
      <w:r>
        <w:fldChar w:fldCharType="end"/>
      </w:r>
      <w:r>
        <w:rPr>
          <w:rFonts w:hAnsi="宋体"/>
          <w:szCs w:val="21"/>
        </w:rPr>
        <w:fldChar w:fldCharType="end"/>
      </w:r>
    </w:p>
    <w:p w14:paraId="528DE823">
      <w:pPr>
        <w:pStyle w:val="7"/>
        <w:tabs>
          <w:tab w:val="right" w:leader="dot" w:pos="9355"/>
          <w:tab w:val="clear" w:pos="9241"/>
        </w:tabs>
      </w:pPr>
      <w:r>
        <w:rPr>
          <w:rFonts w:hAnsi="宋体"/>
          <w:szCs w:val="21"/>
        </w:rPr>
        <w:fldChar w:fldCharType="begin"/>
      </w:r>
      <w:r>
        <w:rPr>
          <w:rFonts w:hAnsi="宋体"/>
          <w:szCs w:val="21"/>
        </w:rPr>
        <w:instrText xml:space="preserve"> HYPERLINK \l _Toc13751 </w:instrText>
      </w:r>
      <w:r>
        <w:rPr>
          <w:rFonts w:hAnsi="宋体"/>
          <w:szCs w:val="21"/>
        </w:rPr>
        <w:fldChar w:fldCharType="separate"/>
      </w:r>
      <w:r>
        <w:rPr>
          <w:rFonts w:hint="eastAsia" w:ascii="宋体" w:hAnsi="宋体"/>
          <w:szCs w:val="21"/>
        </w:rPr>
        <w:t>5相关</w:t>
      </w:r>
      <w:r>
        <w:rPr>
          <w:rFonts w:hint="eastAsia"/>
        </w:rPr>
        <w:t>标准对比说明</w:t>
      </w:r>
      <w:r>
        <w:tab/>
      </w:r>
      <w:r>
        <w:fldChar w:fldCharType="begin"/>
      </w:r>
      <w:r>
        <w:instrText xml:space="preserve"> PAGEREF _Toc13751 \h </w:instrText>
      </w:r>
      <w:r>
        <w:fldChar w:fldCharType="separate"/>
      </w:r>
      <w:r>
        <w:t>2</w:t>
      </w:r>
      <w:r>
        <w:fldChar w:fldCharType="end"/>
      </w:r>
      <w:r>
        <w:rPr>
          <w:rFonts w:hAnsi="宋体"/>
          <w:szCs w:val="21"/>
        </w:rPr>
        <w:fldChar w:fldCharType="end"/>
      </w:r>
    </w:p>
    <w:p w14:paraId="2E23F5B7">
      <w:pPr>
        <w:pStyle w:val="7"/>
        <w:tabs>
          <w:tab w:val="right" w:leader="dot" w:pos="9355"/>
          <w:tab w:val="clear" w:pos="9241"/>
        </w:tabs>
      </w:pPr>
      <w:r>
        <w:rPr>
          <w:rFonts w:hAnsi="宋体"/>
          <w:szCs w:val="21"/>
        </w:rPr>
        <w:fldChar w:fldCharType="begin"/>
      </w:r>
      <w:r>
        <w:rPr>
          <w:rFonts w:hAnsi="宋体"/>
          <w:szCs w:val="21"/>
        </w:rPr>
        <w:instrText xml:space="preserve"> HYPERLINK \l _Toc15428 </w:instrText>
      </w:r>
      <w:r>
        <w:rPr>
          <w:rFonts w:hAnsi="宋体"/>
          <w:szCs w:val="21"/>
        </w:rPr>
        <w:fldChar w:fldCharType="separate"/>
      </w:r>
      <w:r>
        <w:rPr>
          <w:rFonts w:hint="eastAsia" w:ascii="宋体" w:hAnsi="宋体"/>
          <w:szCs w:val="21"/>
        </w:rPr>
        <w:t>6标准实施措施说明</w:t>
      </w:r>
      <w:r>
        <w:tab/>
      </w:r>
      <w:r>
        <w:fldChar w:fldCharType="begin"/>
      </w:r>
      <w:r>
        <w:instrText xml:space="preserve"> PAGEREF _Toc15428 \h </w:instrText>
      </w:r>
      <w:r>
        <w:fldChar w:fldCharType="separate"/>
      </w:r>
      <w:r>
        <w:t>2</w:t>
      </w:r>
      <w:r>
        <w:fldChar w:fldCharType="end"/>
      </w:r>
      <w:r>
        <w:rPr>
          <w:rFonts w:hAnsi="宋体"/>
          <w:szCs w:val="21"/>
        </w:rPr>
        <w:fldChar w:fldCharType="end"/>
      </w:r>
    </w:p>
    <w:p w14:paraId="77F688AE">
      <w:pPr>
        <w:pStyle w:val="35"/>
        <w:rPr>
          <w:rFonts w:hAnsi="宋体"/>
          <w:szCs w:val="21"/>
        </w:rPr>
      </w:pPr>
      <w:r>
        <w:rPr>
          <w:rFonts w:hAnsi="宋体"/>
          <w:szCs w:val="21"/>
        </w:rPr>
        <w:fldChar w:fldCharType="end"/>
      </w:r>
    </w:p>
    <w:p w14:paraId="0E2D7C9E">
      <w:pPr>
        <w:pStyle w:val="35"/>
        <w:rPr>
          <w:rFonts w:hAnsi="宋体"/>
          <w:szCs w:val="21"/>
        </w:rPr>
      </w:pPr>
    </w:p>
    <w:p w14:paraId="16A85312">
      <w:pPr>
        <w:pStyle w:val="35"/>
        <w:rPr>
          <w:rFonts w:hAnsi="宋体"/>
          <w:szCs w:val="21"/>
        </w:rPr>
      </w:pPr>
    </w:p>
    <w:p w14:paraId="3E0F1B5F">
      <w:pPr>
        <w:pStyle w:val="35"/>
        <w:rPr>
          <w:rFonts w:hAnsi="宋体"/>
          <w:szCs w:val="21"/>
        </w:rPr>
      </w:pPr>
    </w:p>
    <w:p w14:paraId="26F9A2E9">
      <w:pPr>
        <w:pStyle w:val="35"/>
        <w:rPr>
          <w:rFonts w:hAnsi="宋体"/>
          <w:szCs w:val="21"/>
        </w:rPr>
        <w:sectPr>
          <w:headerReference r:id="rId5" w:type="default"/>
          <w:footerReference r:id="rId6" w:type="default"/>
          <w:pgSz w:w="11906" w:h="16838"/>
          <w:pgMar w:top="567" w:right="1134" w:bottom="1134" w:left="1417" w:header="1418" w:footer="1134" w:gutter="0"/>
          <w:pgNumType w:start="28"/>
          <w:cols w:space="720" w:num="1"/>
          <w:formProt w:val="0"/>
          <w:docGrid w:type="lines" w:linePitch="312" w:charSpace="0"/>
        </w:sectPr>
      </w:pPr>
    </w:p>
    <w:p w14:paraId="285986EF">
      <w:pPr>
        <w:pStyle w:val="51"/>
        <w:keepNext/>
        <w:keepLines/>
        <w:pageBreakBefore w:val="0"/>
        <w:widowControl w:val="0"/>
        <w:kinsoku/>
        <w:wordWrap/>
        <w:overflowPunct/>
        <w:topLinePunct w:val="0"/>
        <w:autoSpaceDE/>
        <w:autoSpaceDN/>
        <w:bidi w:val="0"/>
        <w:adjustRightInd/>
        <w:snapToGrid/>
        <w:spacing w:before="157" w:beforeLines="50" w:after="157" w:afterLines="50"/>
        <w:textAlignment w:val="auto"/>
        <w:rPr>
          <w:rFonts w:ascii="宋体" w:hAnsi="宋体"/>
          <w:szCs w:val="21"/>
        </w:rPr>
      </w:pPr>
      <w:bookmarkStart w:id="27" w:name="_Toc29063"/>
      <w:r>
        <w:rPr>
          <w:rFonts w:hint="eastAsia" w:ascii="宋体" w:hAnsi="宋体"/>
          <w:szCs w:val="21"/>
        </w:rPr>
        <w:t>1 编制背景</w:t>
      </w:r>
      <w:bookmarkEnd w:id="27"/>
    </w:p>
    <w:p w14:paraId="77101252">
      <w:pPr>
        <w:pStyle w:val="35"/>
        <w:rPr>
          <w:rFonts w:hint="eastAsia"/>
        </w:rPr>
      </w:pPr>
      <w:r>
        <w:rPr>
          <w:rFonts w:hint="eastAsia"/>
        </w:rPr>
        <w:t>本标准是根据</w:t>
      </w:r>
      <w:r>
        <w:rPr>
          <w:rFonts w:hint="eastAsia"/>
          <w:lang w:val="en-US" w:eastAsia="zh-CN"/>
        </w:rPr>
        <w:t>电机咨[2024]331</w:t>
      </w:r>
      <w:r>
        <w:rPr>
          <w:rFonts w:hint="eastAsia"/>
        </w:rPr>
        <w:t>号文“</w:t>
      </w:r>
      <w:r>
        <w:rPr>
          <w:rFonts w:hint="eastAsia"/>
          <w:lang w:val="en-US" w:eastAsia="zh-CN"/>
        </w:rPr>
        <w:t>中国电机工程学会关于印发‘中国电机工程学会 2024 年标准计划（第一批）’的通知</w:t>
      </w:r>
      <w:r>
        <w:rPr>
          <w:rFonts w:hint="eastAsia"/>
        </w:rPr>
        <w:t>”下达的制定任务，项目序号</w:t>
      </w:r>
      <w:r>
        <w:rPr>
          <w:rFonts w:hint="eastAsia"/>
          <w:lang w:val="en-US" w:eastAsia="zh-CN"/>
        </w:rPr>
        <w:t>33，</w:t>
      </w:r>
      <w:r>
        <w:rPr>
          <w:rFonts w:hint="eastAsia"/>
        </w:rPr>
        <w:t>对“</w:t>
      </w:r>
      <w:r>
        <w:rPr>
          <w:rFonts w:hint="eastAsia"/>
          <w:lang w:val="en-US" w:eastAsia="zh-CN"/>
        </w:rPr>
        <w:t>典型用能设备绿色智能标识</w:t>
      </w:r>
      <w:r>
        <w:rPr>
          <w:rFonts w:hint="eastAsia"/>
        </w:rPr>
        <w:t>”标准进行制定的。由国网(苏州)城市能源研究院有限责任公司、IEC国际标准促进中心(南京)、国网江苏综合能源服务公司、南瑞集团有限公司、苏州汇川技术有限公司、青岛海尔空调电子有限公司、美的集团股份有限公司、深圳市科中云技术有限公司负责起草。</w:t>
      </w:r>
    </w:p>
    <w:p w14:paraId="7C7738AC">
      <w:pPr>
        <w:pStyle w:val="35"/>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在我国虚拟电厂项目逐步转入规模化推广建设阶段的过程中，可控负荷、分布式电源、充换电设备等典型资源的监测控制权属问题极大阻碍了项目落地实施的步伐。以空调为例，目前大多数空调已经内置了远程通信接口，空调设备商可以实现内部调控。但由于缺乏统一的对外通信接口，大部分空调设备的所有者并不掌握设备的远程监测调控权限，用户或第三方要实现对设备的远程调控，则只能新增一套通信控制装置。该现状一方面增加了可调资源参与调控的初始投资成本，降低了设备购买方通过灵活参与市场交易的投资收益率；另一方面也增加了重复投资概率，阻碍了虚拟电厂、工业互联网、智慧城市建设“最后一公里”进程。要解决该问题，需要推动典型设备信息公开标准的系统性完善，构建虚拟电厂的“数字化底座”。</w:t>
      </w:r>
    </w:p>
    <w:p w14:paraId="5C533D12">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通过本标准实施，引导设备厂商推进设备控制单元的开放和运维工作，合理披露通信接口、通信协议、数据开放授权及其格式，引导用户有意识选购具有高智能通信等级的设备资源，加快电力用户侧设备产业数字化进程，从而减少工业互联网、能源互联网、数字工厂、虚拟电厂等场景下的设备资源摸排、检测控制等方面的重复投资和维护难度，推动能源互联网、虚拟电厂等产业良性发展，有效提升工业物联网、智慧园区、数字城市等新模式、新业态的产业发展逻辑和落地建设进程。</w:t>
      </w:r>
    </w:p>
    <w:p w14:paraId="54C7F367">
      <w:pPr>
        <w:pStyle w:val="51"/>
        <w:spacing w:before="312" w:after="312"/>
        <w:rPr>
          <w:rFonts w:ascii="宋体" w:hAnsi="宋体"/>
          <w:szCs w:val="21"/>
        </w:rPr>
      </w:pPr>
      <w:bookmarkStart w:id="28" w:name="_Toc11094"/>
      <w:r>
        <w:rPr>
          <w:rFonts w:hint="eastAsia" w:ascii="宋体" w:hAnsi="宋体"/>
          <w:szCs w:val="21"/>
        </w:rPr>
        <w:t>2 编制主要原则</w:t>
      </w:r>
      <w:bookmarkEnd w:id="28"/>
    </w:p>
    <w:p w14:paraId="6A24654F">
      <w:pPr>
        <w:pStyle w:val="55"/>
        <w:numPr>
          <w:ilvl w:val="0"/>
          <w:numId w:val="0"/>
        </w:numPr>
        <w:spacing w:before="156" w:beforeLines="50" w:after="156" w:afterLines="50"/>
        <w:rPr>
          <w:rFonts w:hint="default" w:eastAsia="黑体"/>
          <w:lang w:val="en-US" w:eastAsia="zh-CN"/>
        </w:rPr>
      </w:pPr>
      <w:r>
        <w:rPr>
          <w:rFonts w:hint="eastAsia"/>
        </w:rPr>
        <w:t xml:space="preserve">2.1 </w:t>
      </w:r>
      <w:r>
        <w:rPr>
          <w:rFonts w:hint="eastAsia"/>
          <w:lang w:val="en-US" w:eastAsia="zh-CN"/>
        </w:rPr>
        <w:t>规范性</w:t>
      </w:r>
    </w:p>
    <w:p w14:paraId="40D71921">
      <w:pPr>
        <w:pStyle w:val="35"/>
      </w:pPr>
      <w:r>
        <w:rPr>
          <w:rFonts w:hint="eastAsia"/>
        </w:rPr>
        <w:t>编写遵循</w:t>
      </w:r>
      <w:r>
        <w:t>GB/T 1.1-2020</w:t>
      </w:r>
      <w:r>
        <w:rPr>
          <w:rFonts w:hint="eastAsia"/>
        </w:rPr>
        <w:t>和</w:t>
      </w:r>
      <w:r>
        <w:t>GB/T 1.2-2020</w:t>
      </w:r>
      <w:r>
        <w:rPr>
          <w:rFonts w:hint="eastAsia"/>
        </w:rPr>
        <w:t>等标准，确保标准的内容和结构符合规范要求。</w:t>
      </w:r>
    </w:p>
    <w:p w14:paraId="25B4735F">
      <w:pPr>
        <w:pStyle w:val="55"/>
        <w:numPr>
          <w:ilvl w:val="0"/>
          <w:numId w:val="0"/>
        </w:numPr>
        <w:spacing w:before="156" w:beforeLines="50" w:after="156" w:afterLines="50"/>
        <w:rPr>
          <w:rFonts w:hint="eastAsia"/>
        </w:rPr>
      </w:pPr>
      <w:r>
        <w:rPr>
          <w:rFonts w:hint="eastAsia"/>
        </w:rPr>
        <w:t>2.2 一致性</w:t>
      </w:r>
    </w:p>
    <w:p w14:paraId="24B3907E">
      <w:pPr>
        <w:pStyle w:val="35"/>
        <w:spacing w:before="78" w:after="78"/>
      </w:pPr>
      <w:r>
        <w:rPr>
          <w:rFonts w:hint="eastAsia"/>
        </w:rPr>
        <w:t>标准文本内部各部分之间要保持一致，使用相同的用语和术语，避免同义词的使用，确保标准的一致性。</w:t>
      </w:r>
    </w:p>
    <w:p w14:paraId="77DEC0EF">
      <w:pPr>
        <w:pStyle w:val="55"/>
        <w:numPr>
          <w:ilvl w:val="0"/>
          <w:numId w:val="0"/>
        </w:numPr>
        <w:spacing w:before="156" w:beforeLines="50" w:after="156" w:afterLines="50"/>
      </w:pPr>
      <w:r>
        <w:rPr>
          <w:rFonts w:hint="eastAsia"/>
        </w:rPr>
        <w:t xml:space="preserve">2.3 </w:t>
      </w:r>
      <w:r>
        <w:t>开放性</w:t>
      </w:r>
    </w:p>
    <w:p w14:paraId="315C929C">
      <w:pPr>
        <w:pStyle w:val="35"/>
        <w:spacing w:before="78" w:after="78"/>
        <w:rPr>
          <w:rFonts w:eastAsia="等线"/>
        </w:rPr>
      </w:pPr>
      <w:r>
        <w:rPr>
          <w:rFonts w:hint="eastAsia"/>
        </w:rPr>
        <w:t>标准制定过程中要保证各相关方的有效参与，通过设立规则让各方充分讨论，解决技术内容分歧</w:t>
      </w:r>
      <w:r>
        <w:rPr>
          <w:rFonts w:hint="eastAsia" w:ascii="等线" w:hAnsi="等线" w:eastAsia="等线" w:cs="MS Gothic"/>
        </w:rPr>
        <w:t>。</w:t>
      </w:r>
    </w:p>
    <w:p w14:paraId="48949EA2">
      <w:pPr>
        <w:pStyle w:val="55"/>
        <w:numPr>
          <w:ilvl w:val="0"/>
          <w:numId w:val="0"/>
        </w:numPr>
        <w:spacing w:before="156" w:beforeLines="50" w:after="156" w:afterLines="50"/>
      </w:pPr>
      <w:r>
        <w:t>‌</w:t>
      </w:r>
      <w:r>
        <w:rPr>
          <w:rFonts w:hint="eastAsia"/>
        </w:rPr>
        <w:t xml:space="preserve">2.4 </w:t>
      </w:r>
      <w:r>
        <w:t>公正性和协商一致</w:t>
      </w:r>
    </w:p>
    <w:p w14:paraId="5B5D5BDF">
      <w:pPr>
        <w:pStyle w:val="35"/>
        <w:spacing w:before="78" w:after="78"/>
      </w:pPr>
      <w:r>
        <w:rPr>
          <w:rFonts w:hint="eastAsia"/>
        </w:rPr>
        <w:t>参编单位</w:t>
      </w:r>
      <w:r>
        <w:t>通过协商一致的方式达成普遍同意</w:t>
      </w:r>
      <w:r>
        <w:rPr>
          <w:rFonts w:hint="eastAsia"/>
        </w:rPr>
        <w:t>。</w:t>
      </w:r>
    </w:p>
    <w:p w14:paraId="21DB6577">
      <w:pPr>
        <w:pStyle w:val="55"/>
        <w:numPr>
          <w:ilvl w:val="0"/>
          <w:numId w:val="0"/>
        </w:numPr>
        <w:spacing w:before="156" w:beforeLines="50" w:after="156" w:afterLines="50"/>
      </w:pPr>
      <w:r>
        <w:rPr>
          <w:rFonts w:hint="eastAsia"/>
        </w:rPr>
        <w:t>2.5 协调性</w:t>
      </w:r>
    </w:p>
    <w:p w14:paraId="6437AEB7">
      <w:pPr>
        <w:pStyle w:val="35"/>
        <w:spacing w:before="78" w:after="78"/>
        <w:rPr>
          <w:rFonts w:hint="eastAsia"/>
        </w:rPr>
      </w:pPr>
      <w:r>
        <w:rPr>
          <w:rFonts w:hint="eastAsia" w:hAnsi="宋体" w:cs="宋体"/>
        </w:rPr>
        <w:t>标准与现行有效的文件相互协调，避免重复和不必要的差异，遵守基础标准和通用标准的规定</w:t>
      </w:r>
      <w:r>
        <w:rPr>
          <w:rFonts w:hint="eastAsia" w:ascii="等线" w:hAnsi="等线" w:eastAsia="等线" w:cs="MS Gothic"/>
        </w:rPr>
        <w:t>。</w:t>
      </w:r>
    </w:p>
    <w:p w14:paraId="37C149B0">
      <w:pPr>
        <w:pStyle w:val="51"/>
        <w:spacing w:before="312" w:after="312"/>
        <w:rPr>
          <w:rFonts w:hint="eastAsia" w:ascii="宋体" w:hAnsi="宋体" w:cs="Times New Roman"/>
          <w:szCs w:val="21"/>
        </w:rPr>
      </w:pPr>
      <w:bookmarkStart w:id="29" w:name="_Toc21642"/>
      <w:r>
        <w:rPr>
          <w:rFonts w:hint="eastAsia" w:ascii="宋体" w:hAnsi="宋体" w:cs="Times New Roman"/>
          <w:szCs w:val="21"/>
        </w:rPr>
        <w:t>3 主要工作过程</w:t>
      </w:r>
      <w:bookmarkEnd w:id="29"/>
    </w:p>
    <w:p w14:paraId="228EA862">
      <w:pPr>
        <w:ind w:firstLine="420" w:firstLineChars="200"/>
        <w:rPr>
          <w:rFonts w:ascii="宋体" w:hAnsi="Times New Roman"/>
          <w:color w:val="auto"/>
          <w:kern w:val="0"/>
          <w:szCs w:val="20"/>
        </w:rPr>
      </w:pPr>
      <w:r>
        <w:rPr>
          <w:rFonts w:hint="eastAsia" w:ascii="宋体" w:hAnsi="Times New Roman"/>
          <w:color w:val="auto"/>
          <w:kern w:val="0"/>
          <w:szCs w:val="20"/>
        </w:rPr>
        <w:t>2024年7月，</w:t>
      </w:r>
      <w:r>
        <w:rPr>
          <w:rFonts w:hint="eastAsia" w:ascii="Times New Roman" w:hAnsi="Times New Roman"/>
          <w:color w:val="auto"/>
        </w:rPr>
        <w:t>中国电机工程学会下达</w:t>
      </w:r>
      <w:r>
        <w:rPr>
          <w:rFonts w:hint="eastAsia" w:ascii="Times New Roman" w:hAnsi="Times New Roman"/>
          <w:color w:val="auto"/>
          <w:lang w:val="en-US" w:eastAsia="zh-CN"/>
        </w:rPr>
        <w:t>标准立项通知</w:t>
      </w:r>
      <w:r>
        <w:rPr>
          <w:rFonts w:hint="eastAsia" w:ascii="Times New Roman" w:hAnsi="Times New Roman"/>
          <w:color w:val="auto"/>
        </w:rPr>
        <w:t>，工作组完成项目任务书编写</w:t>
      </w:r>
      <w:r>
        <w:rPr>
          <w:rFonts w:hint="eastAsia" w:ascii="宋体" w:hAnsi="Times New Roman"/>
          <w:color w:val="auto"/>
          <w:kern w:val="0"/>
          <w:szCs w:val="20"/>
        </w:rPr>
        <w:t>。</w:t>
      </w:r>
    </w:p>
    <w:p w14:paraId="569E1FC9">
      <w:pPr>
        <w:ind w:firstLine="420" w:firstLineChars="200"/>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202</w:t>
      </w:r>
      <w:r>
        <w:rPr>
          <w:rFonts w:hint="eastAsia" w:ascii="宋体" w:hAnsi="Times New Roman" w:eastAsia="宋体" w:cs="Times New Roman"/>
          <w:color w:val="auto"/>
          <w:kern w:val="0"/>
          <w:szCs w:val="20"/>
          <w:lang w:val="en-US" w:eastAsia="zh-CN"/>
        </w:rPr>
        <w:t>4</w:t>
      </w:r>
      <w:r>
        <w:rPr>
          <w:rFonts w:hint="eastAsia" w:ascii="宋体" w:hAnsi="Times New Roman" w:eastAsia="宋体" w:cs="Times New Roman"/>
          <w:color w:val="auto"/>
          <w:kern w:val="0"/>
          <w:szCs w:val="20"/>
        </w:rPr>
        <w:t>年</w:t>
      </w:r>
      <w:r>
        <w:rPr>
          <w:rFonts w:hint="eastAsia" w:ascii="宋体" w:hAnsi="Times New Roman" w:eastAsia="宋体" w:cs="Times New Roman"/>
          <w:color w:val="auto"/>
          <w:kern w:val="0"/>
          <w:szCs w:val="20"/>
          <w:lang w:val="en-US" w:eastAsia="zh-CN"/>
        </w:rPr>
        <w:t>8</w:t>
      </w:r>
      <w:r>
        <w:rPr>
          <w:rFonts w:hint="eastAsia" w:ascii="宋体" w:hAnsi="Times New Roman" w:eastAsia="宋体" w:cs="Times New Roman"/>
          <w:color w:val="auto"/>
          <w:kern w:val="0"/>
          <w:szCs w:val="20"/>
        </w:rPr>
        <w:t>月</w:t>
      </w:r>
      <w:r>
        <w:rPr>
          <w:rFonts w:hint="eastAsia" w:ascii="宋体" w:hAnsi="Times New Roman" w:eastAsia="宋体" w:cs="Times New Roman"/>
          <w:color w:val="auto"/>
          <w:kern w:val="0"/>
          <w:szCs w:val="20"/>
          <w:lang w:eastAsia="zh-CN"/>
        </w:rPr>
        <w:t>，</w:t>
      </w:r>
      <w:r>
        <w:rPr>
          <w:rFonts w:hint="eastAsia"/>
          <w:color w:val="auto"/>
        </w:rPr>
        <w:t>国网</w:t>
      </w:r>
      <w:r>
        <w:rPr>
          <w:rFonts w:hint="eastAsia"/>
          <w:color w:val="auto"/>
          <w:lang w:eastAsia="zh-CN"/>
        </w:rPr>
        <w:t>（</w:t>
      </w:r>
      <w:r>
        <w:rPr>
          <w:rFonts w:hint="eastAsia"/>
          <w:color w:val="auto"/>
        </w:rPr>
        <w:t>苏州</w:t>
      </w:r>
      <w:r>
        <w:rPr>
          <w:rFonts w:hint="eastAsia"/>
          <w:color w:val="auto"/>
          <w:lang w:eastAsia="zh-CN"/>
        </w:rPr>
        <w:t>）</w:t>
      </w:r>
      <w:r>
        <w:rPr>
          <w:rFonts w:hint="eastAsia"/>
          <w:color w:val="auto"/>
        </w:rPr>
        <w:t>城市能源研究院</w:t>
      </w:r>
      <w:r>
        <w:rPr>
          <w:rFonts w:hint="eastAsia" w:ascii="宋体" w:hAnsi="Times New Roman" w:eastAsia="宋体" w:cs="Times New Roman"/>
          <w:color w:val="auto"/>
          <w:kern w:val="0"/>
          <w:szCs w:val="20"/>
          <w:lang w:val="en-US" w:eastAsia="zh-CN"/>
        </w:rPr>
        <w:t>牵头</w:t>
      </w:r>
      <w:r>
        <w:rPr>
          <w:rFonts w:hint="eastAsia"/>
          <w:color w:val="auto"/>
          <w:lang w:val="en-US" w:eastAsia="zh-CN"/>
        </w:rPr>
        <w:t>成立了</w:t>
      </w:r>
      <w:r>
        <w:rPr>
          <w:rFonts w:hint="eastAsia" w:ascii="宋体" w:hAnsi="Times New Roman" w:eastAsia="宋体" w:cs="Times New Roman"/>
          <w:color w:val="auto"/>
          <w:kern w:val="0"/>
          <w:szCs w:val="20"/>
        </w:rPr>
        <w:t>标准编写工作组</w:t>
      </w:r>
      <w:r>
        <w:rPr>
          <w:rFonts w:hint="eastAsia" w:ascii="宋体" w:hAnsi="Times New Roman" w:eastAsia="宋体" w:cs="Times New Roman"/>
          <w:color w:val="auto"/>
          <w:kern w:val="0"/>
          <w:szCs w:val="20"/>
          <w:lang w:eastAsia="zh-CN"/>
        </w:rPr>
        <w:t>，</w:t>
      </w:r>
      <w:r>
        <w:rPr>
          <w:rFonts w:hint="eastAsia" w:ascii="宋体" w:hAnsi="Times New Roman" w:eastAsia="宋体" w:cs="Times New Roman"/>
          <w:color w:val="auto"/>
          <w:kern w:val="0"/>
          <w:szCs w:val="20"/>
        </w:rPr>
        <w:t>组织</w:t>
      </w:r>
      <w:r>
        <w:rPr>
          <w:rFonts w:hint="eastAsia" w:ascii="宋体" w:hAnsi="Times New Roman" w:eastAsia="宋体" w:cs="Times New Roman"/>
          <w:color w:val="auto"/>
          <w:kern w:val="0"/>
          <w:szCs w:val="20"/>
          <w:lang w:val="en-US" w:eastAsia="zh-CN"/>
        </w:rPr>
        <w:t>各参与单位</w:t>
      </w:r>
      <w:r>
        <w:rPr>
          <w:rFonts w:hint="eastAsia" w:ascii="宋体" w:hAnsi="Times New Roman" w:eastAsia="宋体" w:cs="Times New Roman"/>
          <w:color w:val="auto"/>
          <w:kern w:val="0"/>
          <w:szCs w:val="20"/>
        </w:rPr>
        <w:t>召开了《</w:t>
      </w:r>
      <w:r>
        <w:rPr>
          <w:rFonts w:hint="eastAsia" w:ascii="宋体" w:hAnsi="Times New Roman" w:eastAsia="宋体" w:cs="Times New Roman"/>
          <w:color w:val="auto"/>
          <w:kern w:val="0"/>
          <w:szCs w:val="20"/>
          <w:lang w:val="en-US" w:eastAsia="zh-CN"/>
        </w:rPr>
        <w:t>典型用能设备绿色智能标识</w:t>
      </w:r>
      <w:r>
        <w:rPr>
          <w:rFonts w:hint="eastAsia" w:ascii="宋体" w:hAnsi="Times New Roman" w:eastAsia="宋体" w:cs="Times New Roman"/>
          <w:color w:val="auto"/>
          <w:kern w:val="0"/>
          <w:szCs w:val="20"/>
        </w:rPr>
        <w:t>》标准编制启动会议，讨论</w:t>
      </w:r>
      <w:r>
        <w:rPr>
          <w:rFonts w:hint="eastAsia" w:ascii="宋体" w:hAnsi="Times New Roman" w:eastAsia="宋体" w:cs="Times New Roman"/>
          <w:color w:val="auto"/>
          <w:kern w:val="0"/>
          <w:szCs w:val="20"/>
          <w:lang w:val="en-US" w:eastAsia="zh-CN"/>
        </w:rPr>
        <w:t>确定了标准</w:t>
      </w:r>
      <w:r>
        <w:rPr>
          <w:rFonts w:hint="eastAsia" w:ascii="宋体" w:hAnsi="Times New Roman" w:eastAsia="宋体" w:cs="Times New Roman"/>
          <w:color w:val="auto"/>
          <w:kern w:val="0"/>
          <w:szCs w:val="20"/>
        </w:rPr>
        <w:t>编制思路</w:t>
      </w:r>
      <w:r>
        <w:rPr>
          <w:rFonts w:hint="eastAsia" w:ascii="宋体" w:hAnsi="Times New Roman" w:eastAsia="宋体" w:cs="Times New Roman"/>
          <w:color w:val="auto"/>
          <w:kern w:val="0"/>
          <w:szCs w:val="20"/>
          <w:lang w:val="en-US" w:eastAsia="zh-CN"/>
        </w:rPr>
        <w:t>和</w:t>
      </w:r>
      <w:r>
        <w:rPr>
          <w:rFonts w:hint="eastAsia" w:ascii="宋体" w:hAnsi="Times New Roman" w:eastAsia="宋体" w:cs="Times New Roman"/>
          <w:color w:val="auto"/>
          <w:kern w:val="0"/>
          <w:szCs w:val="20"/>
        </w:rPr>
        <w:t>工作计划。</w:t>
      </w:r>
    </w:p>
    <w:p w14:paraId="308A2CA3">
      <w:pPr>
        <w:ind w:firstLine="420" w:firstLineChars="200"/>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2024年9月，工作组</w:t>
      </w:r>
      <w:r>
        <w:rPr>
          <w:rFonts w:hint="eastAsia" w:ascii="宋体" w:hAnsi="Times New Roman" w:eastAsia="宋体" w:cs="Times New Roman"/>
          <w:color w:val="auto"/>
          <w:kern w:val="0"/>
          <w:szCs w:val="20"/>
          <w:lang w:val="en-US" w:eastAsia="zh-CN"/>
        </w:rPr>
        <w:t>结合立项评审专家建议，开展广泛调查研究，基于典型用能设备绿色智能标识实际需求和各行业标识应用经验，全面开展标准草案的修改完善工作，</w:t>
      </w:r>
      <w:r>
        <w:rPr>
          <w:rFonts w:hint="eastAsia" w:ascii="宋体" w:hAnsi="Times New Roman" w:eastAsia="宋体" w:cs="Times New Roman"/>
          <w:color w:val="auto"/>
          <w:kern w:val="0"/>
          <w:szCs w:val="20"/>
        </w:rPr>
        <w:t>形成</w:t>
      </w:r>
      <w:r>
        <w:rPr>
          <w:rFonts w:hint="eastAsia" w:ascii="宋体" w:hAnsi="Times New Roman" w:eastAsia="宋体" w:cs="Times New Roman"/>
          <w:color w:val="auto"/>
          <w:kern w:val="0"/>
          <w:szCs w:val="20"/>
          <w:lang w:eastAsia="zh-CN"/>
        </w:rPr>
        <w:t>了</w:t>
      </w:r>
      <w:r>
        <w:rPr>
          <w:rFonts w:hint="eastAsia" w:ascii="宋体" w:hAnsi="Times New Roman" w:eastAsia="宋体" w:cs="Times New Roman"/>
          <w:color w:val="auto"/>
          <w:kern w:val="0"/>
          <w:szCs w:val="20"/>
        </w:rPr>
        <w:t>标准初稿。</w:t>
      </w:r>
    </w:p>
    <w:p w14:paraId="2BE490EB">
      <w:pPr>
        <w:ind w:firstLine="420" w:firstLineChars="200"/>
        <w:rPr>
          <w:rFonts w:hint="eastAsia" w:ascii="宋体" w:hAnsi="Times New Roman" w:eastAsia="宋体" w:cs="Times New Roman"/>
          <w:color w:val="auto"/>
          <w:kern w:val="0"/>
          <w:szCs w:val="20"/>
        </w:rPr>
      </w:pPr>
      <w:r>
        <w:rPr>
          <w:rFonts w:hint="eastAsia" w:ascii="宋体" w:hAnsi="Times New Roman" w:eastAsia="宋体" w:cs="Times New Roman"/>
          <w:color w:val="auto"/>
          <w:kern w:val="0"/>
          <w:szCs w:val="20"/>
        </w:rPr>
        <w:t>2024年10月，工作组对标准初稿进行</w:t>
      </w:r>
      <w:r>
        <w:rPr>
          <w:rFonts w:hint="eastAsia" w:ascii="宋体" w:hAnsi="Times New Roman" w:eastAsia="宋体" w:cs="Times New Roman"/>
          <w:color w:val="auto"/>
          <w:kern w:val="0"/>
          <w:szCs w:val="20"/>
          <w:lang w:eastAsia="zh-CN"/>
        </w:rPr>
        <w:t>了</w:t>
      </w:r>
      <w:r>
        <w:rPr>
          <w:rFonts w:hint="eastAsia" w:ascii="宋体" w:hAnsi="Times New Roman" w:eastAsia="宋体" w:cs="Times New Roman"/>
          <w:color w:val="auto"/>
          <w:kern w:val="0"/>
          <w:szCs w:val="20"/>
        </w:rPr>
        <w:t>内部审查，并按照审查意见修改，形成标准征求意见稿</w:t>
      </w:r>
      <w:bookmarkStart w:id="30" w:name="sys8035531"/>
      <w:r>
        <w:rPr>
          <w:rFonts w:hint="eastAsia" w:ascii="宋体" w:hAnsi="Times New Roman" w:eastAsia="宋体" w:cs="Times New Roman"/>
          <w:color w:val="auto"/>
          <w:kern w:val="0"/>
          <w:szCs w:val="20"/>
          <w:lang w:val="en-US" w:eastAsia="zh-CN"/>
        </w:rPr>
        <w:t>初稿</w:t>
      </w:r>
      <w:r>
        <w:rPr>
          <w:rFonts w:hint="eastAsia" w:ascii="宋体" w:hAnsi="Times New Roman" w:eastAsia="宋体" w:cs="Times New Roman"/>
          <w:color w:val="auto"/>
          <w:kern w:val="0"/>
          <w:szCs w:val="20"/>
        </w:rPr>
        <w:t>。</w:t>
      </w:r>
      <w:bookmarkEnd w:id="30"/>
    </w:p>
    <w:p w14:paraId="4C543C4C">
      <w:pPr>
        <w:ind w:firstLine="420" w:firstLineChars="200"/>
        <w:rPr>
          <w:rFonts w:hint="eastAsia" w:ascii="Times New Roman" w:hAnsi="Times New Roman"/>
          <w:color w:val="FF0000"/>
        </w:rPr>
      </w:pPr>
      <w:r>
        <w:rPr>
          <w:rFonts w:hint="eastAsia" w:ascii="宋体" w:hAnsi="Times New Roman" w:eastAsia="宋体" w:cs="Times New Roman"/>
          <w:color w:val="auto"/>
          <w:kern w:val="0"/>
          <w:szCs w:val="20"/>
        </w:rPr>
        <w:t>2024年1</w:t>
      </w:r>
      <w:r>
        <w:rPr>
          <w:rFonts w:hint="eastAsia" w:ascii="宋体" w:hAnsi="Times New Roman" w:eastAsia="宋体" w:cs="Times New Roman"/>
          <w:color w:val="auto"/>
          <w:kern w:val="0"/>
          <w:szCs w:val="20"/>
          <w:lang w:val="en-US" w:eastAsia="zh-CN"/>
        </w:rPr>
        <w:t>1</w:t>
      </w:r>
      <w:r>
        <w:rPr>
          <w:rFonts w:hint="eastAsia" w:ascii="宋体" w:hAnsi="Times New Roman"/>
          <w:color w:val="auto"/>
          <w:kern w:val="0"/>
          <w:szCs w:val="20"/>
        </w:rPr>
        <w:t>月，经过编制小组和</w:t>
      </w:r>
      <w:r>
        <w:rPr>
          <w:rFonts w:hint="eastAsia" w:ascii="宋体" w:hAnsi="Times New Roman"/>
          <w:color w:val="auto"/>
          <w:kern w:val="0"/>
          <w:szCs w:val="20"/>
          <w:lang w:val="en-US" w:eastAsia="zh-CN"/>
        </w:rPr>
        <w:t>外部</w:t>
      </w:r>
      <w:r>
        <w:rPr>
          <w:rFonts w:hint="eastAsia" w:ascii="宋体" w:hAnsi="Times New Roman"/>
          <w:color w:val="auto"/>
          <w:kern w:val="0"/>
          <w:szCs w:val="20"/>
        </w:rPr>
        <w:t>相关专家的反复论证和修改，向中国电机工程学会提交了标准征求意见稿</w:t>
      </w:r>
      <w:r>
        <w:rPr>
          <w:rFonts w:hint="eastAsia" w:ascii="宋体" w:hAnsi="Times New Roman"/>
          <w:color w:val="auto"/>
          <w:kern w:val="0"/>
          <w:szCs w:val="20"/>
          <w:lang w:eastAsia="zh-CN"/>
        </w:rPr>
        <w:t>，</w:t>
      </w:r>
      <w:r>
        <w:rPr>
          <w:rFonts w:hint="eastAsia" w:ascii="宋体" w:hAnsi="Times New Roman"/>
          <w:color w:val="auto"/>
          <w:kern w:val="0"/>
          <w:szCs w:val="20"/>
          <w:lang w:val="en-US" w:eastAsia="zh-CN"/>
        </w:rPr>
        <w:t>并向相关单位广泛征求意见。</w:t>
      </w:r>
    </w:p>
    <w:p w14:paraId="6B040CE4">
      <w:pPr>
        <w:pStyle w:val="51"/>
        <w:spacing w:before="312" w:after="312"/>
        <w:rPr>
          <w:rFonts w:hint="eastAsia" w:ascii="宋体" w:hAnsi="宋体" w:cs="Times New Roman"/>
          <w:szCs w:val="21"/>
        </w:rPr>
      </w:pPr>
      <w:bookmarkStart w:id="31" w:name="_Toc25146"/>
      <w:r>
        <w:rPr>
          <w:rFonts w:hint="eastAsia" w:ascii="宋体" w:hAnsi="宋体" w:cs="Times New Roman"/>
          <w:szCs w:val="21"/>
        </w:rPr>
        <w:t>4 标准结构和内容说明</w:t>
      </w:r>
      <w:bookmarkEnd w:id="31"/>
    </w:p>
    <w:p w14:paraId="0DF45399">
      <w:pPr>
        <w:pStyle w:val="35"/>
      </w:pPr>
      <w:r>
        <w:rPr>
          <w:rFonts w:hint="eastAsia"/>
        </w:rPr>
        <w:t>本文件规定了典型</w:t>
      </w:r>
      <w:r>
        <w:rPr>
          <w:rFonts w:hint="eastAsia"/>
          <w:lang w:eastAsia="zh"/>
        </w:rPr>
        <w:t>用能设备</w:t>
      </w:r>
      <w:r>
        <w:rPr>
          <w:rFonts w:hint="eastAsia"/>
        </w:rPr>
        <w:t>绿色智能标识的总体要求、标识内容</w:t>
      </w:r>
      <w:r>
        <w:rPr>
          <w:rFonts w:hint="eastAsia"/>
          <w:lang w:eastAsia="zh"/>
        </w:rPr>
        <w:t>、</w:t>
      </w:r>
      <w:r>
        <w:rPr>
          <w:rFonts w:hint="eastAsia"/>
          <w:lang w:val="en-US" w:eastAsia="zh-CN"/>
        </w:rPr>
        <w:t>标识</w:t>
      </w:r>
      <w:r>
        <w:rPr>
          <w:rFonts w:hint="eastAsia"/>
          <w:lang w:eastAsia="zh"/>
        </w:rPr>
        <w:t>要求</w:t>
      </w:r>
      <w:r>
        <w:rPr>
          <w:rFonts w:hint="eastAsia"/>
        </w:rPr>
        <w:t>、</w:t>
      </w:r>
      <w:r>
        <w:rPr>
          <w:rFonts w:hint="eastAsia"/>
          <w:lang w:val="en-US" w:eastAsia="zh-CN"/>
        </w:rPr>
        <w:t>标识管理</w:t>
      </w:r>
      <w:r>
        <w:rPr>
          <w:rFonts w:hint="eastAsia"/>
        </w:rPr>
        <w:t>和标识应用。</w:t>
      </w:r>
    </w:p>
    <w:p w14:paraId="7137CB34">
      <w:pPr>
        <w:pStyle w:val="35"/>
      </w:pPr>
      <w:r>
        <w:rPr>
          <w:rFonts w:hint="eastAsia"/>
        </w:rPr>
        <w:t>本文件适用于空调、充</w:t>
      </w:r>
      <w:r>
        <w:rPr>
          <w:rFonts w:hint="eastAsia"/>
          <w:lang w:eastAsia="zh"/>
        </w:rPr>
        <w:t>换电设施和</w:t>
      </w:r>
      <w:r>
        <w:rPr>
          <w:rFonts w:hint="eastAsia"/>
          <w:lang w:eastAsia="zh-CN"/>
        </w:rPr>
        <w:t>空气压缩机</w:t>
      </w:r>
      <w:r>
        <w:rPr>
          <w:rFonts w:hint="eastAsia"/>
        </w:rPr>
        <w:t>等典型</w:t>
      </w:r>
      <w:r>
        <w:rPr>
          <w:rFonts w:hint="eastAsia"/>
          <w:lang w:eastAsia="zh"/>
        </w:rPr>
        <w:t>用能设备</w:t>
      </w:r>
      <w:r>
        <w:rPr>
          <w:rFonts w:hint="eastAsia"/>
        </w:rPr>
        <w:t>。</w:t>
      </w:r>
    </w:p>
    <w:p w14:paraId="28897D1E">
      <w:pPr>
        <w:pStyle w:val="35"/>
        <w:rPr>
          <w:rFonts w:hint="eastAsia" w:ascii="宋体" w:hAnsi="Times New Roman"/>
          <w:kern w:val="0"/>
          <w:szCs w:val="20"/>
        </w:rPr>
      </w:pPr>
      <w:r>
        <w:rPr>
          <w:rFonts w:hint="eastAsia" w:ascii="宋体" w:hAnsi="Times New Roman"/>
          <w:kern w:val="0"/>
          <w:szCs w:val="20"/>
        </w:rPr>
        <w:t>标准的主要结构和内容如下：</w:t>
      </w:r>
    </w:p>
    <w:p w14:paraId="56014B24">
      <w:pPr>
        <w:pStyle w:val="66"/>
        <w:ind w:firstLineChars="0"/>
        <w:rPr>
          <w:rFonts w:ascii="Times New Roman" w:hAnsi="Times New Roman"/>
        </w:rPr>
      </w:pPr>
      <w:r>
        <w:rPr>
          <w:rFonts w:hint="eastAsia" w:ascii="Times New Roman" w:hAnsi="Times New Roman"/>
        </w:rPr>
        <w:t>1）范围</w:t>
      </w:r>
      <w:bookmarkStart w:id="32" w:name="pindex806"/>
      <w:bookmarkEnd w:id="32"/>
    </w:p>
    <w:p w14:paraId="10836435">
      <w:pPr>
        <w:pStyle w:val="66"/>
        <w:ind w:firstLineChars="0"/>
        <w:rPr>
          <w:rFonts w:ascii="Times New Roman" w:hAnsi="Times New Roman"/>
        </w:rPr>
      </w:pPr>
      <w:r>
        <w:rPr>
          <w:rFonts w:hint="eastAsia" w:ascii="Times New Roman" w:hAnsi="Times New Roman"/>
        </w:rPr>
        <w:t>2）规范性引用文件</w:t>
      </w:r>
      <w:bookmarkStart w:id="33" w:name="pindex807"/>
      <w:bookmarkEnd w:id="33"/>
    </w:p>
    <w:p w14:paraId="22170FF6">
      <w:pPr>
        <w:pStyle w:val="66"/>
        <w:ind w:firstLineChars="0"/>
        <w:rPr>
          <w:rFonts w:ascii="Times New Roman" w:hAnsi="Times New Roman"/>
        </w:rPr>
      </w:pPr>
      <w:r>
        <w:rPr>
          <w:rFonts w:hint="eastAsia" w:ascii="Times New Roman" w:hAnsi="Times New Roman"/>
        </w:rPr>
        <w:t>3）术语和定义</w:t>
      </w:r>
      <w:bookmarkStart w:id="34" w:name="pindex808"/>
      <w:bookmarkEnd w:id="34"/>
    </w:p>
    <w:p w14:paraId="4FE113DC">
      <w:pPr>
        <w:pStyle w:val="66"/>
        <w:ind w:firstLineChars="0"/>
        <w:rPr>
          <w:rFonts w:hint="default" w:ascii="Times New Roman" w:hAnsi="Times New Roman" w:eastAsia="宋体"/>
          <w:lang w:val="en-US" w:eastAsia="zh-CN"/>
        </w:rPr>
      </w:pPr>
      <w:r>
        <w:rPr>
          <w:rFonts w:hint="eastAsia" w:ascii="Times New Roman" w:hAnsi="Times New Roman"/>
        </w:rPr>
        <w:t>4）</w:t>
      </w:r>
      <w:bookmarkStart w:id="35" w:name="pindex809"/>
      <w:bookmarkEnd w:id="35"/>
      <w:r>
        <w:rPr>
          <w:rFonts w:hint="eastAsia" w:ascii="Times New Roman" w:hAnsi="Times New Roman"/>
          <w:lang w:val="en-US" w:eastAsia="zh-CN"/>
        </w:rPr>
        <w:t>总体要求</w:t>
      </w:r>
    </w:p>
    <w:p w14:paraId="0965A9D0">
      <w:pPr>
        <w:pStyle w:val="66"/>
        <w:ind w:firstLineChars="0"/>
        <w:rPr>
          <w:rFonts w:hint="default" w:ascii="Times New Roman" w:hAnsi="Times New Roman" w:eastAsia="宋体"/>
          <w:lang w:val="en-US" w:eastAsia="zh-CN"/>
        </w:rPr>
      </w:pPr>
      <w:r>
        <w:rPr>
          <w:rFonts w:hint="eastAsia" w:ascii="Times New Roman" w:hAnsi="Times New Roman"/>
        </w:rPr>
        <w:t>5）</w:t>
      </w:r>
      <w:bookmarkStart w:id="36" w:name="pindex810"/>
      <w:bookmarkEnd w:id="36"/>
      <w:r>
        <w:rPr>
          <w:rFonts w:hint="eastAsia" w:ascii="Times New Roman" w:hAnsi="Times New Roman"/>
          <w:lang w:val="en-US" w:eastAsia="zh-CN"/>
        </w:rPr>
        <w:t>标识内容</w:t>
      </w:r>
    </w:p>
    <w:p w14:paraId="6197FC43">
      <w:pPr>
        <w:pStyle w:val="66"/>
        <w:ind w:firstLineChars="0"/>
        <w:rPr>
          <w:rFonts w:hint="default" w:ascii="Times New Roman" w:hAnsi="Times New Roman" w:eastAsia="宋体"/>
          <w:lang w:val="en-US" w:eastAsia="zh-CN"/>
        </w:rPr>
      </w:pPr>
      <w:r>
        <w:rPr>
          <w:rFonts w:hint="eastAsia" w:ascii="Times New Roman" w:hAnsi="Times New Roman"/>
        </w:rPr>
        <w:t>6）</w:t>
      </w:r>
      <w:bookmarkStart w:id="37" w:name="pindex811"/>
      <w:bookmarkEnd w:id="37"/>
      <w:r>
        <w:rPr>
          <w:rFonts w:hint="eastAsia" w:ascii="Times New Roman" w:hAnsi="Times New Roman"/>
          <w:lang w:val="en-US" w:eastAsia="zh-CN"/>
        </w:rPr>
        <w:t>标识要求</w:t>
      </w:r>
    </w:p>
    <w:p w14:paraId="15D570BA">
      <w:pPr>
        <w:pStyle w:val="54"/>
        <w:rPr>
          <w:rFonts w:hint="eastAsia"/>
          <w:lang w:val="en-US" w:eastAsia="zh-CN"/>
        </w:rPr>
      </w:pPr>
      <w:r>
        <w:rPr>
          <w:rFonts w:hint="eastAsia"/>
        </w:rPr>
        <w:t>7）</w:t>
      </w:r>
      <w:r>
        <w:rPr>
          <w:rFonts w:hint="eastAsia"/>
          <w:lang w:val="en-US" w:eastAsia="zh-CN"/>
        </w:rPr>
        <w:t>标识管理</w:t>
      </w:r>
    </w:p>
    <w:p w14:paraId="13A7FE97">
      <w:pPr>
        <w:pStyle w:val="54"/>
        <w:rPr>
          <w:rFonts w:hint="eastAsia" w:ascii="宋体" w:hAnsi="Times New Roman"/>
          <w:kern w:val="0"/>
          <w:szCs w:val="20"/>
          <w:lang w:val="en-US" w:eastAsia="zh-CN"/>
        </w:rPr>
      </w:pPr>
      <w:r>
        <w:rPr>
          <w:rFonts w:hint="eastAsia"/>
          <w:lang w:val="en-US" w:eastAsia="zh-CN"/>
        </w:rPr>
        <w:t>8</w:t>
      </w:r>
      <w:r>
        <w:rPr>
          <w:rFonts w:hint="eastAsia"/>
        </w:rPr>
        <w:t>）</w:t>
      </w:r>
      <w:r>
        <w:rPr>
          <w:rFonts w:hint="eastAsia"/>
          <w:lang w:val="en-US" w:eastAsia="zh-CN"/>
        </w:rPr>
        <w:t>标识应用</w:t>
      </w:r>
    </w:p>
    <w:p w14:paraId="0D5AAA53">
      <w:pPr>
        <w:pStyle w:val="51"/>
        <w:spacing w:before="312" w:after="312"/>
      </w:pPr>
      <w:bookmarkStart w:id="38" w:name="_Toc13751"/>
      <w:r>
        <w:rPr>
          <w:rFonts w:hint="eastAsia" w:ascii="宋体" w:hAnsi="宋体"/>
          <w:szCs w:val="21"/>
        </w:rPr>
        <w:t>5相关</w:t>
      </w:r>
      <w:r>
        <w:rPr>
          <w:rFonts w:hint="eastAsia"/>
        </w:rPr>
        <w:t>标准对比说明</w:t>
      </w:r>
      <w:bookmarkEnd w:id="38"/>
    </w:p>
    <w:p w14:paraId="6D14629E">
      <w:pPr>
        <w:pStyle w:val="35"/>
        <w:rPr>
          <w:rFonts w:hint="default" w:eastAsia="宋体"/>
          <w:lang w:val="en-US" w:eastAsia="zh-CN"/>
        </w:rPr>
      </w:pPr>
      <w:r>
        <w:rPr>
          <w:rFonts w:hint="eastAsia"/>
          <w:lang w:eastAsia="zh-CN"/>
        </w:rPr>
        <w:t>《Q</w:t>
      </w:r>
      <w:r>
        <w:rPr>
          <w:rFonts w:hint="eastAsia"/>
          <w:lang w:val="en-US" w:eastAsia="zh-CN"/>
        </w:rPr>
        <w:t>/</w:t>
      </w:r>
      <w:r>
        <w:rPr>
          <w:rFonts w:hint="eastAsia"/>
          <w:lang w:eastAsia="zh-CN"/>
        </w:rPr>
        <w:t>GDW 12099.1</w:t>
      </w:r>
      <w:r>
        <w:rPr>
          <w:rFonts w:hint="eastAsia"/>
          <w:lang w:val="en-US" w:eastAsia="zh-CN"/>
        </w:rPr>
        <w:t>-2021 电力物联网标识规范第一部分：总则</w:t>
      </w:r>
      <w:r>
        <w:rPr>
          <w:rFonts w:hint="eastAsia"/>
          <w:lang w:eastAsia="zh-CN"/>
        </w:rPr>
        <w:t>》、《Q</w:t>
      </w:r>
      <w:r>
        <w:rPr>
          <w:rFonts w:hint="eastAsia"/>
          <w:lang w:val="en-US" w:eastAsia="zh-CN"/>
        </w:rPr>
        <w:t>/</w:t>
      </w:r>
      <w:r>
        <w:rPr>
          <w:rFonts w:hint="eastAsia"/>
          <w:lang w:eastAsia="zh-CN"/>
        </w:rPr>
        <w:t>GDW 12099.</w:t>
      </w:r>
      <w:r>
        <w:rPr>
          <w:rFonts w:hint="eastAsia"/>
          <w:lang w:val="en-US" w:eastAsia="zh-CN"/>
        </w:rPr>
        <w:t>2-2021 电力物联网标识规范第二部分：标识编码、存储与解析</w:t>
      </w:r>
      <w:r>
        <w:rPr>
          <w:rFonts w:hint="eastAsia"/>
          <w:lang w:eastAsia="zh-CN"/>
        </w:rPr>
        <w:t>》、《Q</w:t>
      </w:r>
      <w:r>
        <w:rPr>
          <w:rFonts w:hint="eastAsia"/>
          <w:lang w:val="en-US" w:eastAsia="zh-CN"/>
        </w:rPr>
        <w:t>/</w:t>
      </w:r>
      <w:r>
        <w:rPr>
          <w:rFonts w:hint="eastAsia"/>
          <w:lang w:eastAsia="zh-CN"/>
        </w:rPr>
        <w:t>GDW 12099.</w:t>
      </w:r>
      <w:r>
        <w:rPr>
          <w:rFonts w:hint="eastAsia"/>
          <w:lang w:val="en-US" w:eastAsia="zh-CN"/>
        </w:rPr>
        <w:t>3-2021 电力物联网标识规范第三部分：标识注册管理与技术要求</w:t>
      </w:r>
      <w:r>
        <w:rPr>
          <w:rFonts w:hint="eastAsia"/>
          <w:lang w:eastAsia="zh-CN"/>
        </w:rPr>
        <w:t>》</w:t>
      </w:r>
      <w:r>
        <w:rPr>
          <w:rFonts w:hint="eastAsia"/>
          <w:lang w:val="en-US" w:eastAsia="zh-CN"/>
        </w:rPr>
        <w:t>系列标准规定了电力物联网标识编码、存储、解析、注册管理等方面的要求。</w:t>
      </w:r>
    </w:p>
    <w:p w14:paraId="23DEA3C4">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本标准</w:t>
      </w:r>
      <w:r>
        <w:rPr>
          <w:rFonts w:hint="eastAsia"/>
        </w:rPr>
        <w:t>规定了典型</w:t>
      </w:r>
      <w:r>
        <w:rPr>
          <w:rFonts w:hint="eastAsia"/>
          <w:lang w:eastAsia="zh"/>
        </w:rPr>
        <w:t>用能设备</w:t>
      </w:r>
      <w:r>
        <w:rPr>
          <w:rFonts w:hint="eastAsia"/>
        </w:rPr>
        <w:t>绿色智能标识的总体要求、标识内容</w:t>
      </w:r>
      <w:r>
        <w:rPr>
          <w:rFonts w:hint="eastAsia"/>
          <w:lang w:eastAsia="zh"/>
        </w:rPr>
        <w:t>、</w:t>
      </w:r>
      <w:r>
        <w:rPr>
          <w:rFonts w:hint="eastAsia"/>
          <w:lang w:val="en-US" w:eastAsia="zh-CN"/>
        </w:rPr>
        <w:t>标识</w:t>
      </w:r>
      <w:r>
        <w:rPr>
          <w:rFonts w:hint="eastAsia"/>
          <w:lang w:eastAsia="zh"/>
        </w:rPr>
        <w:t>要求</w:t>
      </w:r>
      <w:r>
        <w:rPr>
          <w:rFonts w:hint="eastAsia"/>
        </w:rPr>
        <w:t>、</w:t>
      </w:r>
      <w:r>
        <w:rPr>
          <w:rFonts w:hint="eastAsia"/>
          <w:lang w:val="en-US" w:eastAsia="zh-CN"/>
        </w:rPr>
        <w:t>标识管理</w:t>
      </w:r>
      <w:r>
        <w:rPr>
          <w:rFonts w:hint="eastAsia"/>
        </w:rPr>
        <w:t>和标识应用</w:t>
      </w:r>
      <w:r>
        <w:rPr>
          <w:rFonts w:hint="eastAsia"/>
          <w:lang w:eastAsia="zh-CN"/>
        </w:rPr>
        <w:t>，</w:t>
      </w:r>
      <w:r>
        <w:rPr>
          <w:rFonts w:hint="eastAsia"/>
        </w:rPr>
        <w:t>适用于空调、充</w:t>
      </w:r>
      <w:r>
        <w:rPr>
          <w:rFonts w:hint="eastAsia"/>
          <w:lang w:eastAsia="zh"/>
        </w:rPr>
        <w:t>换电设施和</w:t>
      </w:r>
      <w:r>
        <w:rPr>
          <w:rFonts w:hint="eastAsia"/>
          <w:lang w:eastAsia="zh-CN"/>
        </w:rPr>
        <w:t>空气压缩机</w:t>
      </w:r>
      <w:r>
        <w:rPr>
          <w:rFonts w:hint="eastAsia"/>
        </w:rPr>
        <w:t>等典型</w:t>
      </w:r>
      <w:r>
        <w:rPr>
          <w:rFonts w:hint="eastAsia"/>
          <w:lang w:eastAsia="zh"/>
        </w:rPr>
        <w:t>用能设备</w:t>
      </w:r>
      <w:r>
        <w:rPr>
          <w:rFonts w:hint="eastAsia"/>
          <w:lang w:eastAsia="zh-CN"/>
        </w:rPr>
        <w:t>。</w:t>
      </w:r>
    </w:p>
    <w:p w14:paraId="6AD24AA4">
      <w:pPr>
        <w:pStyle w:val="35"/>
      </w:pPr>
      <w:r>
        <w:rPr>
          <w:rFonts w:hint="eastAsia"/>
          <w:lang w:val="en-US" w:eastAsia="zh-CN"/>
        </w:rPr>
        <w:t>相比与电力物联网标识规范，本标准有更明确的适用对象，且标识内容包含设备智能互联信息、绿色智能等级评估等，对</w:t>
      </w:r>
      <w:r>
        <w:rPr>
          <w:rFonts w:hint="eastAsia" w:ascii="宋体" w:hAnsi="Times New Roman" w:eastAsia="宋体" w:cs="Times New Roman"/>
          <w:lang w:val="en-US" w:eastAsia="zh-CN"/>
        </w:rPr>
        <w:t>能源互联网、虚拟电厂、工业物联网和智慧园区等场景有更大的应用价值。</w:t>
      </w:r>
    </w:p>
    <w:p w14:paraId="3392D82C">
      <w:pPr>
        <w:pStyle w:val="51"/>
        <w:spacing w:before="312" w:after="312"/>
        <w:rPr>
          <w:rFonts w:ascii="宋体" w:hAnsi="宋体"/>
          <w:szCs w:val="21"/>
        </w:rPr>
      </w:pPr>
      <w:bookmarkStart w:id="39" w:name="_Toc15428"/>
      <w:r>
        <w:rPr>
          <w:rFonts w:hint="eastAsia" w:ascii="宋体" w:hAnsi="宋体"/>
          <w:szCs w:val="21"/>
        </w:rPr>
        <w:t>6标准实施措施说明</w:t>
      </w:r>
      <w:bookmarkEnd w:id="39"/>
    </w:p>
    <w:p w14:paraId="5089223C">
      <w:pPr>
        <w:rPr>
          <w:rFonts w:hint="eastAsia" w:ascii="黑体" w:hAnsi="黑体" w:eastAsia="黑体" w:cs="黑体"/>
          <w:b w:val="0"/>
          <w:bCs w:val="0"/>
          <w:lang w:val="en-US" w:eastAsia="zh-CN"/>
        </w:rPr>
      </w:pPr>
      <w:r>
        <w:rPr>
          <w:rFonts w:hint="eastAsia" w:ascii="黑体" w:hAnsi="黑体" w:eastAsia="黑体" w:cs="黑体"/>
          <w:b w:val="0"/>
          <w:bCs w:val="0"/>
          <w:lang w:val="en-US" w:eastAsia="zh-CN"/>
        </w:rPr>
        <w:t>6</w:t>
      </w:r>
      <w:r>
        <w:rPr>
          <w:rFonts w:hint="eastAsia" w:ascii="黑体" w:hAnsi="黑体" w:eastAsia="黑体" w:cs="黑体"/>
          <w:b w:val="0"/>
          <w:bCs w:val="0"/>
        </w:rPr>
        <w:t xml:space="preserve">.1 </w:t>
      </w:r>
      <w:r>
        <w:rPr>
          <w:rFonts w:hint="eastAsia" w:ascii="黑体" w:hAnsi="黑体" w:eastAsia="黑体" w:cs="黑体"/>
          <w:b w:val="0"/>
          <w:bCs w:val="0"/>
          <w:lang w:val="en-US" w:eastAsia="zh-CN"/>
        </w:rPr>
        <w:t>设备用户</w:t>
      </w:r>
    </w:p>
    <w:p w14:paraId="084F267B">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r>
        <w:rPr>
          <w:rFonts w:hint="eastAsia" w:ascii="宋体" w:hAnsi="Times New Roman" w:eastAsia="宋体" w:cs="Times New Roman"/>
          <w:lang w:val="en-US" w:eastAsia="zh"/>
        </w:rPr>
        <w:t>用户可通过标识系统实现对</w:t>
      </w:r>
      <w:r>
        <w:rPr>
          <w:rFonts w:hint="eastAsia" w:ascii="宋体" w:hAnsi="Times New Roman" w:eastAsia="宋体" w:cs="Times New Roman"/>
          <w:lang w:val="en-US" w:eastAsia="zh-CN"/>
        </w:rPr>
        <w:t>自身</w:t>
      </w:r>
      <w:r>
        <w:rPr>
          <w:rFonts w:hint="eastAsia" w:ascii="宋体" w:hAnsi="Times New Roman" w:eastAsia="宋体" w:cs="Times New Roman"/>
          <w:lang w:val="en-US" w:eastAsia="zh"/>
        </w:rPr>
        <w:t>内部所有</w:t>
      </w:r>
      <w:r>
        <w:rPr>
          <w:rFonts w:hint="eastAsia" w:ascii="宋体" w:hAnsi="Times New Roman" w:eastAsia="宋体" w:cs="Times New Roman"/>
          <w:lang w:val="en-US" w:eastAsia="zh-CN"/>
        </w:rPr>
        <w:t>具备标识的用能</w:t>
      </w:r>
      <w:r>
        <w:rPr>
          <w:rFonts w:hint="eastAsia" w:ascii="宋体" w:hAnsi="Times New Roman" w:eastAsia="宋体" w:cs="Times New Roman"/>
          <w:lang w:val="en-US" w:eastAsia="zh"/>
        </w:rPr>
        <w:t>设备基础信息、能耗信息、智能信息的管理分析，支撑用户数智化改造</w:t>
      </w:r>
      <w:r>
        <w:rPr>
          <w:rFonts w:hint="eastAsia" w:ascii="宋体" w:hAnsi="Times New Roman" w:eastAsia="宋体" w:cs="Times New Roman"/>
          <w:lang w:val="en-US" w:eastAsia="zh-CN"/>
        </w:rPr>
        <w:t>；</w:t>
      </w:r>
    </w:p>
    <w:p w14:paraId="769B4C69">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（2）用户</w:t>
      </w:r>
      <w:r>
        <w:rPr>
          <w:rFonts w:hint="eastAsia" w:ascii="宋体" w:hAnsi="Times New Roman" w:eastAsia="宋体" w:cs="Times New Roman"/>
          <w:lang w:val="en-US" w:eastAsia="zh"/>
        </w:rPr>
        <w:t>可通过标识数据服务实现对内部所有设备的关联管理，实现分区、分类设备台账构建</w:t>
      </w:r>
      <w:r>
        <w:rPr>
          <w:rFonts w:hint="eastAsia" w:ascii="宋体" w:hAnsi="Times New Roman" w:eastAsia="宋体" w:cs="Times New Roman"/>
          <w:lang w:val="en-US" w:eastAsia="zh-CN"/>
        </w:rPr>
        <w:t>，支撑用户设备运维管理；</w:t>
      </w:r>
    </w:p>
    <w:p w14:paraId="6EF1B061">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（3）用户可通过标识系统实现负荷聚合商无缝更换，减少设备信息重复对接沟通。</w:t>
      </w:r>
    </w:p>
    <w:p w14:paraId="04857D79">
      <w:pPr>
        <w:rPr>
          <w:rFonts w:hint="eastAsia" w:ascii="黑体" w:hAnsi="黑体" w:eastAsia="黑体" w:cs="黑体"/>
          <w:b w:val="0"/>
          <w:bCs w:val="0"/>
          <w:lang w:val="en-US" w:eastAsia="zh-CN"/>
        </w:rPr>
      </w:pPr>
      <w:r>
        <w:rPr>
          <w:rFonts w:hint="eastAsia" w:ascii="黑体" w:hAnsi="黑体" w:eastAsia="黑体" w:cs="黑体"/>
          <w:b w:val="0"/>
          <w:bCs w:val="0"/>
          <w:lang w:val="en-US" w:eastAsia="zh-CN"/>
        </w:rPr>
        <w:t xml:space="preserve">6.2 </w:t>
      </w:r>
      <w:r>
        <w:rPr>
          <w:rFonts w:hint="eastAsia" w:ascii="黑体" w:hAnsi="黑体" w:eastAsia="黑体" w:cs="黑体"/>
          <w:b w:val="0"/>
          <w:bCs w:val="0"/>
          <w:lang w:val="en-US" w:eastAsia="zh"/>
        </w:rPr>
        <w:t>负荷聚合商</w:t>
      </w:r>
    </w:p>
    <w:p w14:paraId="47099516">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r>
        <w:rPr>
          <w:rFonts w:hint="eastAsia" w:ascii="宋体" w:hAnsi="Times New Roman" w:eastAsia="宋体" w:cs="Times New Roman"/>
          <w:lang w:val="en-US" w:eastAsia="zh"/>
        </w:rPr>
        <w:t>负荷聚合商可通过标识系统实现设备的低成本、高效接入和管理</w:t>
      </w:r>
      <w:r>
        <w:rPr>
          <w:rFonts w:hint="eastAsia" w:ascii="宋体" w:hAnsi="Times New Roman" w:eastAsia="宋体" w:cs="Times New Roman"/>
          <w:lang w:val="en-US" w:eastAsia="zh-CN"/>
        </w:rPr>
        <w:t>；</w:t>
      </w:r>
    </w:p>
    <w:p w14:paraId="0BA41533">
      <w:pPr>
        <w:pStyle w:val="35"/>
        <w:rPr>
          <w:rFonts w:hint="eastAsia" w:ascii="宋体" w:hAnsi="Times New Roman" w:eastAsia="宋体" w:cs="Times New Roman"/>
          <w:lang w:val="en-US" w:eastAsia="zh"/>
        </w:rPr>
      </w:pPr>
      <w:r>
        <w:rPr>
          <w:rFonts w:hint="eastAsia" w:ascii="宋体" w:hAnsi="Times New Roman" w:eastAsia="宋体" w:cs="Times New Roman"/>
          <w:lang w:val="en-US" w:eastAsia="zh-CN"/>
        </w:rPr>
        <w:t>（2）</w:t>
      </w:r>
      <w:r>
        <w:rPr>
          <w:rFonts w:hint="eastAsia" w:ascii="宋体" w:hAnsi="Times New Roman" w:eastAsia="宋体" w:cs="Times New Roman"/>
          <w:lang w:val="en-US" w:eastAsia="zh"/>
        </w:rPr>
        <w:t>负荷聚合商可通过标识数据服务实现对所有接入设备分类型、分地区、分能力的精细化管理。</w:t>
      </w:r>
    </w:p>
    <w:p w14:paraId="248B601D">
      <w:pPr>
        <w:rPr>
          <w:rFonts w:hint="eastAsia" w:ascii="黑体" w:hAnsi="黑体" w:eastAsia="黑体" w:cs="黑体"/>
          <w:b w:val="0"/>
          <w:bCs w:val="0"/>
          <w:lang w:val="en-US" w:eastAsia="zh-CN"/>
        </w:rPr>
      </w:pPr>
      <w:r>
        <w:rPr>
          <w:rFonts w:hint="eastAsia" w:ascii="黑体" w:hAnsi="黑体" w:eastAsia="黑体" w:cs="黑体"/>
          <w:b w:val="0"/>
          <w:bCs w:val="0"/>
          <w:lang w:val="en-US" w:eastAsia="zh-CN"/>
        </w:rPr>
        <w:t>6.3 电网企业</w:t>
      </w:r>
    </w:p>
    <w:p w14:paraId="3FF58CC8">
      <w:pPr>
        <w:pStyle w:val="35"/>
        <w:rPr>
          <w:rFonts w:hint="eastAsia" w:ascii="宋体" w:hAnsi="Times New Roman" w:eastAsia="宋体" w:cs="Times New Roman"/>
          <w:lang w:val="en-US" w:eastAsia="zh-CN"/>
        </w:rPr>
      </w:pPr>
      <w:r>
        <w:rPr>
          <w:rFonts w:hint="eastAsia" w:ascii="宋体" w:hAnsi="Times New Roman" w:eastAsia="宋体" w:cs="Times New Roman"/>
          <w:lang w:val="en-US" w:eastAsia="zh-CN"/>
        </w:rPr>
        <w:t>（1）</w:t>
      </w:r>
      <w:r>
        <w:rPr>
          <w:rFonts w:hint="eastAsia" w:ascii="宋体" w:hAnsi="Times New Roman" w:eastAsia="宋体" w:cs="Times New Roman"/>
          <w:lang w:val="en-US" w:eastAsia="zh"/>
        </w:rPr>
        <w:t>电网企业可通过标识</w:t>
      </w:r>
      <w:r>
        <w:rPr>
          <w:rFonts w:hint="eastAsia" w:ascii="宋体" w:hAnsi="Times New Roman" w:eastAsia="宋体" w:cs="Times New Roman"/>
          <w:lang w:val="en-US" w:eastAsia="zh-CN"/>
        </w:rPr>
        <w:t>数据服务</w:t>
      </w:r>
      <w:r>
        <w:rPr>
          <w:rFonts w:hint="eastAsia" w:ascii="宋体" w:hAnsi="Times New Roman" w:eastAsia="宋体" w:cs="Times New Roman"/>
          <w:lang w:val="en-US" w:eastAsia="zh"/>
        </w:rPr>
        <w:t>实现对电网设施覆盖范围内设备负荷可调资源潜力的快速摸排。</w:t>
      </w:r>
    </w:p>
    <w:p w14:paraId="32C08799">
      <w:pPr>
        <w:pStyle w:val="35"/>
        <w:tabs>
          <w:tab w:val="clear" w:pos="4201"/>
          <w:tab w:val="clear" w:pos="9298"/>
        </w:tabs>
        <w:spacing w:line="360" w:lineRule="auto"/>
        <w:jc w:val="left"/>
      </w:pPr>
      <w:r>
        <w:rPr>
          <w:rFonts w:hint="eastAsia" w:ascii="Times New Roman"/>
          <w:szCs w:val="21"/>
        </w:rPr>
        <w:t xml:space="preserve">  </w:t>
      </w:r>
    </w:p>
    <w:sectPr>
      <w:headerReference r:id="rId7" w:type="default"/>
      <w:footerReference r:id="rId8"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2DC0">
    <w:pPr>
      <w:pStyle w:val="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FA7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9C0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902D">
                          <w:pPr>
                            <w:pStyle w:val="9"/>
                            <w:jc w:val="center"/>
                          </w:pPr>
                          <w:r>
                            <w:fldChar w:fldCharType="begin"/>
                          </w:r>
                          <w:r>
                            <w:instrText xml:space="preserve"> PAGE   \* MERGEFORMAT </w:instrText>
                          </w:r>
                          <w:r>
                            <w:fldChar w:fldCharType="separate"/>
                          </w:r>
                          <w:r>
                            <w:rPr>
                              <w:lang w:val="zh-CN"/>
                            </w:rPr>
                            <w:t>52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02902D">
                    <w:pPr>
                      <w:pStyle w:val="9"/>
                      <w:jc w:val="center"/>
                    </w:pPr>
                    <w:r>
                      <w:fldChar w:fldCharType="begin"/>
                    </w:r>
                    <w:r>
                      <w:instrText xml:space="preserve"> PAGE   \* MERGEFORMAT </w:instrText>
                    </w:r>
                    <w:r>
                      <w:fldChar w:fldCharType="separate"/>
                    </w:r>
                    <w:r>
                      <w:rPr>
                        <w:lang w:val="zh-CN"/>
                      </w:rPr>
                      <w:t>52</w:t>
                    </w:r>
                    <w:r>
                      <w:rPr>
                        <w:lang w:val="zh-CN"/>
                      </w:rPr>
                      <w:fldChar w:fldCharType="end"/>
                    </w:r>
                  </w:p>
                </w:txbxContent>
              </v:textbox>
            </v:shape>
          </w:pict>
        </mc:Fallback>
      </mc:AlternateContent>
    </w:r>
  </w:p>
  <w:p w14:paraId="7E100BB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E325">
    <w:pPr>
      <w:pStyle w:val="36"/>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AB88">
    <w:pPr>
      <w:pStyle w:val="36"/>
      <w:wordWrap w:val="0"/>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F94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63"/>
      <w:suff w:val="space"/>
      <w:lvlText w:val="%1"/>
      <w:lvlJc w:val="left"/>
      <w:pPr>
        <w:ind w:left="0" w:firstLine="0"/>
      </w:pPr>
      <w:rPr>
        <w:rFonts w:hint="eastAsia"/>
        <w:color w:val="FFFFFF"/>
        <w:sz w:val="2"/>
      </w:rPr>
    </w:lvl>
    <w:lvl w:ilvl="1" w:tentative="0">
      <w:start w:val="1"/>
      <w:numFmt w:val="decimal"/>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5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50"/>
      <w:lvlText w:val="%1"/>
      <w:lvlJc w:val="left"/>
      <w:pPr>
        <w:tabs>
          <w:tab w:val="left" w:pos="0"/>
        </w:tabs>
        <w:ind w:left="0" w:firstLine="0"/>
      </w:pPr>
      <w:rPr>
        <w:rFonts w:hint="eastAsia"/>
        <w:color w:val="FFFFFF"/>
        <w:sz w:val="2"/>
      </w:rPr>
    </w:lvl>
    <w:lvl w:ilvl="1" w:tentative="0">
      <w:start w:val="1"/>
      <w:numFmt w:val="decimal"/>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001D4D34"/>
    <w:rsid w:val="000029C5"/>
    <w:rsid w:val="00016764"/>
    <w:rsid w:val="000307A1"/>
    <w:rsid w:val="00050379"/>
    <w:rsid w:val="000B475C"/>
    <w:rsid w:val="000B6578"/>
    <w:rsid w:val="00106B59"/>
    <w:rsid w:val="0010708C"/>
    <w:rsid w:val="00186747"/>
    <w:rsid w:val="001A46C5"/>
    <w:rsid w:val="001A4BB7"/>
    <w:rsid w:val="001D4D34"/>
    <w:rsid w:val="001F0C68"/>
    <w:rsid w:val="001F553B"/>
    <w:rsid w:val="0021442C"/>
    <w:rsid w:val="0023126C"/>
    <w:rsid w:val="002400D2"/>
    <w:rsid w:val="00247103"/>
    <w:rsid w:val="00264C77"/>
    <w:rsid w:val="00294E81"/>
    <w:rsid w:val="00305D44"/>
    <w:rsid w:val="00320884"/>
    <w:rsid w:val="003830BE"/>
    <w:rsid w:val="00390EE5"/>
    <w:rsid w:val="003F683B"/>
    <w:rsid w:val="003F728B"/>
    <w:rsid w:val="00430581"/>
    <w:rsid w:val="004503D6"/>
    <w:rsid w:val="004B00B2"/>
    <w:rsid w:val="004D422C"/>
    <w:rsid w:val="005109DE"/>
    <w:rsid w:val="00514B31"/>
    <w:rsid w:val="005354E3"/>
    <w:rsid w:val="00536D89"/>
    <w:rsid w:val="00547422"/>
    <w:rsid w:val="00560051"/>
    <w:rsid w:val="00567C1C"/>
    <w:rsid w:val="0057765D"/>
    <w:rsid w:val="005A10F9"/>
    <w:rsid w:val="005F736F"/>
    <w:rsid w:val="006112DA"/>
    <w:rsid w:val="00644088"/>
    <w:rsid w:val="00656DF6"/>
    <w:rsid w:val="00656E23"/>
    <w:rsid w:val="00681C85"/>
    <w:rsid w:val="006D50BD"/>
    <w:rsid w:val="006E4C3B"/>
    <w:rsid w:val="00752C39"/>
    <w:rsid w:val="007A77E3"/>
    <w:rsid w:val="007E3428"/>
    <w:rsid w:val="007F30CA"/>
    <w:rsid w:val="00801778"/>
    <w:rsid w:val="008050C3"/>
    <w:rsid w:val="00806B9E"/>
    <w:rsid w:val="0086068B"/>
    <w:rsid w:val="00870975"/>
    <w:rsid w:val="00890058"/>
    <w:rsid w:val="008D4D71"/>
    <w:rsid w:val="008F287C"/>
    <w:rsid w:val="008F60F3"/>
    <w:rsid w:val="009269CC"/>
    <w:rsid w:val="009375BB"/>
    <w:rsid w:val="00964128"/>
    <w:rsid w:val="00984794"/>
    <w:rsid w:val="009A3DC7"/>
    <w:rsid w:val="009F6BFC"/>
    <w:rsid w:val="00A129F4"/>
    <w:rsid w:val="00A53DF5"/>
    <w:rsid w:val="00A80431"/>
    <w:rsid w:val="00AA1EC4"/>
    <w:rsid w:val="00AD321C"/>
    <w:rsid w:val="00AF1819"/>
    <w:rsid w:val="00B1457B"/>
    <w:rsid w:val="00B2672D"/>
    <w:rsid w:val="00B52607"/>
    <w:rsid w:val="00B9701B"/>
    <w:rsid w:val="00BB7B87"/>
    <w:rsid w:val="00BC337C"/>
    <w:rsid w:val="00BD3DA7"/>
    <w:rsid w:val="00BD4BB1"/>
    <w:rsid w:val="00BD7943"/>
    <w:rsid w:val="00BF3DA3"/>
    <w:rsid w:val="00C36E76"/>
    <w:rsid w:val="00C43C7A"/>
    <w:rsid w:val="00CA03D6"/>
    <w:rsid w:val="00CA67D7"/>
    <w:rsid w:val="00CF40C3"/>
    <w:rsid w:val="00D51130"/>
    <w:rsid w:val="00DC114C"/>
    <w:rsid w:val="00E020A8"/>
    <w:rsid w:val="00E11A6E"/>
    <w:rsid w:val="00E62369"/>
    <w:rsid w:val="00E7646D"/>
    <w:rsid w:val="00EA4457"/>
    <w:rsid w:val="00EA4720"/>
    <w:rsid w:val="00EC20B7"/>
    <w:rsid w:val="00EE1AFE"/>
    <w:rsid w:val="00F041AA"/>
    <w:rsid w:val="00F11837"/>
    <w:rsid w:val="00F33585"/>
    <w:rsid w:val="00F52815"/>
    <w:rsid w:val="00FF6C28"/>
    <w:rsid w:val="10245F02"/>
    <w:rsid w:val="12EA1DE5"/>
    <w:rsid w:val="12EF7EDF"/>
    <w:rsid w:val="131C1B91"/>
    <w:rsid w:val="13586884"/>
    <w:rsid w:val="14EF46DF"/>
    <w:rsid w:val="151417DA"/>
    <w:rsid w:val="18343536"/>
    <w:rsid w:val="23CB6EE2"/>
    <w:rsid w:val="250A35F8"/>
    <w:rsid w:val="26B92668"/>
    <w:rsid w:val="26EB3904"/>
    <w:rsid w:val="2A4751E2"/>
    <w:rsid w:val="2BEF1858"/>
    <w:rsid w:val="2DF0478A"/>
    <w:rsid w:val="308C2661"/>
    <w:rsid w:val="3EE319C4"/>
    <w:rsid w:val="43244B6C"/>
    <w:rsid w:val="43BA29DA"/>
    <w:rsid w:val="47B74924"/>
    <w:rsid w:val="4A617BB2"/>
    <w:rsid w:val="594B5E19"/>
    <w:rsid w:val="5B1C7CE6"/>
    <w:rsid w:val="5B814BED"/>
    <w:rsid w:val="5EC34DD2"/>
    <w:rsid w:val="619E72E2"/>
    <w:rsid w:val="6FB3769C"/>
    <w:rsid w:val="72E47108"/>
    <w:rsid w:val="735105F2"/>
    <w:rsid w:val="78B33DB1"/>
    <w:rsid w:val="7ABA21C5"/>
    <w:rsid w:val="7BF85F7F"/>
    <w:rsid w:val="7C2B47A6"/>
    <w:rsid w:val="7DDF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locked/>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1"/>
    <w:link w:val="28"/>
    <w:unhideWhenUsed/>
    <w:qFormat/>
    <w:uiPriority w:val="99"/>
    <w:pPr>
      <w:spacing w:after="120"/>
    </w:pPr>
    <w:rPr>
      <w:rFonts w:ascii="Times New Roman" w:hAnsi="Times New Roman"/>
      <w:szCs w:val="20"/>
    </w:rPr>
  </w:style>
  <w:style w:type="paragraph" w:styleId="5">
    <w:name w:val="toc 3"/>
    <w:basedOn w:val="6"/>
    <w:next w:val="1"/>
    <w:qFormat/>
    <w:locked/>
    <w:uiPriority w:val="39"/>
    <w:pPr>
      <w:tabs>
        <w:tab w:val="right" w:leader="dot" w:pos="9241"/>
      </w:tabs>
      <w:ind w:left="100" w:leftChars="100"/>
    </w:pPr>
  </w:style>
  <w:style w:type="paragraph" w:styleId="6">
    <w:name w:val="toc 2"/>
    <w:basedOn w:val="7"/>
    <w:next w:val="1"/>
    <w:qFormat/>
    <w:locked/>
    <w:uiPriority w:val="39"/>
    <w:pPr>
      <w:tabs>
        <w:tab w:val="right" w:leader="dot" w:pos="9241"/>
      </w:tabs>
    </w:pPr>
  </w:style>
  <w:style w:type="paragraph" w:styleId="7">
    <w:name w:val="toc 1"/>
    <w:basedOn w:val="1"/>
    <w:next w:val="1"/>
    <w:qFormat/>
    <w:locked/>
    <w:uiPriority w:val="39"/>
    <w:pPr>
      <w:tabs>
        <w:tab w:val="right" w:leader="dot" w:pos="9241"/>
      </w:tabs>
      <w:spacing w:before="25" w:beforeLines="25" w:after="25" w:afterLines="25"/>
      <w:jc w:val="left"/>
    </w:pPr>
    <w:rPr>
      <w:rFonts w:ascii="宋体" w:hAnsi="Times New Roman"/>
      <w:szCs w:val="21"/>
    </w:rPr>
  </w:style>
  <w:style w:type="paragraph" w:styleId="8">
    <w:name w:val="Balloon Text"/>
    <w:basedOn w:val="1"/>
    <w:link w:val="22"/>
    <w:qFormat/>
    <w:uiPriority w:val="99"/>
    <w:rPr>
      <w:kern w:val="0"/>
      <w:sz w:val="18"/>
      <w:szCs w:val="18"/>
    </w:rPr>
  </w:style>
  <w:style w:type="paragraph" w:styleId="9">
    <w:name w:val="footer"/>
    <w:basedOn w:val="1"/>
    <w:link w:val="23"/>
    <w:qFormat/>
    <w:uiPriority w:val="99"/>
    <w:pPr>
      <w:tabs>
        <w:tab w:val="center" w:pos="4153"/>
        <w:tab w:val="right" w:pos="8306"/>
      </w:tabs>
      <w:snapToGrid w:val="0"/>
      <w:jc w:val="left"/>
    </w:pPr>
    <w:rPr>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5"/>
    <w:qFormat/>
    <w:locked/>
    <w:uiPriority w:val="0"/>
    <w:pPr>
      <w:spacing w:before="240" w:after="60"/>
      <w:jc w:val="center"/>
      <w:outlineLvl w:val="0"/>
    </w:pPr>
    <w:rPr>
      <w:rFonts w:ascii="Cambria" w:hAnsi="Cambria"/>
      <w:b/>
      <w:bCs/>
      <w:sz w:val="32"/>
      <w:szCs w:val="32"/>
    </w:rPr>
  </w:style>
  <w:style w:type="paragraph" w:styleId="13">
    <w:name w:val="annotation subject"/>
    <w:basedOn w:val="3"/>
    <w:next w:val="3"/>
    <w:link w:val="21"/>
    <w:unhideWhenUsed/>
    <w:uiPriority w:val="99"/>
    <w:rPr>
      <w:b/>
      <w:bCs/>
    </w:rPr>
  </w:style>
  <w:style w:type="character" w:styleId="16">
    <w:name w:val="page number"/>
    <w:qFormat/>
    <w:uiPriority w:val="0"/>
    <w:rPr>
      <w:rFonts w:ascii="Times New Roman" w:hAnsi="Times New Roman" w:eastAsia="宋体"/>
      <w:sz w:val="18"/>
    </w:rPr>
  </w:style>
  <w:style w:type="character" w:styleId="17">
    <w:name w:val="Hyperlink"/>
    <w:qFormat/>
    <w:uiPriority w:val="99"/>
    <w:rPr>
      <w:rFonts w:cs="Times New Roman"/>
      <w:color w:val="0563C1"/>
      <w:u w:val="single"/>
    </w:rPr>
  </w:style>
  <w:style w:type="character" w:styleId="18">
    <w:name w:val="annotation reference"/>
    <w:unhideWhenUsed/>
    <w:qFormat/>
    <w:uiPriority w:val="99"/>
    <w:rPr>
      <w:sz w:val="21"/>
      <w:szCs w:val="21"/>
    </w:rPr>
  </w:style>
  <w:style w:type="character" w:customStyle="1" w:styleId="19">
    <w:name w:val="标题 1 字符"/>
    <w:basedOn w:val="15"/>
    <w:link w:val="2"/>
    <w:qFormat/>
    <w:uiPriority w:val="9"/>
    <w:rPr>
      <w:rFonts w:ascii="Times New Roman" w:hAnsi="Times New Roman" w:cs="Times New Roman"/>
      <w:b/>
      <w:bCs/>
      <w:kern w:val="44"/>
      <w:sz w:val="44"/>
      <w:szCs w:val="44"/>
    </w:rPr>
  </w:style>
  <w:style w:type="character" w:customStyle="1" w:styleId="20">
    <w:name w:val="批注文字 字符"/>
    <w:link w:val="3"/>
    <w:qFormat/>
    <w:uiPriority w:val="99"/>
    <w:rPr>
      <w:kern w:val="2"/>
      <w:sz w:val="21"/>
      <w:szCs w:val="22"/>
    </w:rPr>
  </w:style>
  <w:style w:type="character" w:customStyle="1" w:styleId="21">
    <w:name w:val="批注主题 字符"/>
    <w:link w:val="13"/>
    <w:semiHidden/>
    <w:qFormat/>
    <w:uiPriority w:val="99"/>
    <w:rPr>
      <w:b/>
      <w:bCs/>
      <w:kern w:val="2"/>
      <w:sz w:val="21"/>
      <w:szCs w:val="22"/>
    </w:rPr>
  </w:style>
  <w:style w:type="character" w:customStyle="1" w:styleId="22">
    <w:name w:val="批注框文本 字符"/>
    <w:link w:val="8"/>
    <w:semiHidden/>
    <w:qFormat/>
    <w:locked/>
    <w:uiPriority w:val="99"/>
    <w:rPr>
      <w:rFonts w:cs="Times New Roman"/>
      <w:sz w:val="18"/>
      <w:szCs w:val="18"/>
    </w:rPr>
  </w:style>
  <w:style w:type="character" w:customStyle="1" w:styleId="23">
    <w:name w:val="页脚 字符"/>
    <w:link w:val="9"/>
    <w:qFormat/>
    <w:locked/>
    <w:uiPriority w:val="99"/>
    <w:rPr>
      <w:rFonts w:ascii="Calibri" w:hAnsi="Calibri" w:eastAsia="宋体" w:cs="Times New Roman"/>
      <w:kern w:val="0"/>
      <w:sz w:val="18"/>
      <w:szCs w:val="18"/>
    </w:rPr>
  </w:style>
  <w:style w:type="character" w:customStyle="1" w:styleId="24">
    <w:name w:val="页眉 字符"/>
    <w:link w:val="10"/>
    <w:qFormat/>
    <w:locked/>
    <w:uiPriority w:val="99"/>
    <w:rPr>
      <w:rFonts w:ascii="Calibri" w:hAnsi="Calibri" w:eastAsia="宋体" w:cs="Times New Roman"/>
      <w:kern w:val="0"/>
      <w:sz w:val="18"/>
      <w:szCs w:val="18"/>
    </w:rPr>
  </w:style>
  <w:style w:type="character" w:customStyle="1" w:styleId="25">
    <w:name w:val="标题 字符"/>
    <w:link w:val="12"/>
    <w:qFormat/>
    <w:uiPriority w:val="0"/>
    <w:rPr>
      <w:rFonts w:ascii="Cambria" w:hAnsi="Cambria" w:cs="Times New Roman"/>
      <w:b/>
      <w:bCs/>
      <w:kern w:val="2"/>
      <w:sz w:val="32"/>
      <w:szCs w:val="32"/>
    </w:rPr>
  </w:style>
  <w:style w:type="paragraph" w:customStyle="1" w:styleId="26">
    <w:name w:val="列出段落1"/>
    <w:basedOn w:val="1"/>
    <w:qFormat/>
    <w:uiPriority w:val="99"/>
    <w:pPr>
      <w:widowControl/>
      <w:ind w:firstLine="420" w:firstLineChars="200"/>
      <w:jc w:val="left"/>
    </w:pPr>
    <w:rPr>
      <w:rFonts w:ascii="宋体" w:hAnsi="宋体" w:cs="宋体"/>
      <w:kern w:val="0"/>
      <w:sz w:val="24"/>
      <w:szCs w:val="24"/>
    </w:rPr>
  </w:style>
  <w:style w:type="paragraph" w:customStyle="1" w:styleId="27">
    <w:name w:val="修订1"/>
    <w:hidden/>
    <w:unhideWhenUsed/>
    <w:qFormat/>
    <w:uiPriority w:val="99"/>
    <w:rPr>
      <w:rFonts w:ascii="Calibri" w:hAnsi="Calibri" w:eastAsia="宋体" w:cs="Calibri"/>
      <w:kern w:val="2"/>
      <w:sz w:val="21"/>
      <w:szCs w:val="22"/>
      <w:lang w:val="en-US" w:eastAsia="zh-CN" w:bidi="ar-SA"/>
    </w:rPr>
  </w:style>
  <w:style w:type="character" w:customStyle="1" w:styleId="28">
    <w:name w:val="正文文本 字符"/>
    <w:basedOn w:val="15"/>
    <w:link w:val="4"/>
    <w:qFormat/>
    <w:uiPriority w:val="99"/>
    <w:rPr>
      <w:rFonts w:ascii="Times New Roman" w:hAnsi="Times New Roman" w:cs="Times New Roman"/>
      <w:kern w:val="2"/>
      <w:sz w:val="21"/>
    </w:rPr>
  </w:style>
  <w:style w:type="paragraph" w:customStyle="1" w:styleId="29">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发布GB"/>
    <w:basedOn w:val="4"/>
    <w:qFormat/>
    <w:uiPriority w:val="0"/>
    <w:pPr>
      <w:spacing w:after="0" w:line="280" w:lineRule="exact"/>
      <w:ind w:left="284"/>
    </w:pPr>
    <w:rPr>
      <w:rFonts w:ascii="黑体" w:eastAsia="黑体"/>
      <w:kern w:val="3"/>
      <w:sz w:val="28"/>
    </w:rPr>
  </w:style>
  <w:style w:type="paragraph" w:customStyle="1" w:styleId="32">
    <w:name w:val="二级无标题条"/>
    <w:basedOn w:val="33"/>
    <w:qFormat/>
    <w:uiPriority w:val="0"/>
    <w:pPr>
      <w:spacing w:before="0" w:beforeLines="0" w:after="0" w:afterLines="0"/>
    </w:pPr>
    <w:rPr>
      <w:rFonts w:eastAsia="宋体"/>
    </w:rPr>
  </w:style>
  <w:style w:type="paragraph" w:customStyle="1" w:styleId="33">
    <w:name w:val="二级条标题"/>
    <w:basedOn w:val="34"/>
    <w:next w:val="35"/>
    <w:qFormat/>
    <w:uiPriority w:val="0"/>
    <w:pPr>
      <w:numPr>
        <w:ilvl w:val="0"/>
        <w:numId w:val="0"/>
      </w:numPr>
      <w:spacing w:before="50" w:after="50"/>
      <w:ind w:left="568"/>
      <w:outlineLvl w:val="9"/>
    </w:pPr>
  </w:style>
  <w:style w:type="paragraph" w:customStyle="1" w:styleId="34">
    <w:name w:val="一级条标题"/>
    <w:next w:val="3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3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封面标准代替信息"/>
    <w:basedOn w:val="40"/>
    <w:qFormat/>
    <w:uiPriority w:val="0"/>
    <w:pPr>
      <w:spacing w:before="0" w:line="360" w:lineRule="exact"/>
    </w:pPr>
    <w:rPr>
      <w:rFonts w:hAnsi="黑体"/>
      <w:sz w:val="21"/>
    </w:rPr>
  </w:style>
  <w:style w:type="paragraph" w:customStyle="1" w:styleId="40">
    <w:name w:val="封面标准号2"/>
    <w:basedOn w:val="41"/>
    <w:qFormat/>
    <w:uiPriority w:val="0"/>
    <w:pPr>
      <w:adjustRightInd w:val="0"/>
      <w:spacing w:before="357" w:line="280" w:lineRule="exact"/>
    </w:pPr>
  </w:style>
  <w:style w:type="paragraph" w:customStyle="1" w:styleId="41">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42">
    <w:name w:val="名称"/>
    <w:basedOn w:val="43"/>
    <w:next w:val="35"/>
    <w:qFormat/>
    <w:uiPriority w:val="0"/>
    <w:pPr>
      <w:spacing w:line="460" w:lineRule="exact"/>
      <w:outlineLvl w:val="9"/>
    </w:p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45">
    <w:name w:val="一级无标题条"/>
    <w:basedOn w:val="34"/>
    <w:qFormat/>
    <w:uiPriority w:val="0"/>
    <w:pPr>
      <w:spacing w:before="0" w:beforeLines="0" w:after="0" w:afterLines="0"/>
      <w:outlineLvl w:val="9"/>
    </w:pPr>
    <w:rPr>
      <w:rFonts w:eastAsia="宋体"/>
    </w:rPr>
  </w:style>
  <w:style w:type="paragraph" w:customStyle="1" w:styleId="46">
    <w:name w:val="标准书眉_偶数页"/>
    <w:basedOn w:val="36"/>
    <w:next w:val="1"/>
    <w:qFormat/>
    <w:uiPriority w:val="0"/>
    <w:pPr>
      <w:jc w:val="left"/>
    </w:pPr>
  </w:style>
  <w:style w:type="paragraph" w:customStyle="1" w:styleId="47">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48">
    <w:name w:val="实施日期"/>
    <w:basedOn w:val="49"/>
    <w:qFormat/>
    <w:uiPriority w:val="0"/>
    <w:pPr>
      <w:jc w:val="right"/>
    </w:pPr>
  </w:style>
  <w:style w:type="paragraph" w:customStyle="1" w:styleId="49">
    <w:name w:val="发布日期"/>
    <w:qFormat/>
    <w:uiPriority w:val="0"/>
    <w:rPr>
      <w:rFonts w:ascii="黑体" w:hAnsi="黑体" w:eastAsia="黑体" w:cs="Times New Roman"/>
      <w:sz w:val="28"/>
      <w:lang w:val="en-US" w:eastAsia="zh-CN" w:bidi="ar-SA"/>
    </w:rPr>
  </w:style>
  <w:style w:type="paragraph" w:customStyle="1" w:styleId="50">
    <w:name w:val="附录表标号"/>
    <w:basedOn w:val="1"/>
    <w:next w:val="35"/>
    <w:qFormat/>
    <w:uiPriority w:val="0"/>
    <w:pPr>
      <w:numPr>
        <w:ilvl w:val="0"/>
        <w:numId w:val="3"/>
      </w:numPr>
      <w:snapToGrid w:val="0"/>
      <w:spacing w:line="14" w:lineRule="exact"/>
      <w:jc w:val="center"/>
    </w:pPr>
    <w:rPr>
      <w:rFonts w:ascii="Times New Roman" w:hAnsi="Times New Roman"/>
      <w:color w:val="FFFFFF"/>
      <w:szCs w:val="20"/>
    </w:rPr>
  </w:style>
  <w:style w:type="paragraph" w:customStyle="1" w:styleId="51">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52">
    <w:name w:val="目次、标准名称标题"/>
    <w:basedOn w:val="43"/>
    <w:next w:val="35"/>
    <w:qFormat/>
    <w:uiPriority w:val="0"/>
    <w:pPr>
      <w:keepNext/>
      <w:pageBreakBefore/>
      <w:spacing w:line="460" w:lineRule="exact"/>
    </w:pPr>
  </w:style>
  <w:style w:type="paragraph" w:customStyle="1" w:styleId="53">
    <w:name w:val="发布TB"/>
    <w:basedOn w:val="31"/>
    <w:qFormat/>
    <w:uiPriority w:val="0"/>
    <w:pPr>
      <w:ind w:left="567"/>
    </w:pPr>
  </w:style>
  <w:style w:type="paragraph" w:styleId="54">
    <w:name w:val="List Paragraph"/>
    <w:basedOn w:val="1"/>
    <w:qFormat/>
    <w:uiPriority w:val="34"/>
    <w:pPr>
      <w:ind w:firstLine="420" w:firstLineChars="200"/>
    </w:pPr>
  </w:style>
  <w:style w:type="paragraph" w:customStyle="1" w:styleId="55">
    <w:name w:val="附录章标题"/>
    <w:next w:val="3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7">
    <w:name w:val="Char"/>
    <w:basedOn w:val="1"/>
    <w:uiPriority w:val="0"/>
    <w:rPr>
      <w:rFonts w:ascii="Times New Roman" w:hAnsi="Times New Roman"/>
      <w:szCs w:val="24"/>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2">
    <w:name w:val="ICS"/>
    <w:basedOn w:val="58"/>
    <w:qFormat/>
    <w:uiPriority w:val="0"/>
    <w:pPr>
      <w:jc w:val="left"/>
    </w:pPr>
    <w:rPr>
      <w:rFonts w:ascii="黑体" w:eastAsia="黑体"/>
      <w:sz w:val="21"/>
    </w:rPr>
  </w:style>
  <w:style w:type="paragraph" w:customStyle="1" w:styleId="63">
    <w:name w:val="附录图标号"/>
    <w:basedOn w:val="1"/>
    <w:next w:val="35"/>
    <w:qFormat/>
    <w:uiPriority w:val="0"/>
    <w:pPr>
      <w:numPr>
        <w:ilvl w:val="0"/>
        <w:numId w:val="5"/>
      </w:numPr>
      <w:snapToGrid w:val="0"/>
      <w:spacing w:line="14" w:lineRule="exact"/>
      <w:jc w:val="center"/>
    </w:pPr>
    <w:rPr>
      <w:rFonts w:ascii="Times New Roman" w:hAnsi="Times New Roman"/>
      <w:color w:val="FFFFFF"/>
      <w:szCs w:val="20"/>
    </w:rPr>
  </w:style>
  <w:style w:type="paragraph" w:customStyle="1" w:styleId="64">
    <w:name w:val="术语定义一级条标题"/>
    <w:basedOn w:val="34"/>
    <w:next w:val="35"/>
    <w:qFormat/>
    <w:uiPriority w:val="0"/>
    <w:pPr>
      <w:spacing w:before="0" w:beforeLines="0" w:after="0" w:afterLines="0"/>
      <w:outlineLvl w:val="9"/>
    </w:pPr>
  </w:style>
  <w:style w:type="paragraph" w:customStyle="1" w:styleId="65">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6">
    <w:name w:val="_Style 134"/>
    <w:basedOn w:val="1"/>
    <w:next w:val="54"/>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2050</Words>
  <Characters>2162</Characters>
  <Lines>170</Lines>
  <Paragraphs>48</Paragraphs>
  <TotalTime>1</TotalTime>
  <ScaleCrop>false</ScaleCrop>
  <LinksUpToDate>false</LinksUpToDate>
  <CharactersWithSpaces>2198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2022-10-20T02:15:00Z</dcterms:created>
  <dc:creator>MYQ</dc:creator>
  <cp:lastModifiedBy>吕</cp:lastModifiedBy>
  <cp:lastPrinted>2018-05-10T03:48:00Z</cp:lastPrinted>
  <dcterms:modified xsi:type="dcterms:W3CDTF">2024-11-20T12:23:06Z</dcterms:modified>
  <dc:title>中国电机工程学会标准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69BC2E6792E34AFBA0841EF9A884850D</vt:lpwstr>
  </property>
</Properties>
</file>