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AE4E2">
      <w:pPr>
        <w:pStyle w:val="9"/>
        <w:jc w:val="left"/>
        <w:rPr>
          <w:rFonts w:ascii="黑体" w:hAnsi="黑体" w:eastAsia="黑体"/>
          <w:b w:val="0"/>
        </w:rPr>
      </w:pPr>
    </w:p>
    <w:p w14:paraId="62AF3692">
      <w:pPr>
        <w:pStyle w:val="14"/>
        <w:ind w:firstLine="0" w:firstLineChars="0"/>
      </w:pPr>
    </w:p>
    <w:p w14:paraId="6F2AD3B8">
      <w:pPr>
        <w:pStyle w:val="14"/>
        <w:ind w:firstLine="0" w:firstLineChars="0"/>
      </w:pPr>
    </w:p>
    <w:p w14:paraId="2C6C0C86">
      <w:pPr>
        <w:pStyle w:val="14"/>
        <w:ind w:firstLine="0" w:firstLineChars="0"/>
      </w:pPr>
    </w:p>
    <w:p w14:paraId="59CDE5A1">
      <w:pPr>
        <w:pStyle w:val="14"/>
        <w:ind w:firstLine="0" w:firstLineChars="0"/>
      </w:pPr>
    </w:p>
    <w:p w14:paraId="1E485BC7">
      <w:pPr>
        <w:pStyle w:val="14"/>
        <w:ind w:firstLine="0" w:firstLineChars="0"/>
      </w:pPr>
    </w:p>
    <w:p w14:paraId="7ABD5D1B">
      <w:pPr>
        <w:pStyle w:val="14"/>
        <w:ind w:firstLine="0" w:firstLineChars="0"/>
      </w:pPr>
    </w:p>
    <w:p w14:paraId="3F7DF481">
      <w:pPr>
        <w:pStyle w:val="14"/>
        <w:ind w:firstLine="0" w:firstLineChars="0"/>
      </w:pPr>
    </w:p>
    <w:p w14:paraId="60B926BA">
      <w:pPr>
        <w:pStyle w:val="14"/>
        <w:ind w:firstLine="0" w:firstLineChars="0"/>
      </w:pPr>
    </w:p>
    <w:p w14:paraId="04A0652A">
      <w:pPr>
        <w:pStyle w:val="14"/>
        <w:ind w:firstLine="0" w:firstLineChars="0"/>
      </w:pPr>
    </w:p>
    <w:p w14:paraId="2506759E">
      <w:pPr>
        <w:pStyle w:val="14"/>
        <w:ind w:firstLine="0" w:firstLineChars="0"/>
        <w:jc w:val="center"/>
        <w:rPr>
          <w:rFonts w:ascii="黑体" w:eastAsia="黑体"/>
          <w:sz w:val="44"/>
          <w:szCs w:val="44"/>
        </w:rPr>
      </w:pPr>
      <w:bookmarkStart w:id="0" w:name="_Hlk195536067"/>
      <w:r>
        <w:rPr>
          <w:rFonts w:hint="eastAsia" w:ascii="黑体" w:eastAsia="黑体"/>
          <w:sz w:val="44"/>
          <w:szCs w:val="44"/>
        </w:rPr>
        <w:t>电力负荷柔性调控终端技术</w:t>
      </w:r>
      <w:bookmarkEnd w:id="0"/>
      <w:r>
        <w:rPr>
          <w:rFonts w:hint="eastAsia" w:ascii="黑体" w:eastAsia="黑体"/>
          <w:sz w:val="44"/>
          <w:szCs w:val="44"/>
        </w:rPr>
        <w:t>规范</w:t>
      </w:r>
    </w:p>
    <w:p w14:paraId="09F91FA7">
      <w:pPr>
        <w:pStyle w:val="14"/>
      </w:pPr>
    </w:p>
    <w:p w14:paraId="439B25DD">
      <w:pPr>
        <w:pStyle w:val="14"/>
      </w:pPr>
    </w:p>
    <w:p w14:paraId="50540389">
      <w:pPr>
        <w:pStyle w:val="15"/>
        <w:numPr>
          <w:ilvl w:val="0"/>
          <w:numId w:val="0"/>
        </w:numPr>
        <w:jc w:val="center"/>
        <w:rPr>
          <w:sz w:val="28"/>
          <w:szCs w:val="28"/>
        </w:rPr>
      </w:pPr>
      <w:bookmarkStart w:id="1" w:name="_Toc298937368"/>
      <w:bookmarkStart w:id="2" w:name="_Toc298937333"/>
      <w:bookmarkStart w:id="3" w:name="_Toc304825020"/>
      <w:bookmarkStart w:id="4" w:name="_Toc309995410"/>
      <w:bookmarkStart w:id="5" w:name="_Toc304825093"/>
      <w:bookmarkStart w:id="6" w:name="_Toc309995598"/>
      <w:bookmarkStart w:id="7" w:name="_Toc298937430"/>
      <w:bookmarkStart w:id="8" w:name="_Toc304402675"/>
      <w:bookmarkStart w:id="9" w:name="_Toc298937473"/>
      <w:bookmarkStart w:id="10" w:name="_Toc304828086"/>
      <w:bookmarkStart w:id="11" w:name="_Toc304824981"/>
      <w:bookmarkStart w:id="12" w:name="_Toc320020914"/>
      <w:bookmarkStart w:id="13" w:name="_Toc298938646"/>
      <w:bookmarkStart w:id="14" w:name="_Toc309995492"/>
      <w:bookmarkStart w:id="15" w:name="_Toc298938794"/>
      <w:bookmarkStart w:id="16" w:name="_Toc310002657"/>
      <w:bookmarkStart w:id="17" w:name="_Toc309997060"/>
      <w:bookmarkStart w:id="18" w:name="_Toc309996019"/>
      <w:bookmarkStart w:id="19" w:name="_Toc309994571"/>
      <w:bookmarkStart w:id="20" w:name="_Toc298937560"/>
      <w:bookmarkStart w:id="21" w:name="_Toc298937620"/>
      <w:bookmarkStart w:id="22" w:name="_Toc309993200"/>
      <w:bookmarkStart w:id="23" w:name="_Toc318613715"/>
      <w:r>
        <w:rPr>
          <w:rFonts w:hint="eastAsia"/>
          <w:sz w:val="28"/>
          <w:szCs w:val="28"/>
        </w:rPr>
        <w:t>编 制 说</w:t>
      </w:r>
      <w:bookmarkEnd w:id="1"/>
      <w:bookmarkEnd w:id="2"/>
      <w:r>
        <w:rPr>
          <w:rFonts w:hint="eastAsia"/>
          <w:sz w:val="28"/>
          <w:szCs w:val="28"/>
        </w:rPr>
        <w:t> 明</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5397F53">
      <w:pPr>
        <w:pStyle w:val="14"/>
        <w:ind w:firstLine="560"/>
        <w:jc w:val="center"/>
        <w:rPr>
          <w:rFonts w:ascii="黑体" w:eastAsia="黑体"/>
          <w:sz w:val="28"/>
          <w:szCs w:val="28"/>
        </w:rPr>
      </w:pPr>
    </w:p>
    <w:p w14:paraId="2DFA6482">
      <w:pPr>
        <w:pStyle w:val="14"/>
        <w:ind w:firstLine="560"/>
        <w:jc w:val="center"/>
        <w:rPr>
          <w:rFonts w:ascii="黑体" w:eastAsia="黑体"/>
          <w:sz w:val="28"/>
          <w:szCs w:val="28"/>
        </w:rPr>
      </w:pPr>
    </w:p>
    <w:p w14:paraId="02BB0D3A">
      <w:pPr>
        <w:pStyle w:val="14"/>
        <w:sectPr>
          <w:headerReference r:id="rId3" w:type="default"/>
          <w:headerReference r:id="rId4" w:type="even"/>
          <w:pgSz w:w="11906" w:h="16838"/>
          <w:pgMar w:top="567" w:right="1134" w:bottom="1134" w:left="1417" w:header="1418" w:footer="1134" w:gutter="0"/>
          <w:cols w:space="720" w:num="1"/>
          <w:formProt w:val="0"/>
          <w:docGrid w:type="lines" w:linePitch="312" w:charSpace="0"/>
        </w:sectPr>
      </w:pPr>
    </w:p>
    <w:p w14:paraId="181E33A5">
      <w:pPr>
        <w:pStyle w:val="16"/>
      </w:pPr>
      <w:bookmarkStart w:id="24" w:name="_Toc513731109"/>
      <w:bookmarkStart w:id="25" w:name="_Toc309992160"/>
      <w:bookmarkStart w:id="26" w:name="_Toc513731021"/>
      <w:r>
        <w:rPr>
          <w:rFonts w:hint="eastAsia"/>
        </w:rPr>
        <w:t>目次</w:t>
      </w:r>
      <w:bookmarkEnd w:id="24"/>
      <w:bookmarkEnd w:id="25"/>
      <w:bookmarkEnd w:id="26"/>
    </w:p>
    <w:p w14:paraId="4B81D7F4">
      <w:pPr>
        <w:pStyle w:val="7"/>
        <w:spacing w:before="78" w:after="78"/>
        <w:rPr>
          <w:rFonts w:ascii="Calibri" w:hAnsi="Calibri"/>
          <w:szCs w:val="22"/>
        </w:rPr>
      </w:pPr>
      <w:r>
        <w:rPr>
          <w:rFonts w:hAnsi="宋体"/>
        </w:rPr>
        <w:fldChar w:fldCharType="begin"/>
      </w:r>
      <w:r>
        <w:rPr>
          <w:rFonts w:hAnsi="宋体"/>
        </w:rPr>
        <w:instrText xml:space="preserve"> </w:instrText>
      </w:r>
      <w:r>
        <w:rPr>
          <w:rFonts w:hint="eastAsia" w:hAnsi="宋体"/>
        </w:rPr>
        <w:instrText xml:space="preserve">TOC \o "1-1" \h \z \u</w:instrText>
      </w:r>
      <w:r>
        <w:rPr>
          <w:rFonts w:hAnsi="宋体"/>
        </w:rPr>
        <w:instrText xml:space="preserve"> </w:instrText>
      </w:r>
      <w:r>
        <w:rPr>
          <w:rFonts w:hAnsi="宋体"/>
        </w:rPr>
        <w:fldChar w:fldCharType="separate"/>
      </w:r>
    </w:p>
    <w:p w14:paraId="2834B58E">
      <w:pPr>
        <w:pStyle w:val="7"/>
        <w:spacing w:before="78" w:after="78"/>
        <w:rPr>
          <w:rFonts w:ascii="Calibri" w:hAnsi="Calibri"/>
          <w:szCs w:val="22"/>
        </w:rPr>
      </w:pPr>
      <w:r>
        <w:fldChar w:fldCharType="begin"/>
      </w:r>
      <w:r>
        <w:instrText xml:space="preserve"> HYPERLINK \l "_Toc513731110" </w:instrText>
      </w:r>
      <w:r>
        <w:fldChar w:fldCharType="separate"/>
      </w:r>
      <w:r>
        <w:rPr>
          <w:rStyle w:val="13"/>
          <w:rFonts w:hAnsi="宋体"/>
        </w:rPr>
        <w:t xml:space="preserve">1 </w:t>
      </w:r>
      <w:r>
        <w:rPr>
          <w:rStyle w:val="13"/>
          <w:rFonts w:hint="eastAsia" w:hAnsi="宋体"/>
        </w:rPr>
        <w:t>编制背景</w:t>
      </w:r>
      <w:r>
        <w:tab/>
      </w:r>
      <w:r>
        <w:fldChar w:fldCharType="begin"/>
      </w:r>
      <w:r>
        <w:instrText xml:space="preserve"> PAGEREF _Toc513731110 \h </w:instrText>
      </w:r>
      <w:r>
        <w:fldChar w:fldCharType="separate"/>
      </w:r>
      <w:r>
        <w:t>29</w:t>
      </w:r>
      <w:r>
        <w:fldChar w:fldCharType="end"/>
      </w:r>
      <w:r>
        <w:fldChar w:fldCharType="end"/>
      </w:r>
    </w:p>
    <w:p w14:paraId="34E634DA">
      <w:pPr>
        <w:pStyle w:val="7"/>
        <w:spacing w:before="78" w:after="78"/>
        <w:rPr>
          <w:rFonts w:ascii="Calibri" w:hAnsi="Calibri"/>
          <w:szCs w:val="22"/>
        </w:rPr>
      </w:pPr>
      <w:r>
        <w:fldChar w:fldCharType="begin"/>
      </w:r>
      <w:r>
        <w:instrText xml:space="preserve"> HYPERLINK \l "_Toc513731111" </w:instrText>
      </w:r>
      <w:r>
        <w:fldChar w:fldCharType="separate"/>
      </w:r>
      <w:r>
        <w:rPr>
          <w:rStyle w:val="13"/>
          <w:rFonts w:hAnsi="宋体"/>
        </w:rPr>
        <w:t xml:space="preserve">2 </w:t>
      </w:r>
      <w:r>
        <w:rPr>
          <w:rStyle w:val="13"/>
          <w:rFonts w:hint="eastAsia" w:hAnsi="宋体"/>
        </w:rPr>
        <w:t>编制主要原则</w:t>
      </w:r>
      <w:r>
        <w:tab/>
      </w:r>
      <w:r>
        <w:fldChar w:fldCharType="begin"/>
      </w:r>
      <w:r>
        <w:instrText xml:space="preserve"> PAGEREF _Toc513731111 \h </w:instrText>
      </w:r>
      <w:r>
        <w:fldChar w:fldCharType="separate"/>
      </w:r>
      <w:r>
        <w:t>29</w:t>
      </w:r>
      <w:r>
        <w:fldChar w:fldCharType="end"/>
      </w:r>
      <w:r>
        <w:fldChar w:fldCharType="end"/>
      </w:r>
    </w:p>
    <w:p w14:paraId="098B2ABF">
      <w:pPr>
        <w:pStyle w:val="7"/>
        <w:spacing w:before="78" w:after="78"/>
        <w:rPr>
          <w:rFonts w:ascii="Calibri" w:hAnsi="Calibri"/>
          <w:szCs w:val="22"/>
        </w:rPr>
      </w:pPr>
      <w:r>
        <w:fldChar w:fldCharType="begin"/>
      </w:r>
      <w:r>
        <w:instrText xml:space="preserve"> HYPERLINK \l "_Toc513731112" </w:instrText>
      </w:r>
      <w:r>
        <w:fldChar w:fldCharType="separate"/>
      </w:r>
      <w:r>
        <w:rPr>
          <w:rStyle w:val="13"/>
          <w:rFonts w:hAnsi="宋体"/>
        </w:rPr>
        <w:t xml:space="preserve">3 </w:t>
      </w:r>
      <w:r>
        <w:rPr>
          <w:rStyle w:val="13"/>
          <w:rFonts w:hint="eastAsia" w:hAnsi="宋体"/>
        </w:rPr>
        <w:t>主要工作过程</w:t>
      </w:r>
      <w:r>
        <w:tab/>
      </w:r>
      <w:r>
        <w:fldChar w:fldCharType="begin"/>
      </w:r>
      <w:r>
        <w:instrText xml:space="preserve"> PAGEREF _Toc513731112 \h </w:instrText>
      </w:r>
      <w:r>
        <w:fldChar w:fldCharType="separate"/>
      </w:r>
      <w:r>
        <w:t>29</w:t>
      </w:r>
      <w:r>
        <w:fldChar w:fldCharType="end"/>
      </w:r>
      <w:r>
        <w:fldChar w:fldCharType="end"/>
      </w:r>
    </w:p>
    <w:p w14:paraId="7D1AFA58">
      <w:pPr>
        <w:pStyle w:val="7"/>
        <w:spacing w:before="78" w:after="78"/>
        <w:rPr>
          <w:rFonts w:ascii="Calibri" w:hAnsi="Calibri"/>
          <w:szCs w:val="22"/>
        </w:rPr>
      </w:pPr>
      <w:r>
        <w:fldChar w:fldCharType="begin"/>
      </w:r>
      <w:r>
        <w:instrText xml:space="preserve"> HYPERLINK \l "_Toc513731113" </w:instrText>
      </w:r>
      <w:r>
        <w:fldChar w:fldCharType="separate"/>
      </w:r>
      <w:r>
        <w:rPr>
          <w:rStyle w:val="13"/>
          <w:rFonts w:hAnsi="宋体"/>
        </w:rPr>
        <w:t>4</w:t>
      </w:r>
      <w:r>
        <w:rPr>
          <w:rStyle w:val="13"/>
        </w:rPr>
        <w:t xml:space="preserve"> </w:t>
      </w:r>
      <w:r>
        <w:rPr>
          <w:rStyle w:val="13"/>
          <w:rFonts w:hint="eastAsia"/>
        </w:rPr>
        <w:t>标准结构和内容说明</w:t>
      </w:r>
      <w:r>
        <w:tab/>
      </w:r>
      <w:r>
        <w:fldChar w:fldCharType="begin"/>
      </w:r>
      <w:r>
        <w:instrText xml:space="preserve"> PAGEREF _Toc513731113 \h </w:instrText>
      </w:r>
      <w:r>
        <w:fldChar w:fldCharType="separate"/>
      </w:r>
      <w:r>
        <w:t>29</w:t>
      </w:r>
      <w:r>
        <w:fldChar w:fldCharType="end"/>
      </w:r>
      <w:r>
        <w:fldChar w:fldCharType="end"/>
      </w:r>
    </w:p>
    <w:p w14:paraId="5CC8A285">
      <w:pPr>
        <w:pStyle w:val="7"/>
        <w:spacing w:before="78" w:after="78"/>
        <w:rPr>
          <w:rFonts w:ascii="Calibri" w:hAnsi="Calibri"/>
          <w:szCs w:val="22"/>
        </w:rPr>
      </w:pPr>
      <w:r>
        <w:fldChar w:fldCharType="begin"/>
      </w:r>
      <w:r>
        <w:instrText xml:space="preserve"> HYPERLINK \l "_Toc513731114" </w:instrText>
      </w:r>
      <w:r>
        <w:fldChar w:fldCharType="separate"/>
      </w:r>
      <w:r>
        <w:rPr>
          <w:rStyle w:val="13"/>
          <w:rFonts w:hAnsi="宋体"/>
        </w:rPr>
        <w:t>5</w:t>
      </w:r>
      <w:r>
        <w:rPr>
          <w:rStyle w:val="13"/>
          <w:rFonts w:hint="eastAsia"/>
        </w:rPr>
        <w:t>相关标准对比说明</w:t>
      </w:r>
      <w:r>
        <w:rPr>
          <w:rStyle w:val="13"/>
        </w:rPr>
        <w:tab/>
      </w:r>
      <w:r>
        <w:fldChar w:fldCharType="begin"/>
      </w:r>
      <w:r>
        <w:rPr>
          <w:rStyle w:val="13"/>
        </w:rPr>
        <w:instrText xml:space="preserve"> PAGEREF _Toc513731114 \h </w:instrText>
      </w:r>
      <w:r>
        <w:fldChar w:fldCharType="separate"/>
      </w:r>
      <w:r>
        <w:rPr>
          <w:rStyle w:val="13"/>
        </w:rPr>
        <w:t>30</w:t>
      </w:r>
      <w:r>
        <w:fldChar w:fldCharType="end"/>
      </w:r>
      <w:r>
        <w:fldChar w:fldCharType="end"/>
      </w:r>
    </w:p>
    <w:p w14:paraId="0109FEFA">
      <w:pPr>
        <w:pStyle w:val="7"/>
        <w:spacing w:before="78" w:after="78"/>
        <w:rPr>
          <w:rFonts w:ascii="Calibri" w:hAnsi="Calibri"/>
          <w:szCs w:val="22"/>
        </w:rPr>
      </w:pPr>
      <w:r>
        <w:fldChar w:fldCharType="begin"/>
      </w:r>
      <w:r>
        <w:instrText xml:space="preserve"> HYPERLINK \l "_Toc513731115" </w:instrText>
      </w:r>
      <w:r>
        <w:fldChar w:fldCharType="separate"/>
      </w:r>
      <w:r>
        <w:rPr>
          <w:rStyle w:val="13"/>
          <w:rFonts w:hAnsi="宋体"/>
        </w:rPr>
        <w:t>6</w:t>
      </w:r>
      <w:r>
        <w:rPr>
          <w:rStyle w:val="13"/>
          <w:rFonts w:hint="eastAsia" w:hAnsi="宋体"/>
        </w:rPr>
        <w:t>标准实施措施说明</w:t>
      </w:r>
      <w:r>
        <w:tab/>
      </w:r>
      <w:r>
        <w:fldChar w:fldCharType="begin"/>
      </w:r>
      <w:r>
        <w:instrText xml:space="preserve"> PAGEREF _Toc513731115 \h </w:instrText>
      </w:r>
      <w:r>
        <w:fldChar w:fldCharType="separate"/>
      </w:r>
      <w:r>
        <w:t>30</w:t>
      </w:r>
      <w:r>
        <w:fldChar w:fldCharType="end"/>
      </w:r>
      <w:r>
        <w:fldChar w:fldCharType="end"/>
      </w:r>
    </w:p>
    <w:p w14:paraId="5947E349">
      <w:pPr>
        <w:pStyle w:val="14"/>
        <w:rPr>
          <w:rFonts w:hAnsi="宋体"/>
          <w:szCs w:val="21"/>
        </w:rPr>
      </w:pPr>
      <w:r>
        <w:rPr>
          <w:rFonts w:hAnsi="宋体"/>
          <w:szCs w:val="21"/>
        </w:rPr>
        <w:fldChar w:fldCharType="end"/>
      </w:r>
    </w:p>
    <w:p w14:paraId="78B7C868">
      <w:pPr>
        <w:pStyle w:val="14"/>
        <w:rPr>
          <w:rFonts w:hAnsi="宋体"/>
          <w:szCs w:val="21"/>
        </w:rPr>
      </w:pPr>
    </w:p>
    <w:p w14:paraId="1BBEBF1E">
      <w:pPr>
        <w:pStyle w:val="14"/>
        <w:rPr>
          <w:rFonts w:hAnsi="宋体"/>
          <w:szCs w:val="21"/>
        </w:rPr>
      </w:pPr>
    </w:p>
    <w:p w14:paraId="57D394F9">
      <w:pPr>
        <w:pStyle w:val="14"/>
        <w:rPr>
          <w:rFonts w:hAnsi="宋体"/>
          <w:szCs w:val="21"/>
        </w:rPr>
      </w:pPr>
    </w:p>
    <w:p w14:paraId="3BA12F8E">
      <w:pPr>
        <w:pStyle w:val="14"/>
        <w:rPr>
          <w:rFonts w:hAnsi="宋体"/>
          <w:szCs w:val="21"/>
        </w:rPr>
        <w:sectPr>
          <w:headerReference r:id="rId5" w:type="default"/>
          <w:footerReference r:id="rId6" w:type="default"/>
          <w:pgSz w:w="11906" w:h="16838"/>
          <w:pgMar w:top="567" w:right="1134" w:bottom="1134" w:left="1417" w:header="1418" w:footer="1134" w:gutter="0"/>
          <w:pgNumType w:start="28"/>
          <w:cols w:space="720" w:num="1"/>
          <w:formProt w:val="0"/>
          <w:docGrid w:type="lines" w:linePitch="312" w:charSpace="0"/>
        </w:sectPr>
      </w:pPr>
    </w:p>
    <w:p w14:paraId="5F0E6B8B">
      <w:pPr>
        <w:pStyle w:val="18"/>
        <w:spacing w:before="312" w:after="312"/>
        <w:rPr>
          <w:rFonts w:ascii="宋体" w:hAnsi="宋体"/>
          <w:szCs w:val="21"/>
        </w:rPr>
      </w:pPr>
      <w:bookmarkStart w:id="27" w:name="_Toc513731110"/>
      <w:r>
        <w:rPr>
          <w:rFonts w:hint="eastAsia" w:ascii="宋体" w:hAnsi="宋体"/>
          <w:szCs w:val="21"/>
        </w:rPr>
        <w:t>1 编制背景</w:t>
      </w:r>
      <w:bookmarkEnd w:id="27"/>
    </w:p>
    <w:p w14:paraId="20C18E4F">
      <w:pPr>
        <w:pStyle w:val="14"/>
        <w:spacing w:line="300" w:lineRule="exact"/>
        <w:rPr>
          <w:kern w:val="2"/>
        </w:rPr>
      </w:pPr>
      <w:r>
        <w:rPr>
          <w:rFonts w:hint="eastAsia"/>
          <w:kern w:val="2"/>
        </w:rPr>
        <w:t>本标准是根据2022年5月，国家发展和改革委员会、国家能源局《关于推进新型电力负荷管理系统建设的通知》（发改办运行〔2022〕471号）明确规定要统筹能源电力安全保供和清洁低碳转型，稳妥有序推进新型电力负荷管理系统建设，实现电力安全保供要求下的负荷精准控制和用户常态化、精细化的用能管理。提出2025年，系统负荷控制能力达到本地区最大负荷的20%以上，负荷监测能力达到本地区最大负荷的70%以上等相关要求制定。由南方电网数字电网研究院股份有限公司负责起草。</w:t>
      </w:r>
    </w:p>
    <w:p w14:paraId="3671D45F">
      <w:pPr>
        <w:pStyle w:val="14"/>
        <w:spacing w:line="300" w:lineRule="exact"/>
        <w:rPr>
          <w:rFonts w:hint="eastAsia"/>
          <w:kern w:val="2"/>
        </w:rPr>
      </w:pPr>
      <w:r>
        <w:rPr>
          <w:rFonts w:hint="eastAsia"/>
          <w:kern w:val="2"/>
        </w:rPr>
        <w:t>随着我国能源绿色低碳转型战略的深入推进，新能源发电形式在电力系统中的占比持续提升，给电力系统的实时平衡、稳定运行和可靠供电带来了新的挑战。然而，当前电力系统对末端负荷的感知深度和广度尚显不足，难以深入用户内部对各类负荷设备进行实时、精细化的状态感知与数据采集。光伏、充电桩、中央空调、通讯基站等分布式资源虽具备监测基础，但主要服务于贸易结算，远未达到支撑电网柔性调控所需的普及程度和精度。在现有区域电力系统调度框架下，调度指令虽能触达配电网、专变用户、大用户及负荷聚合商等层面，但尚无法有效分解至每一个末端负荷进行精准调控，导致负荷控制的颗粒度粗、响应精度不高。面对新型电力系统下网荷互动日益深入的需求，挖掘和拓展庞大的末端可调节负荷资源已成为一项迫切任务。</w:t>
      </w:r>
    </w:p>
    <w:p w14:paraId="6BF0D932">
      <w:pPr>
        <w:pStyle w:val="14"/>
        <w:spacing w:line="300" w:lineRule="exact"/>
        <w:rPr>
          <w:rFonts w:hint="eastAsia"/>
          <w:kern w:val="2"/>
        </w:rPr>
      </w:pPr>
      <w:r>
        <w:rPr>
          <w:rFonts w:hint="eastAsia"/>
          <w:kern w:val="2"/>
        </w:rPr>
        <w:t>在此背景下，电力负荷柔性调控终端应运而生，其标准化、规范化对于支撑新型电力负荷管理系统至关重要。该终端旨在有效解决末端可调负荷资源面临的设备类型异构、时空分布散乱、弹性特性各异导致难以协同精准控制的难题，并克服设备厂家众多、型号规格不一、物理接口多样、通信协议复杂等实际应用障碍。通过统一的技术标准，电力负荷柔性调控终端能够实现对光伏、储能、电动汽车充电桩、智能空调、通讯基站电源等各类分布式可调负荷资源的广泛接入与管理。其内置的协议转换功能，结合灵活的优先级与调控策略配置，可适应不同负荷场景需求，最终实现海量、分散的柔性负荷资源的可观、可测、可调、可控。同时，终端具备的安全接入功能，确保了电网与用户侧信息交互的安全性。</w:t>
      </w:r>
    </w:p>
    <w:p w14:paraId="00999E8E">
      <w:pPr>
        <w:pStyle w:val="14"/>
        <w:spacing w:line="300" w:lineRule="exact"/>
        <w:rPr>
          <w:rFonts w:hint="eastAsia"/>
          <w:kern w:val="2"/>
        </w:rPr>
      </w:pPr>
      <w:r>
        <w:rPr>
          <w:rFonts w:hint="eastAsia"/>
          <w:kern w:val="2"/>
        </w:rPr>
        <w:t>本标准编制的主要目的在于，通过规范电力负荷柔性调控终端的功能要求、性能指标、技术规范、通信协议及试验方法，为该类终端设备的研发、生产、检测、部署和应用提供统一的技术依据。这不仅是提高能源利用效率、降低社会整体用电成本、缓解高峰时段能源供应压力的关键技术支撑，更是保障新型电力系统安全稳定运行的重要手段。标准化的终端将促进用户侧资源与电网的有效互动，支撑新型电力负荷管理体系的构建，推动电力系统的安全、高效、经济运行。</w:t>
      </w:r>
    </w:p>
    <w:p w14:paraId="4AB26E59">
      <w:pPr>
        <w:pStyle w:val="18"/>
        <w:spacing w:before="312" w:after="312" w:line="300" w:lineRule="exact"/>
        <w:rPr>
          <w:rFonts w:ascii="宋体" w:hAnsi="宋体"/>
          <w:szCs w:val="21"/>
        </w:rPr>
      </w:pPr>
      <w:bookmarkStart w:id="28" w:name="_Toc513731111"/>
      <w:r>
        <w:rPr>
          <w:rFonts w:hint="eastAsia" w:ascii="宋体" w:hAnsi="宋体"/>
          <w:szCs w:val="21"/>
        </w:rPr>
        <w:t>2 编制主要原则</w:t>
      </w:r>
      <w:bookmarkEnd w:id="28"/>
    </w:p>
    <w:p w14:paraId="696C926B">
      <w:pPr>
        <w:pStyle w:val="14"/>
        <w:spacing w:line="300" w:lineRule="exact"/>
      </w:pPr>
      <w:bookmarkStart w:id="29" w:name="_Toc513731112"/>
      <w:r>
        <w:rPr>
          <w:rFonts w:hint="eastAsia"/>
        </w:rPr>
        <w:t>本标准的编制主要依据以下原则：</w:t>
      </w:r>
    </w:p>
    <w:p w14:paraId="13DF2AFE">
      <w:pPr>
        <w:pStyle w:val="14"/>
        <w:spacing w:line="300" w:lineRule="exact"/>
      </w:pPr>
      <w:r>
        <w:rPr>
          <w:rFonts w:hint="eastAsia"/>
        </w:rPr>
        <w:t>a）坚持先进性与实用性相结合、统一性与灵活性相结合、可靠性与经济性相结合的原则，以标准化为引领，服务于社会的科学发展；</w:t>
      </w:r>
    </w:p>
    <w:p w14:paraId="0AF8DE3F">
      <w:pPr>
        <w:pStyle w:val="14"/>
        <w:spacing w:line="300" w:lineRule="exact"/>
      </w:pPr>
      <w:r>
        <w:rPr>
          <w:rFonts w:hint="eastAsia"/>
        </w:rPr>
        <w:t>b）采用分散与集中的形式，分析调研各省（市）电力公司、用户对于新型电力系统电力负荷柔性调控终端的能力及需求，充分体现研究成果的实用性、先进性；</w:t>
      </w:r>
    </w:p>
    <w:p w14:paraId="6C8D47E4">
      <w:pPr>
        <w:pStyle w:val="14"/>
        <w:spacing w:line="300" w:lineRule="exact"/>
      </w:pPr>
      <w:r>
        <w:rPr>
          <w:rFonts w:hint="eastAsia"/>
        </w:rPr>
        <w:t>c）认真研究现行有效的IEC标准、国家标准、行业标准，充分考虑了新理念、新技术发展现状、趋势和需求。技术规范制定全流程体现新型电力系统和电力负荷管理装置的最新发展与需求，充分考虑了国家政策以及新要求。</w:t>
      </w:r>
    </w:p>
    <w:p w14:paraId="60F4520B">
      <w:pPr>
        <w:pStyle w:val="14"/>
        <w:spacing w:line="300" w:lineRule="exact"/>
        <w:ind w:firstLine="0" w:firstLineChars="0"/>
        <w:rPr>
          <w:rFonts w:hAnsi="宋体" w:eastAsia="黑体"/>
          <w:kern w:val="44"/>
          <w:szCs w:val="21"/>
        </w:rPr>
      </w:pPr>
      <w:r>
        <w:rPr>
          <w:rFonts w:hint="eastAsia" w:hAnsi="宋体" w:eastAsia="黑体"/>
          <w:kern w:val="44"/>
          <w:szCs w:val="21"/>
        </w:rPr>
        <w:t>3 主要工作过程</w:t>
      </w:r>
      <w:bookmarkEnd w:id="29"/>
    </w:p>
    <w:p w14:paraId="3E619F69">
      <w:pPr>
        <w:pStyle w:val="14"/>
        <w:rPr>
          <w:kern w:val="2"/>
        </w:rPr>
      </w:pPr>
      <w:bookmarkStart w:id="30" w:name="_Toc513731113"/>
      <w:r>
        <w:rPr>
          <w:kern w:val="2"/>
        </w:rPr>
        <w:t>本</w:t>
      </w:r>
      <w:r>
        <w:rPr>
          <w:rFonts w:hint="eastAsia"/>
          <w:kern w:val="2"/>
        </w:rPr>
        <w:t>标准</w:t>
      </w:r>
      <w:r>
        <w:rPr>
          <w:kern w:val="2"/>
        </w:rPr>
        <w:t>的主要工作过程如下：</w:t>
      </w:r>
    </w:p>
    <w:p w14:paraId="7FD9C15D">
      <w:pPr>
        <w:pStyle w:val="14"/>
        <w:ind w:left="-4" w:leftChars="-2"/>
        <w:rPr>
          <w:kern w:val="2"/>
        </w:rPr>
      </w:pPr>
      <w:r>
        <w:rPr>
          <w:kern w:val="2"/>
        </w:rPr>
        <w:t>202</w:t>
      </w:r>
      <w:r>
        <w:rPr>
          <w:rFonts w:hint="eastAsia"/>
          <w:kern w:val="2"/>
        </w:rPr>
        <w:t>4年</w:t>
      </w:r>
      <w:r>
        <w:rPr>
          <w:rFonts w:hint="eastAsia"/>
          <w:kern w:val="2"/>
          <w:lang w:val="en-US" w:eastAsia="zh-CN"/>
        </w:rPr>
        <w:t>9</w:t>
      </w:r>
      <w:r>
        <w:rPr>
          <w:rFonts w:hint="eastAsia"/>
          <w:kern w:val="2"/>
        </w:rPr>
        <w:t>月，项目启动，由南方电网数字电网研究院股份有限公司牵头组织中国电力科学研究院有限公司、海南电网有限责任公司、广东电网有限责任公司广州供电局、广东电网有限责任公司佛山供电局、南方电网广西新能源有限公司、云南电网有限责任公司电力科学研究院、国网江苏省电力有限公司、国网河北省电力公司、格力电器新能源研究院、中广核数字科技有限公司、河南许继仪表有限公司、青岛鼎信通讯股份有限公司、深圳科陆电子科技股份有限公司、深圳市中业智能系统控制有限公司参加标准起草。</w:t>
      </w:r>
    </w:p>
    <w:p w14:paraId="23F228C0">
      <w:pPr>
        <w:pStyle w:val="14"/>
        <w:ind w:left="-4" w:leftChars="-2"/>
        <w:rPr>
          <w:kern w:val="2"/>
        </w:rPr>
      </w:pPr>
      <w:r>
        <w:rPr>
          <w:kern w:val="2"/>
        </w:rPr>
        <w:t>202</w:t>
      </w:r>
      <w:r>
        <w:rPr>
          <w:rFonts w:hint="eastAsia"/>
          <w:kern w:val="2"/>
        </w:rPr>
        <w:t>4年</w:t>
      </w:r>
      <w:r>
        <w:rPr>
          <w:rFonts w:hint="eastAsia"/>
          <w:kern w:val="2"/>
          <w:lang w:val="en-US" w:eastAsia="zh-CN"/>
        </w:rPr>
        <w:t>11</w:t>
      </w:r>
      <w:r>
        <w:rPr>
          <w:rFonts w:hint="eastAsia"/>
          <w:kern w:val="2"/>
        </w:rPr>
        <w:t>月，成立编写组，组织召开标准启动会，对标准内容进行调研，部署标准制定工作计划，确定标准体系架构，明确课题的研究目的、思路、任务、分工及进度要求。</w:t>
      </w:r>
    </w:p>
    <w:p w14:paraId="008EFD74">
      <w:pPr>
        <w:pStyle w:val="14"/>
        <w:ind w:left="-4" w:leftChars="-2"/>
        <w:rPr>
          <w:rFonts w:hint="eastAsia"/>
          <w:kern w:val="2"/>
        </w:rPr>
      </w:pPr>
      <w:r>
        <w:rPr>
          <w:rFonts w:hint="eastAsia"/>
          <w:kern w:val="2"/>
        </w:rPr>
        <w:t>202</w:t>
      </w:r>
      <w:r>
        <w:rPr>
          <w:rFonts w:hint="eastAsia"/>
          <w:kern w:val="2"/>
        </w:rPr>
        <w:t>4年1</w:t>
      </w:r>
      <w:r>
        <w:rPr>
          <w:rFonts w:hint="eastAsia"/>
          <w:kern w:val="2"/>
          <w:lang w:val="en-US" w:eastAsia="zh-CN"/>
        </w:rPr>
        <w:t>2</w:t>
      </w:r>
      <w:r>
        <w:rPr>
          <w:rFonts w:hint="eastAsia"/>
          <w:kern w:val="2"/>
        </w:rPr>
        <w:t>月，完成标准大纲编写，组织召开大纲研讨会，收集电力负荷柔性调控终端的相关资料，对柔性调控终端技术规范中通信与功能的有关问题进行研讨。</w:t>
      </w:r>
    </w:p>
    <w:p w14:paraId="41BFC69C">
      <w:pPr>
        <w:pStyle w:val="14"/>
        <w:ind w:left="-4" w:leftChars="-2"/>
        <w:rPr>
          <w:rFonts w:hint="eastAsia"/>
          <w:kern w:val="2"/>
        </w:rPr>
      </w:pPr>
      <w:r>
        <w:rPr>
          <w:rFonts w:hint="eastAsia"/>
          <w:kern w:val="2"/>
        </w:rPr>
        <w:t>202</w:t>
      </w:r>
      <w:r>
        <w:rPr>
          <w:rFonts w:hint="eastAsia"/>
          <w:kern w:val="2"/>
          <w:lang w:val="en-US" w:eastAsia="zh-CN"/>
        </w:rPr>
        <w:t>5</w:t>
      </w:r>
      <w:r>
        <w:rPr>
          <w:rFonts w:hint="eastAsia"/>
          <w:kern w:val="2"/>
        </w:rPr>
        <w:t>年</w:t>
      </w:r>
      <w:r>
        <w:rPr>
          <w:rFonts w:hint="eastAsia"/>
          <w:kern w:val="2"/>
          <w:lang w:val="en-US" w:eastAsia="zh-CN"/>
        </w:rPr>
        <w:t>2</w:t>
      </w:r>
      <w:r>
        <w:rPr>
          <w:rFonts w:hint="eastAsia"/>
          <w:kern w:val="2"/>
        </w:rPr>
        <w:t>月，由南方电网数字电网研究院股份有限公司牵头组织中国电力科学研究院有限公司、海南电网有限责任公司、广东电网有限责任公司广州供电局、广东电网有限责任公司佛山供电局、南方电网广西新能源有限公司、云南电网有限责任公司电力科学研究院、国网江苏省电力有限公司、国网河北省电力公司、格力电器新能源研究院、中广核数字科技有限公司、河南许继仪表有限公司、青岛鼎信通讯股份有限公司、深圳科陆电子科技股份有限公司、深圳市中业智能系统控制有限公司对标准初稿进行研讨，验证标准提出性能参数指标的正确性及合理性。</w:t>
      </w:r>
    </w:p>
    <w:p w14:paraId="68B5A22E">
      <w:pPr>
        <w:pStyle w:val="14"/>
        <w:ind w:left="-4" w:leftChars="-2"/>
        <w:rPr>
          <w:rFonts w:hint="eastAsia"/>
          <w:kern w:val="2"/>
        </w:rPr>
      </w:pPr>
      <w:r>
        <w:rPr>
          <w:rFonts w:hint="eastAsia"/>
          <w:kern w:val="2"/>
          <w:lang w:val="en-GB"/>
        </w:rPr>
        <w:t>202</w:t>
      </w:r>
      <w:r>
        <w:rPr>
          <w:rFonts w:hint="eastAsia"/>
          <w:kern w:val="2"/>
          <w:lang w:val="en-US" w:eastAsia="zh-CN"/>
        </w:rPr>
        <w:t>5</w:t>
      </w:r>
      <w:r>
        <w:rPr>
          <w:rFonts w:hint="eastAsia"/>
          <w:kern w:val="2"/>
          <w:lang w:val="en-GB"/>
        </w:rPr>
        <w:t>年</w:t>
      </w:r>
      <w:r>
        <w:rPr>
          <w:rFonts w:hint="eastAsia"/>
          <w:kern w:val="2"/>
          <w:lang w:val="en-US" w:eastAsia="zh-CN"/>
        </w:rPr>
        <w:t>3</w:t>
      </w:r>
      <w:r>
        <w:rPr>
          <w:rFonts w:hint="eastAsia"/>
          <w:kern w:val="2"/>
          <w:lang w:val="en-GB"/>
        </w:rPr>
        <w:t>月，完成标准征求意见稿编写，</w:t>
      </w:r>
      <w:r>
        <w:rPr>
          <w:rFonts w:hint="eastAsia"/>
          <w:kern w:val="2"/>
        </w:rPr>
        <w:t>组织评审专家对</w:t>
      </w:r>
      <w:r>
        <w:rPr>
          <w:rFonts w:hint="eastAsia"/>
          <w:kern w:val="2"/>
          <w:lang w:val="en-GB"/>
        </w:rPr>
        <w:t>标准征求意见稿</w:t>
      </w:r>
      <w:r>
        <w:rPr>
          <w:rFonts w:hint="eastAsia"/>
          <w:kern w:val="2"/>
        </w:rPr>
        <w:t>评审，形成最终的</w:t>
      </w:r>
      <w:r>
        <w:rPr>
          <w:rFonts w:hint="eastAsia"/>
          <w:kern w:val="2"/>
          <w:lang w:val="en-GB"/>
        </w:rPr>
        <w:t>标准征求意见稿。</w:t>
      </w:r>
    </w:p>
    <w:p w14:paraId="3A4CF9BC">
      <w:pPr>
        <w:pStyle w:val="14"/>
        <w:ind w:left="-4" w:leftChars="-2"/>
        <w:rPr>
          <w:rFonts w:hint="eastAsia"/>
          <w:kern w:val="2"/>
          <w:lang w:val="en-GB"/>
        </w:rPr>
      </w:pPr>
      <w:r>
        <w:rPr>
          <w:rFonts w:hint="eastAsia"/>
          <w:kern w:val="2"/>
          <w:lang w:val="en-GB"/>
        </w:rPr>
        <w:t>202</w:t>
      </w:r>
      <w:r>
        <w:rPr>
          <w:rFonts w:hint="eastAsia"/>
          <w:kern w:val="2"/>
          <w:lang w:val="en-US" w:eastAsia="zh-CN"/>
        </w:rPr>
        <w:t>5</w:t>
      </w:r>
      <w:r>
        <w:rPr>
          <w:rFonts w:hint="eastAsia"/>
          <w:kern w:val="2"/>
          <w:lang w:val="en-GB"/>
        </w:rPr>
        <w:t>年</w:t>
      </w:r>
      <w:r>
        <w:rPr>
          <w:rFonts w:hint="eastAsia"/>
          <w:kern w:val="2"/>
          <w:lang w:val="en-US" w:eastAsia="zh-CN"/>
        </w:rPr>
        <w:t>4</w:t>
      </w:r>
      <w:r>
        <w:rPr>
          <w:rFonts w:hint="eastAsia"/>
          <w:kern w:val="2"/>
          <w:lang w:val="en-GB"/>
        </w:rPr>
        <w:t>月，</w:t>
      </w:r>
      <w:r>
        <w:rPr>
          <w:rFonts w:hint="eastAsia"/>
          <w:kern w:val="2"/>
          <w:lang w:val="en-US" w:eastAsia="zh-CN"/>
        </w:rPr>
        <w:t>向社会</w:t>
      </w:r>
      <w:r>
        <w:rPr>
          <w:rFonts w:hint="eastAsia"/>
          <w:kern w:val="2"/>
          <w:lang w:val="en-GB"/>
        </w:rPr>
        <w:t>广泛征集行业意见。</w:t>
      </w:r>
    </w:p>
    <w:p w14:paraId="20A29426">
      <w:pPr>
        <w:pStyle w:val="18"/>
        <w:spacing w:before="312" w:after="312" w:line="300" w:lineRule="exact"/>
      </w:pPr>
      <w:r>
        <w:rPr>
          <w:rFonts w:hint="eastAsia" w:ascii="宋体" w:hAnsi="宋体"/>
          <w:szCs w:val="21"/>
        </w:rPr>
        <w:t>4</w:t>
      </w:r>
      <w:r>
        <w:rPr>
          <w:rFonts w:hint="eastAsia"/>
        </w:rPr>
        <w:t xml:space="preserve"> 标准结构和内容说明</w:t>
      </w:r>
      <w:bookmarkEnd w:id="30"/>
    </w:p>
    <w:p w14:paraId="413A621E">
      <w:pPr>
        <w:overflowPunct w:val="0"/>
        <w:topLinePunct/>
        <w:spacing w:line="320" w:lineRule="exact"/>
        <w:ind w:firstLine="420" w:firstLineChars="200"/>
      </w:pPr>
      <w:r>
        <w:t>本</w:t>
      </w:r>
      <w:r>
        <w:rPr>
          <w:rFonts w:hint="eastAsia"/>
        </w:rPr>
        <w:t>标准</w:t>
      </w:r>
      <w:r>
        <w:t>为规范标准，在形式上具有典型结构，依据GB/T 1.1—2020和GB/T 20001.5《标准编写规则　第5部分：规范标准》的要求，对于</w:t>
      </w:r>
      <w:r>
        <w:rPr>
          <w:rFonts w:hint="eastAsia" w:ascii="宋体"/>
        </w:rPr>
        <w:t>电力负荷柔性调控终端技术要求</w:t>
      </w:r>
      <w:r>
        <w:rPr>
          <w:i/>
          <w:iCs/>
          <w:sz w:val="18"/>
          <w:szCs w:val="18"/>
        </w:rPr>
        <w:t>，</w:t>
      </w:r>
      <w:r>
        <w:t>按照</w:t>
      </w:r>
      <w:r>
        <w:rPr>
          <w:rFonts w:hint="eastAsia"/>
        </w:rPr>
        <w:t>技术要求</w:t>
      </w:r>
      <w:r>
        <w:rPr>
          <w:spacing w:val="-12"/>
        </w:rPr>
        <w:t>—</w:t>
      </w:r>
      <w:r>
        <w:t>—</w:t>
      </w:r>
      <w:r>
        <w:rPr>
          <w:rFonts w:hint="eastAsia"/>
        </w:rPr>
        <w:t>检测方法</w:t>
      </w:r>
      <w:r>
        <w:t>的顺序编写。本</w:t>
      </w:r>
      <w:r>
        <w:rPr>
          <w:rFonts w:hint="eastAsia"/>
        </w:rPr>
        <w:t>标准</w:t>
      </w:r>
      <w:r>
        <w:t>第</w:t>
      </w:r>
      <w:r>
        <w:rPr>
          <w:rFonts w:hint="eastAsia"/>
        </w:rPr>
        <w:t>4</w:t>
      </w:r>
      <w:r>
        <w:t>章中明确</w:t>
      </w:r>
      <w:r>
        <w:rPr>
          <w:rFonts w:hint="eastAsia" w:ascii="宋体"/>
        </w:rPr>
        <w:t>电力负荷柔性调控终端</w:t>
      </w:r>
      <w:r>
        <w:rPr>
          <w:rFonts w:hint="eastAsia"/>
        </w:rPr>
        <w:t>的相关技术要求</w:t>
      </w:r>
      <w:r>
        <w:t>；第</w:t>
      </w:r>
      <w:r>
        <w:rPr>
          <w:rFonts w:hint="eastAsia"/>
        </w:rPr>
        <w:t>5</w:t>
      </w:r>
      <w:r>
        <w:t>章中明确</w:t>
      </w:r>
      <w:r>
        <w:rPr>
          <w:rFonts w:hint="eastAsia" w:ascii="宋体"/>
        </w:rPr>
        <w:t>电力负荷柔性调控终端</w:t>
      </w:r>
      <w:r>
        <w:rPr>
          <w:rFonts w:hint="eastAsia"/>
        </w:rPr>
        <w:t>的相关功能要求；</w:t>
      </w:r>
      <w:r>
        <w:t>第6章中</w:t>
      </w:r>
      <w:r>
        <w:rPr>
          <w:rFonts w:hint="eastAsia"/>
        </w:rPr>
        <w:t>明确试验方法的要求</w:t>
      </w:r>
      <w:r>
        <w:t>。本</w:t>
      </w:r>
      <w:r>
        <w:rPr>
          <w:rFonts w:hint="eastAsia"/>
        </w:rPr>
        <w:t>标准</w:t>
      </w:r>
      <w:r>
        <w:t>的附录A</w:t>
      </w:r>
      <w:r>
        <w:rPr>
          <w:rFonts w:hint="eastAsia"/>
        </w:rPr>
        <w:t>、附录B</w:t>
      </w:r>
      <w:r>
        <w:t>为</w:t>
      </w:r>
      <w:r>
        <w:rPr>
          <w:rFonts w:hint="eastAsia"/>
        </w:rPr>
        <w:t>资料</w:t>
      </w:r>
      <w:r>
        <w:t>性附录。</w:t>
      </w:r>
    </w:p>
    <w:p w14:paraId="56BC6261">
      <w:pPr>
        <w:pStyle w:val="18"/>
        <w:spacing w:before="312" w:after="312" w:line="300" w:lineRule="exact"/>
      </w:pPr>
      <w:bookmarkStart w:id="31" w:name="_Toc513731114"/>
      <w:bookmarkStart w:id="33" w:name="_GoBack"/>
      <w:bookmarkEnd w:id="33"/>
      <w:r>
        <w:rPr>
          <w:rFonts w:hint="eastAsia" w:ascii="宋体" w:hAnsi="宋体"/>
          <w:szCs w:val="21"/>
        </w:rPr>
        <w:t>5相关</w:t>
      </w:r>
      <w:r>
        <w:rPr>
          <w:rFonts w:hint="eastAsia"/>
        </w:rPr>
        <w:t>标准对比说明</w:t>
      </w:r>
      <w:bookmarkEnd w:id="31"/>
    </w:p>
    <w:p w14:paraId="7AE02625">
      <w:pPr>
        <w:pStyle w:val="20"/>
        <w:spacing w:line="300" w:lineRule="exact"/>
        <w:ind w:firstLine="0" w:firstLineChars="0"/>
      </w:pPr>
      <w:r>
        <w:rPr>
          <w:rFonts w:hint="eastAsia"/>
        </w:rPr>
        <w:t>本标准与相关技术领域的国家现行法律、法规和政策保持一致。</w:t>
      </w:r>
    </w:p>
    <w:p w14:paraId="3527F410">
      <w:pPr>
        <w:pStyle w:val="20"/>
        <w:spacing w:line="300" w:lineRule="exact"/>
        <w:ind w:firstLine="0" w:firstLineChars="0"/>
      </w:pPr>
      <w:r>
        <w:rPr>
          <w:rFonts w:hint="eastAsia"/>
        </w:rPr>
        <w:t>本标准的某些内容可能涉及专利。本标准的发布机构不承担识别这些专利的责任。</w:t>
      </w:r>
    </w:p>
    <w:p w14:paraId="1DFBB852">
      <w:pPr>
        <w:pStyle w:val="18"/>
        <w:spacing w:before="312" w:after="312" w:line="300" w:lineRule="exact"/>
        <w:rPr>
          <w:rFonts w:ascii="宋体" w:hAnsi="宋体"/>
          <w:szCs w:val="21"/>
        </w:rPr>
      </w:pPr>
      <w:bookmarkStart w:id="32" w:name="_Toc513731115"/>
      <w:r>
        <w:rPr>
          <w:rFonts w:hint="eastAsia" w:ascii="宋体" w:hAnsi="宋体"/>
          <w:szCs w:val="21"/>
        </w:rPr>
        <w:t>6标准实施措施说明</w:t>
      </w:r>
      <w:bookmarkEnd w:id="32"/>
    </w:p>
    <w:p w14:paraId="605D7365">
      <w:pPr>
        <w:pStyle w:val="18"/>
        <w:spacing w:before="312" w:after="312" w:line="300" w:lineRule="exact"/>
        <w:rPr>
          <w:rFonts w:hint="eastAsia" w:ascii="Calibri" w:hAnsi="Calibri" w:eastAsia="宋体" w:cs="Times New Roman"/>
          <w:b w:val="0"/>
          <w:bCs w:val="0"/>
          <w:kern w:val="2"/>
          <w:sz w:val="21"/>
          <w:szCs w:val="22"/>
          <w:lang w:val="en-US" w:eastAsia="zh-CN" w:bidi="ar-SA"/>
        </w:rPr>
        <w:sectPr>
          <w:pgSz w:w="11906" w:h="16838"/>
          <w:pgMar w:top="1440" w:right="1797" w:bottom="1418" w:left="1797" w:header="851" w:footer="992" w:gutter="0"/>
          <w:cols w:space="720" w:num="1"/>
          <w:docGrid w:type="lines" w:linePitch="312" w:charSpace="0"/>
        </w:sectPr>
      </w:pPr>
      <w:r>
        <w:rPr>
          <w:rFonts w:hint="eastAsia" w:ascii="Calibri" w:hAnsi="Calibri" w:eastAsia="宋体" w:cs="Times New Roman"/>
          <w:b w:val="0"/>
          <w:bCs w:val="0"/>
          <w:kern w:val="2"/>
          <w:sz w:val="21"/>
          <w:szCs w:val="22"/>
          <w:lang w:val="en-US" w:eastAsia="zh-CN" w:bidi="ar-SA"/>
        </w:rPr>
        <w:t>无</w:t>
      </w:r>
    </w:p>
    <w:p w14:paraId="352B67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2BFE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6FE88">
    <w:pPr>
      <w:pStyle w:val="21"/>
      <w:wordWrap w:val="0"/>
    </w:pPr>
    <w:r>
      <w:rPr>
        <w:rFonts w:hint="eastAsia"/>
      </w:rPr>
      <w:t>T</w:t>
    </w:r>
    <w:r>
      <w:t>/</w:t>
    </w:r>
    <w:r>
      <w:rPr>
        <w:rFonts w:hint="eastAsia"/>
      </w:rPr>
      <w:t>CSEE</w:t>
    </w:r>
    <w:r>
      <w:rPr>
        <w:rFonts w:hint="eastAsia" w:hAnsi="黑体"/>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F5E9">
    <w:pPr>
      <w:pStyle w:val="21"/>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FB54">
    <w:pPr>
      <w:pStyle w:val="21"/>
      <w:wordWrap w:val="0"/>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5"/>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NTRjNDAxMzljMjc4YmViYjE1M2YwYjYwODc2N2IifQ=="/>
  </w:docVars>
  <w:rsids>
    <w:rsidRoot w:val="2626189E"/>
    <w:rsid w:val="0000682A"/>
    <w:rsid w:val="000F3267"/>
    <w:rsid w:val="002366A1"/>
    <w:rsid w:val="00293E9D"/>
    <w:rsid w:val="002D5F3D"/>
    <w:rsid w:val="003D6AC4"/>
    <w:rsid w:val="006B6E53"/>
    <w:rsid w:val="0078419F"/>
    <w:rsid w:val="009775B2"/>
    <w:rsid w:val="00AA33A2"/>
    <w:rsid w:val="00B34CE2"/>
    <w:rsid w:val="00C65C1A"/>
    <w:rsid w:val="00D008AD"/>
    <w:rsid w:val="00D52223"/>
    <w:rsid w:val="00DA7B32"/>
    <w:rsid w:val="00EF31C7"/>
    <w:rsid w:val="00EF37B5"/>
    <w:rsid w:val="02056D00"/>
    <w:rsid w:val="07787CA1"/>
    <w:rsid w:val="0E4874F8"/>
    <w:rsid w:val="0E4B7C02"/>
    <w:rsid w:val="13515E55"/>
    <w:rsid w:val="1ACE786A"/>
    <w:rsid w:val="1B7925B4"/>
    <w:rsid w:val="1C0F0CDE"/>
    <w:rsid w:val="225D7D68"/>
    <w:rsid w:val="237C10C0"/>
    <w:rsid w:val="2626189E"/>
    <w:rsid w:val="2ED378F1"/>
    <w:rsid w:val="343A7CCB"/>
    <w:rsid w:val="3D085B96"/>
    <w:rsid w:val="446850D1"/>
    <w:rsid w:val="493132D9"/>
    <w:rsid w:val="4BFE2794"/>
    <w:rsid w:val="4FE84865"/>
    <w:rsid w:val="52D15F58"/>
    <w:rsid w:val="546D32BB"/>
    <w:rsid w:val="64231050"/>
    <w:rsid w:val="6CD8249C"/>
    <w:rsid w:val="6D247FDC"/>
    <w:rsid w:val="6E0160D3"/>
    <w:rsid w:val="75BD7AE6"/>
    <w:rsid w:val="77E8017E"/>
    <w:rsid w:val="78C31D61"/>
    <w:rsid w:val="7AFA1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jc w:val="left"/>
    </w:pPr>
    <w:rPr>
      <w:rFonts w:ascii="Arial" w:hAnsi="Arial"/>
    </w:rPr>
  </w:style>
  <w:style w:type="paragraph" w:styleId="5">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23"/>
    <w:uiPriority w:val="0"/>
    <w:pP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character" w:styleId="12">
    <w:name w:val="page number"/>
    <w:qFormat/>
    <w:uiPriority w:val="0"/>
    <w:rPr>
      <w:rFonts w:ascii="Times New Roman" w:hAnsi="Times New Roman" w:eastAsia="宋体"/>
      <w:sz w:val="18"/>
    </w:rPr>
  </w:style>
  <w:style w:type="character" w:styleId="13">
    <w:name w:val="Hyperlink"/>
    <w:unhideWhenUsed/>
    <w:qFormat/>
    <w:uiPriority w:val="99"/>
    <w:rPr>
      <w:color w:val="0000FF"/>
      <w:u w:val="single"/>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章标题"/>
    <w:next w:val="1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
    <w:name w:val="目次、标准名称标题"/>
    <w:basedOn w:val="17"/>
    <w:next w:val="14"/>
    <w:qFormat/>
    <w:uiPriority w:val="0"/>
    <w:pPr>
      <w:keepNext/>
      <w:pageBreakBefore/>
      <w:spacing w:line="460" w:lineRule="exact"/>
    </w:pPr>
  </w:style>
  <w:style w:type="paragraph" w:customStyle="1" w:styleId="1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
    <w:name w:val="样式 标题 1 + 非加粗"/>
    <w:basedOn w:val="4"/>
    <w:qFormat/>
    <w:uiPriority w:val="0"/>
    <w:pPr>
      <w:spacing w:before="100" w:beforeLines="100" w:after="100" w:afterLines="100" w:line="240" w:lineRule="auto"/>
    </w:pPr>
    <w:rPr>
      <w:rFonts w:eastAsia="黑体"/>
      <w:b w:val="0"/>
      <w:bCs w:val="0"/>
      <w:sz w:val="21"/>
    </w:rPr>
  </w:style>
  <w:style w:type="paragraph" w:customStyle="1" w:styleId="19">
    <w:name w:val="附录章标题"/>
    <w:next w:val="14"/>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3">
    <w:name w:val="页眉 字符"/>
    <w:basedOn w:val="11"/>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2384</Words>
  <Characters>2447</Characters>
  <Lines>20</Lines>
  <Paragraphs>5</Paragraphs>
  <TotalTime>2</TotalTime>
  <ScaleCrop>false</ScaleCrop>
  <LinksUpToDate>false</LinksUpToDate>
  <CharactersWithSpaces>2474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2025-04-14T07:36:00Z</dcterms:created>
  <dc:creator>还是 一抹暖阳</dc:creator>
  <cp:lastModifiedBy>陈钰凯</cp:lastModifiedBy>
  <dcterms:modified xsi:type="dcterms:W3CDTF">2025-04-14T09:22:17Z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210BEF84802B413CAC066EB2772108A0_13</vt:lpwstr>
  </property>
  <property fmtid="{D5CDD505-2E9C-101B-9397-08002B2CF9AE}" pid="4" name="KSOTemplateDocerSaveRecord">
    <vt:lpwstr>eyJoZGlkIjoiZWNlZWY4MzExYzQwNGRkMjYwNTgzMWZjMzQzZGZlNjIiLCJ1c2VySWQiOiIzMTQ3NTg5NzUifQ==</vt:lpwstr>
  </property>
</Properties>
</file>