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7"/>
      </w:pPr>
      <w:r>
        <w:rPr>
          <w:rFonts w:ascii="Times New Roman"/>
        </w:rPr>
        <w:pict>
          <v:shape id="_x0000_s1026" o:spid="_x0000_s1026" o:spt="202" type="#_x0000_t202" style="position:absolute;left:0pt;margin-left:-8.1pt;margin-top:79.65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JHt92wAAAAsBAAAPAAAA&#10;AAAAAAEAIAAAACIAAABkcnMvZG93bnJldi54bWxQSwECFAAUAAAACACHTuJAZXc1oxICAADsAwAA&#10;DgAAAAAAAAABACAAAAAqAQAAZHJzL2Uyb0RvYy54bWxQSwUGAAAAAAYABgBZAQAArgUAAAAA&#10;">
            <v:path/>
            <v:fill on="f" focussize="0,0"/>
            <v:stroke on="f" joinstyle="miter"/>
            <v:imagedata o:title=""/>
            <o:lock v:ext="edit"/>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w:r>
      <w:r>
        <w:pict>
          <v:shape id="首页自画框图12" o:spid="_x0000_s1035"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Gh3M2wAAAA0BAAAPAAAAAAAAAAEAIAAAACIAAABkcnMvZG93bnJldi54bWxQ&#10;SwECFAAUAAAACACHTuJA45zVri0CAAAfBAAADgAAAAAAAAABACAAAAAqAQAAZHJzL2Uyb0RvYy54&#10;bWxQSwUGAAAAAAYABgBZAQAAyQUAAAAA&#10;">
            <v:path/>
            <v:fill on="f" focussize="0,0"/>
            <v:stroke on="f" weight="0.5pt" joinstyle="miter"/>
            <v:imagedata o:title=""/>
            <o:lock v:ext="edit"/>
            <v:textbox inset="0mm,0mm,0mm,0mm">
              <w:txbxContent>
                <w:p>
                  <w:pPr>
                    <w:pStyle w:val="505"/>
                  </w:pPr>
                  <w:r>
                    <w:rPr>
                      <w:rFonts w:hint="eastAsia"/>
                    </w:rPr>
                    <w:t>发 布</w:t>
                  </w:r>
                </w:p>
              </w:txbxContent>
            </v:textbox>
          </v:shape>
        </w:pict>
      </w:r>
      <w:r>
        <w:pict>
          <v:line id="首页自画框图6" o:spid="_x0000_s1034" o:spt="20" style="position:absolute;left:0pt;margin-left:0.05pt;margin-top:187pt;height:0pt;width:481.95pt;z-index:251661312;mso-width-relative:page;mso-height-relative:page;" coordsize="21600,21600" o:gfxdata="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Kvr4dMAAAAIAQAADwAAAAAAAAABACAAAAAi&#10;AAAAZHJzL2Rvd25yZXYueG1sUEsBAhQAFAAAAAgAh07iQP1owlbWAQAAdAMAAA4AAAAAAAAAAQAg&#10;AAAAIgEAAGRycy9lMm9Eb2MueG1sUEsFBgAAAAAGAAYAWQEAAGoFAAAAAA==&#10;">
            <v:path arrowok="t"/>
            <v:fill focussize="0,0"/>
            <v:stroke weight="0.5pt" joinstyle="miter"/>
            <v:imagedata o:title=""/>
            <o:lock v:ext="edit"/>
          </v:line>
        </w:pict>
      </w:r>
      <w:r>
        <w:pict>
          <v:line id="首页自画框图10" o:spid="_x0000_s1033" o:spt="20" style="position:absolute;left:0pt;margin-left:0.05pt;margin-top:702.95pt;height:0pt;width:481.95pt;z-index:251665408;mso-width-relative:page;mso-height-relative:page;" coordsize="21600,21600" o:gfxdata="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zRicNYAAAAKAQAADwAAAAAAAAABACAA&#10;AAAiAAAAZHJzL2Rvd25yZXYueG1sUEsBAhQAFAAAAAgAh07iQDNxm8PWAQAAdQMAAA4AAAAAAAAA&#10;AQAgAAAAJQEAAGRycy9lMm9Eb2MueG1sUEsFBgAAAAAGAAYAWQEAAG0FAAAAAA==&#10;">
            <v:path arrowok="t"/>
            <v:fill focussize="0,0"/>
            <v:stroke weight="0.5pt" joinstyle="miter"/>
            <v:imagedata o:title=""/>
            <o:lock v:ext="edit"/>
          </v:line>
        </w:pict>
      </w:r>
      <w:r>
        <w:pict>
          <v:shape id="首页自画框图11" o:spid="_x0000_s1032"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ULUW2gAAAA0BAAAPAAAAAAAAAAEAIAAAACIAAABkcnMvZG93bnJldi54bWxQ&#10;SwECFAAUAAAACACHTuJAHLCGvS4CAAAgBAAADgAAAAAAAAABACAAAAApAQAAZHJzL2Uyb0RvYy54&#10;bWxQSwUGAAAAAAYABgBZAQAAyQUAAAAA&#10;">
            <v:path/>
            <v:fill on="f" focussize="0,0"/>
            <v:stroke on="f" weight="0.5pt" joinstyle="miter"/>
            <v:imagedata o:title=""/>
            <o:lock v:ext="edit"/>
            <v:textbox inset="0mm,0mm,0mm,0mm">
              <w:txbxContent>
                <w:p>
                  <w:pPr>
                    <w:pStyle w:val="506"/>
                  </w:pPr>
                  <w:r>
                    <w:rPr>
                      <w:rFonts w:hint="eastAsia"/>
                    </w:rPr>
                    <w:t>中国电机工程学会</w:t>
                  </w:r>
                </w:p>
              </w:txbxContent>
            </v:textbox>
          </v:shape>
        </w:pict>
      </w:r>
      <w:r>
        <w:pict>
          <v:shape id="首页自画框图9" o:spid="_x0000_s1031" o:spt="202" type="#_x0000_t202" style="position:absolute;left:0pt;margin-left:255.15pt;margin-top:674.6pt;height:31.2pt;width:226.8pt;z-index:251664384;mso-width-relative:page;mso-height-relative:page;" filled="f" stroked="f" coordsize="21600,21600" o:gfxdata="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bWHV3AAAAA0BAAAPAAAAAAAAAAEAIAAA&#10;ACIAAABkcnMvZG93bnJldi54bWxQSwECFAAUAAAACACHTuJA7zc6n88BAABfAwAADgAAAAAAAAAB&#10;ACAAAAArAQAAZHJzL2Uyb0RvYy54bWxQSwUGAAAAAAYABgBZAQAAbAUAAAAA&#10;">
            <v:path/>
            <v:fill on="f" focussize="0,0"/>
            <v:stroke on="f" weight="0.5pt" joinstyle="miter"/>
            <v:imagedata o:title=""/>
            <o:lock v:ext="edit"/>
            <v:textbox inset="0mm,0mm,0.004mm,0mm" style="mso-fit-shape-to-text:t;">
              <w:txbxContent>
                <w:p>
                  <w:pPr>
                    <w:pStyle w:val="272"/>
                  </w:pPr>
                  <w:r>
                    <w:t>20XX—XX—XX实施</w:t>
                  </w:r>
                </w:p>
              </w:txbxContent>
            </v:textbox>
          </v:shape>
        </w:pict>
      </w:r>
      <w:r>
        <w:pict>
          <v:shape id="首页自画框图8" o:spid="_x0000_s1030" o:spt="202" type="#_x0000_t202" style="position:absolute;left:0pt;margin-left:0.05pt;margin-top:674.6pt;height:31.2pt;width:226.8pt;z-index:251663360;mso-width-relative:page;mso-height-relative:page;" filled="f" stroked="f" coordsize="21600,21600" o:gfxdata="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izqtNoAAAAKAQAADwAAAAAAAAABACAAAAAi&#10;AAAAZHJzL2Rvd25yZXYueG1sUEsBAhQAFAAAAAgAh07iQD69GMPPAQAAXwMAAA4AAAAAAAAAAQAg&#10;AAAAKQEAAGRycy9lMm9Eb2MueG1sUEsFBgAAAAAGAAYAWQEAAGoFAAAAAA==&#10;">
            <v:path/>
            <v:fill on="f" focussize="0,0"/>
            <v:stroke on="f" weight="0.5pt" joinstyle="miter"/>
            <v:imagedata o:title=""/>
            <o:lock v:ext="edit"/>
            <v:textbox inset="0mm,0mm,0.004mm,0mm" style="mso-fit-shape-to-text:t;">
              <w:txbxContent>
                <w:p>
                  <w:pPr>
                    <w:pStyle w:val="245"/>
                  </w:pPr>
                  <w:r>
                    <w:t>20XX—XX—XX发布</w:t>
                  </w:r>
                </w:p>
              </w:txbxContent>
            </v:textbox>
          </v:shape>
        </w:pict>
      </w:r>
      <w:r>
        <w:pict>
          <v:shape id="首页自画框图5" o:spid="_x0000_s1028" o:spt="202" type="#_x0000_t202" style="position:absolute;left:0pt;margin-left:127.6pt;margin-top:141.6pt;height:36pt;width:340.2pt;z-index:251660288;mso-width-relative:page;mso-height-relative:page;" filled="f" stroked="f" coordsize="21600,21600" o:gfxdata="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bFtU2QAAAAsBAAAPAAAAAAAAAAEAIAAAACIA&#10;AABkcnMvZG93bnJldi54bWxQSwECFAAUAAAACACHTuJAdns5Rs8BAABfAwAADgAAAAAAAAABACAA&#10;AAAoAQAAZHJzL2Uyb0RvYy54bWxQSwUGAAAAAAYABgBZAQAAaQUAAAAA&#10;">
            <v:path/>
            <v:fill on="f" focussize="0,0"/>
            <v:stroke on="f" weight="0.5pt" joinstyle="miter"/>
            <v:imagedata o:title=""/>
            <o:lock v:ext="edit"/>
            <v:textbox inset="0mm,0mm,0.004mm,0mm" style="mso-fit-shape-to-text:t;">
              <w:txbxContent>
                <w:p>
                  <w:pPr>
                    <w:pStyle w:val="246"/>
                    <w:wordWrap w:val="0"/>
                  </w:pPr>
                  <w:r>
                    <w:t>T/CSEE XXXX—YYYY</w:t>
                  </w:r>
                </w:p>
                <w:p>
                  <w:pPr>
                    <w:pStyle w:val="248"/>
                  </w:pPr>
                </w:p>
              </w:txbxContent>
            </v:textbox>
          </v:shape>
        </w:pict>
      </w:r>
      <w:r>
        <w:pict>
          <v:shape id="首页自画框图2" o:spid="_x0000_s1027" o:spt="202" type="#_x0000_t202" style="position:absolute;left:0pt;margin-left:0.05pt;margin-top:2.7pt;height:31.2pt;width:141.75pt;z-index:251659264;mso-width-relative:page;mso-height-relative:page;" filled="f" stroked="f" coordsize="21600,21600" o:gfxdata="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CFKfVAAAABQEAAA8AAAAAAAAAAQAgAAAAIgAAAGRy&#10;cy9kb3ducmV2LnhtbFBLAQIUABQAAAAIAIdO4kCutZIEzwEAAF8DAAAOAAAAAAAAAAEAIAAAACQB&#10;AABkcnMvZTJvRG9jLnhtbFBLBQYAAAAABgAGAFkBAABlBQAAAAA=&#10;">
            <v:path/>
            <v:fill on="f" focussize="0,0"/>
            <v:stroke on="f" weight="0.5pt" joinstyle="miter"/>
            <v:imagedata o:title=""/>
            <o:lock v:ext="edit"/>
            <v:textbox inset="0mm,0mm,0.004mm,0mm" style="mso-fit-shape-to-text:t;">
              <w:txbxContent>
                <w:p>
                  <w:pPr>
                    <w:pStyle w:val="315"/>
                  </w:pPr>
                  <w:r>
                    <w:rPr>
                      <w:rFonts w:hint="eastAsia"/>
                    </w:rPr>
                    <w:t>I</w:t>
                  </w:r>
                  <w:r>
                    <w:t xml:space="preserve">CS </w:t>
                  </w:r>
                  <w:r>
                    <w:rPr>
                      <w:rFonts w:hint="eastAsia"/>
                    </w:rPr>
                    <w:t>29</w:t>
                  </w:r>
                  <w:r>
                    <w:t>.</w:t>
                  </w:r>
                  <w:r>
                    <w:rPr>
                      <w:rFonts w:hint="eastAsia"/>
                    </w:rPr>
                    <w:t>240</w:t>
                  </w:r>
                </w:p>
                <w:p>
                  <w:pPr>
                    <w:pStyle w:val="315"/>
                  </w:pPr>
                  <w:r>
                    <w:rPr>
                      <w:rFonts w:hint="eastAsia"/>
                    </w:rPr>
                    <w:t>C</w:t>
                  </w:r>
                  <w:r>
                    <w:t>CS K</w:t>
                  </w:r>
                  <w:r>
                    <w:rPr>
                      <w:rFonts w:hint="eastAsia"/>
                    </w:rPr>
                    <w:t>4</w:t>
                  </w:r>
                  <w:r>
                    <w:t>5</w:t>
                  </w:r>
                </w:p>
              </w:txbxContent>
            </v:textbox>
          </v:shape>
        </w:pict>
      </w:r>
    </w:p>
    <w:p>
      <w:pPr>
        <w:pStyle w:val="239"/>
        <w:ind w:firstLine="420"/>
      </w:pPr>
      <w:r>
        <w:pict>
          <v:shape id="首页自画框图7" o:spid="_x0000_s1029" o:spt="202" type="#_x0000_t202" style="position:absolute;left:0pt;margin-left:0.05pt;margin-top:14.3pt;height:142pt;width:481.95pt;z-index:251662336;mso-width-relative:page;mso-height-relative:page;" filled="f" stroked="f" coordsize="21600,21600" o:gfxdata="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qgAn1wAAAAgBAAAPAAAAAAAAAAEAIAAAACIA&#10;AABkcnMvZG93bnJldi54bWxQSwECFAAUAAAACACHTuJAJfNOyNEBAABgAwAADgAAAAAAAAABACAA&#10;AAAmAQAAZHJzL2Uyb0RvYy54bWxQSwUGAAAAAAYABgBZAQAAaQUAAAAA&#10;">
            <v:path/>
            <v:fill on="f" focussize="0,0"/>
            <v:stroke on="f" weight="0.5pt" joinstyle="miter"/>
            <v:imagedata o:title=""/>
            <o:lock v:ext="edit"/>
            <v:textbox inset="0mm,0mm,0.004mm,0mm" style="mso-fit-shape-to-text:t;">
              <w:txbxContent>
                <w:p>
                  <w:pPr>
                    <w:pStyle w:val="253"/>
                    <w:rPr>
                      <w:rFonts w:hAnsi="Times New Roman"/>
                      <w:sz w:val="52"/>
                      <w:szCs w:val="21"/>
                    </w:rPr>
                  </w:pPr>
                  <w:r>
                    <w:rPr>
                      <w:rFonts w:hint="eastAsia" w:hAnsi="Times New Roman"/>
                      <w:sz w:val="52"/>
                      <w:szCs w:val="21"/>
                    </w:rPr>
                    <w:t>负荷模拟式继电保护向量检查试验装置</w:t>
                  </w:r>
                </w:p>
                <w:p>
                  <w:pPr>
                    <w:pStyle w:val="253"/>
                    <w:rPr>
                      <w:rFonts w:hAnsi="Times New Roman"/>
                      <w:sz w:val="36"/>
                      <w:szCs w:val="21"/>
                    </w:rPr>
                  </w:pPr>
                  <w:r>
                    <w:rPr>
                      <w:rFonts w:hint="eastAsia" w:hAnsi="Times New Roman"/>
                      <w:sz w:val="52"/>
                      <w:szCs w:val="21"/>
                    </w:rPr>
                    <w:t>技术条件</w:t>
                  </w:r>
                </w:p>
                <w:p>
                  <w:pPr>
                    <w:pStyle w:val="253"/>
                    <w:rPr>
                      <w:rFonts w:ascii="Times New Roman" w:hAnsi="Times New Roman"/>
                      <w:szCs w:val="21"/>
                    </w:rPr>
                  </w:pPr>
                  <w:r>
                    <w:rPr>
                      <w:rFonts w:ascii="Times New Roman" w:hAnsi="Times New Roman"/>
                      <w:szCs w:val="21"/>
                    </w:rPr>
                    <w:t>Technical specifications for relay protection vector inspection test device based on load simulation</w:t>
                  </w:r>
                </w:p>
                <w:p>
                  <w:pPr>
                    <w:pStyle w:val="253"/>
                  </w:pPr>
                  <w:r>
                    <w:rPr>
                      <w:rFonts w:hint="eastAsia"/>
                      <w:szCs w:val="21"/>
                    </w:rPr>
                    <w:t>（征求意见稿</w:t>
                  </w:r>
                  <w:r>
                    <w:t>）</w:t>
                  </w:r>
                </w:p>
                <w:p>
                  <w:pPr>
                    <w:pStyle w:val="253"/>
                  </w:pPr>
                </w:p>
                <w:p>
                  <w:pPr>
                    <w:jc w:val="center"/>
                  </w:pPr>
                  <w:r>
                    <w:rPr>
                      <w:rFonts w:hint="eastAsia" w:ascii="宋体" w:cs="宋体"/>
                      <w:kern w:val="0"/>
                      <w:sz w:val="24"/>
                    </w:rPr>
                    <w:t>（在提交反馈意见时，请将您知道的相关专利连同支持性文件一并附上）</w:t>
                  </w:r>
                </w:p>
              </w:txbxContent>
            </v:textbox>
          </v:shape>
        </w:pict>
      </w:r>
    </w:p>
    <w:p>
      <w:pPr>
        <w:pStyle w:val="239"/>
        <w:ind w:firstLine="420"/>
      </w:pPr>
    </w:p>
    <w:p>
      <w:pPr>
        <w:pStyle w:val="239"/>
        <w:ind w:firstLine="420"/>
      </w:pPr>
    </w:p>
    <w:p>
      <w:pPr>
        <w:pStyle w:val="239"/>
        <w:ind w:firstLine="420"/>
      </w:pPr>
    </w:p>
    <w:p>
      <w:pPr>
        <w:pStyle w:val="239"/>
        <w:ind w:firstLine="420"/>
      </w:pPr>
    </w:p>
    <w:p>
      <w:pPr>
        <w:pStyle w:val="239"/>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67"/>
        <w:outlineLvl w:val="0"/>
      </w:pPr>
      <w:bookmarkStart w:id="0" w:name="标准内容"/>
      <w:bookmarkEnd w:id="0"/>
      <w:bookmarkStart w:id="1" w:name="_Toc199104876"/>
      <w:bookmarkStart w:id="2" w:name="_Toc62027346"/>
      <w:bookmarkStart w:id="3" w:name="_Toc63642871"/>
      <w:bookmarkStart w:id="4" w:name="_Toc55228493"/>
      <w:r>
        <w:rPr>
          <w:rFonts w:hint="eastAsia"/>
        </w:rPr>
        <w:t>目    次</w:t>
      </w:r>
      <w:bookmarkEnd w:id="1"/>
    </w:p>
    <w:p>
      <w:pPr>
        <w:pStyle w:val="19"/>
        <w:tabs>
          <w:tab w:val="right" w:leader="dot" w:pos="9346"/>
        </w:tabs>
        <w:spacing w:before="78" w:after="78"/>
        <w:rPr>
          <w:rFonts w:asciiTheme="minorHAnsi" w:hAnsiTheme="minorHAnsi" w:eastAsiaTheme="minorEastAsia" w:cstheme="minorBidi"/>
          <w:kern w:val="2"/>
          <w:szCs w:val="2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"1-7" \h \z</w:instrText>
      </w:r>
      <w:r>
        <w:rPr>
          <w:rFonts w:hint="eastAsia" w:asciiTheme="minorEastAsia" w:hAnsiTheme="minorEastAsia" w:eastAsiaTheme="minorEastAsia" w:cstheme="minorEastAsia"/>
        </w:rPr>
        <w:fldChar w:fldCharType="separate"/>
      </w:r>
      <w:r>
        <w:fldChar w:fldCharType="begin"/>
      </w:r>
      <w:r>
        <w:instrText xml:space="preserve"> HYPERLINK \l "_Toc197938251" </w:instrText>
      </w:r>
      <w:r>
        <w:fldChar w:fldCharType="separate"/>
      </w:r>
      <w:r>
        <w:rPr>
          <w:rStyle w:val="222"/>
          <w:rFonts w:hint="eastAsia"/>
        </w:rPr>
        <w:t>前言</w:t>
      </w:r>
      <w:r>
        <w:tab/>
      </w:r>
      <w:r>
        <w:fldChar w:fldCharType="begin"/>
      </w:r>
      <w:r>
        <w:instrText xml:space="preserve"> PAGEREF _Toc197938251 \h </w:instrText>
      </w:r>
      <w:r>
        <w:fldChar w:fldCharType="separate"/>
      </w:r>
      <w:r>
        <w:t>3</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"_Toc197938252" </w:instrText>
      </w:r>
      <w:r>
        <w:fldChar w:fldCharType="separate"/>
      </w:r>
      <w:r>
        <w:rPr>
          <w:rStyle w:val="222"/>
        </w:rPr>
        <w:t>1</w:t>
      </w:r>
      <w:r>
        <w:rPr>
          <w:rStyle w:val="222"/>
          <w:rFonts w:hint="eastAsia"/>
        </w:rPr>
        <w:t xml:space="preserve"> 范围</w:t>
      </w:r>
      <w:r>
        <w:tab/>
      </w:r>
      <w:r>
        <w:fldChar w:fldCharType="begin"/>
      </w:r>
      <w:r>
        <w:instrText xml:space="preserve"> PAGEREF _Toc197938252 \h </w:instrText>
      </w:r>
      <w:r>
        <w:fldChar w:fldCharType="separate"/>
      </w:r>
      <w:r>
        <w:t>4</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"_Toc197938253" </w:instrText>
      </w:r>
      <w:r>
        <w:fldChar w:fldCharType="separate"/>
      </w:r>
      <w:r>
        <w:rPr>
          <w:rStyle w:val="222"/>
        </w:rPr>
        <w:t>2</w:t>
      </w:r>
      <w:r>
        <w:rPr>
          <w:rStyle w:val="222"/>
          <w:rFonts w:hint="eastAsia"/>
        </w:rPr>
        <w:t xml:space="preserve"> 规范性引用文件</w:t>
      </w:r>
      <w:r>
        <w:tab/>
      </w:r>
      <w:r>
        <w:fldChar w:fldCharType="begin"/>
      </w:r>
      <w:r>
        <w:instrText xml:space="preserve"> PAGEREF _Toc197938253 \h </w:instrText>
      </w:r>
      <w:r>
        <w:fldChar w:fldCharType="separate"/>
      </w:r>
      <w:r>
        <w:t>4</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"_Toc197938267" </w:instrText>
      </w:r>
      <w:r>
        <w:fldChar w:fldCharType="separate"/>
      </w:r>
      <w:r>
        <w:rPr>
          <w:rStyle w:val="222"/>
        </w:rPr>
        <w:t>3</w:t>
      </w:r>
      <w:r>
        <w:rPr>
          <w:rStyle w:val="222"/>
          <w:rFonts w:hint="eastAsia"/>
        </w:rPr>
        <w:t xml:space="preserve"> 术语和定义</w:t>
      </w:r>
      <w:r>
        <w:tab/>
      </w:r>
      <w:r>
        <w:fldChar w:fldCharType="begin"/>
      </w:r>
      <w:r>
        <w:instrText xml:space="preserve"> PAGEREF _Toc197938267 \h </w:instrText>
      </w:r>
      <w:r>
        <w:fldChar w:fldCharType="separate"/>
      </w:r>
      <w:r>
        <w:t>4</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"_Toc197938268" </w:instrText>
      </w:r>
      <w:r>
        <w:fldChar w:fldCharType="separate"/>
      </w:r>
      <w:r>
        <w:rPr>
          <w:rStyle w:val="222"/>
        </w:rPr>
        <w:t>4</w:t>
      </w:r>
      <w:r>
        <w:rPr>
          <w:rStyle w:val="222"/>
          <w:rFonts w:hint="eastAsia"/>
        </w:rPr>
        <w:t xml:space="preserve"> 技术要求</w:t>
      </w:r>
      <w:r>
        <w:tab/>
      </w:r>
      <w:r>
        <w:fldChar w:fldCharType="begin"/>
      </w:r>
      <w:r>
        <w:instrText xml:space="preserve"> PAGEREF _Toc197938268 \h </w:instrText>
      </w:r>
      <w:r>
        <w:fldChar w:fldCharType="separate"/>
      </w:r>
      <w:r>
        <w:t>5</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"_Toc197938269" </w:instrText>
      </w:r>
      <w:r>
        <w:fldChar w:fldCharType="separate"/>
      </w:r>
      <w:r>
        <w:rPr>
          <w:rStyle w:val="222"/>
        </w:rPr>
        <w:t>4.1</w:t>
      </w:r>
      <w:r>
        <w:rPr>
          <w:rStyle w:val="222"/>
          <w:rFonts w:hint="eastAsia"/>
        </w:rPr>
        <w:t xml:space="preserve"> 额定工作条件</w:t>
      </w:r>
      <w:r>
        <w:tab/>
      </w:r>
      <w:r>
        <w:fldChar w:fldCharType="begin"/>
      </w:r>
      <w:r>
        <w:instrText xml:space="preserve"> PAGEREF _Toc197938269 \h </w:instrText>
      </w:r>
      <w:r>
        <w:fldChar w:fldCharType="separate"/>
      </w:r>
      <w:r>
        <w:t>5</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"_Toc197938270" </w:instrText>
      </w:r>
      <w:r>
        <w:fldChar w:fldCharType="separate"/>
      </w:r>
      <w:r>
        <w:rPr>
          <w:rStyle w:val="222"/>
        </w:rPr>
        <w:t>4.2</w:t>
      </w:r>
      <w:r>
        <w:rPr>
          <w:rStyle w:val="222"/>
          <w:rFonts w:hint="eastAsia"/>
        </w:rPr>
        <w:t xml:space="preserve"> 一般要求</w:t>
      </w:r>
      <w:r>
        <w:tab/>
      </w:r>
      <w:r>
        <w:fldChar w:fldCharType="begin"/>
      </w:r>
      <w:r>
        <w:instrText xml:space="preserve"> PAGEREF _Toc197938270 \h </w:instrText>
      </w:r>
      <w:r>
        <w:fldChar w:fldCharType="separate"/>
      </w:r>
      <w:r>
        <w:t>6</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"_Toc197938271" </w:instrText>
      </w:r>
      <w:r>
        <w:fldChar w:fldCharType="separate"/>
      </w:r>
      <w:r>
        <w:rPr>
          <w:rStyle w:val="222"/>
        </w:rPr>
        <w:t>4.3</w:t>
      </w:r>
      <w:r>
        <w:rPr>
          <w:rStyle w:val="222"/>
          <w:rFonts w:hint="eastAsia"/>
        </w:rPr>
        <w:t xml:space="preserve"> 技术指标</w:t>
      </w:r>
      <w:r>
        <w:tab/>
      </w:r>
      <w:r>
        <w:fldChar w:fldCharType="begin"/>
      </w:r>
      <w:r>
        <w:instrText xml:space="preserve"> PAGEREF _Toc197938271 \h </w:instrText>
      </w:r>
      <w:r>
        <w:fldChar w:fldCharType="separate"/>
      </w:r>
      <w:r>
        <w:t>6</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"_Toc197938272" </w:instrText>
      </w:r>
      <w:r>
        <w:fldChar w:fldCharType="separate"/>
      </w:r>
      <w:r>
        <w:rPr>
          <w:rStyle w:val="222"/>
        </w:rPr>
        <w:t>4.4</w:t>
      </w:r>
      <w:r>
        <w:rPr>
          <w:rStyle w:val="222"/>
          <w:rFonts w:hint="eastAsia"/>
        </w:rPr>
        <w:t xml:space="preserve"> 电气安全性要求</w:t>
      </w:r>
      <w:r>
        <w:tab/>
      </w:r>
      <w:r>
        <w:fldChar w:fldCharType="begin"/>
      </w:r>
      <w:r>
        <w:instrText xml:space="preserve"> PAGEREF _Toc197938272 \h </w:instrText>
      </w:r>
      <w:r>
        <w:fldChar w:fldCharType="separate"/>
      </w:r>
      <w:r>
        <w:t>7</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"_Toc197938273" </w:instrText>
      </w:r>
      <w:r>
        <w:fldChar w:fldCharType="separate"/>
      </w:r>
      <w:r>
        <w:rPr>
          <w:rStyle w:val="222"/>
        </w:rPr>
        <w:t>4.5</w:t>
      </w:r>
      <w:r>
        <w:rPr>
          <w:rStyle w:val="222"/>
          <w:rFonts w:hint="eastAsia"/>
        </w:rPr>
        <w:t xml:space="preserve"> 机械性能要求</w:t>
      </w:r>
      <w:r>
        <w:tab/>
      </w:r>
      <w:r>
        <w:fldChar w:fldCharType="begin"/>
      </w:r>
      <w:r>
        <w:instrText xml:space="preserve"> PAGEREF _Toc197938273 \h </w:instrText>
      </w:r>
      <w:r>
        <w:fldChar w:fldCharType="separate"/>
      </w:r>
      <w:r>
        <w:t>8</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"_Toc197938274" </w:instrText>
      </w:r>
      <w:r>
        <w:fldChar w:fldCharType="separate"/>
      </w:r>
      <w:r>
        <w:rPr>
          <w:rStyle w:val="222"/>
        </w:rPr>
        <w:t>4.6</w:t>
      </w:r>
      <w:r>
        <w:rPr>
          <w:rStyle w:val="222"/>
          <w:rFonts w:hint="eastAsia"/>
        </w:rPr>
        <w:t xml:space="preserve"> 电磁兼容要求</w:t>
      </w:r>
      <w:r>
        <w:tab/>
      </w:r>
      <w:r>
        <w:fldChar w:fldCharType="begin"/>
      </w:r>
      <w:r>
        <w:instrText xml:space="preserve"> PAGEREF _Toc197938274 \h </w:instrText>
      </w:r>
      <w:r>
        <w:fldChar w:fldCharType="separate"/>
      </w:r>
      <w:r>
        <w:t>9</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"_Toc197938275" </w:instrText>
      </w:r>
      <w:r>
        <w:fldChar w:fldCharType="separate"/>
      </w:r>
      <w:r>
        <w:rPr>
          <w:rStyle w:val="222"/>
        </w:rPr>
        <w:t>5</w:t>
      </w:r>
      <w:r>
        <w:rPr>
          <w:rStyle w:val="222"/>
          <w:rFonts w:hint="eastAsia"/>
        </w:rPr>
        <w:t xml:space="preserve"> 检验规则</w:t>
      </w:r>
      <w:r>
        <w:tab/>
      </w:r>
      <w:r>
        <w:fldChar w:fldCharType="begin"/>
      </w:r>
      <w:r>
        <w:instrText xml:space="preserve"> PAGEREF _Toc197938275 \h </w:instrText>
      </w:r>
      <w:r>
        <w:fldChar w:fldCharType="separate"/>
      </w:r>
      <w:r>
        <w:t>9</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"_Toc197938276" </w:instrText>
      </w:r>
      <w:r>
        <w:fldChar w:fldCharType="separate"/>
      </w:r>
      <w:r>
        <w:rPr>
          <w:rStyle w:val="222"/>
        </w:rPr>
        <w:t>5.1</w:t>
      </w:r>
      <w:r>
        <w:rPr>
          <w:rStyle w:val="222"/>
          <w:rFonts w:hint="eastAsia"/>
        </w:rPr>
        <w:t xml:space="preserve"> 检验种类</w:t>
      </w:r>
      <w:r>
        <w:tab/>
      </w:r>
      <w:r>
        <w:fldChar w:fldCharType="begin"/>
      </w:r>
      <w:r>
        <w:instrText xml:space="preserve"> PAGEREF _Toc197938276 \h </w:instrText>
      </w:r>
      <w:r>
        <w:fldChar w:fldCharType="separate"/>
      </w:r>
      <w:r>
        <w:t>9</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"_Toc197938458" </w:instrText>
      </w:r>
      <w:r>
        <w:fldChar w:fldCharType="separate"/>
      </w:r>
      <w:r>
        <w:rPr>
          <w:rStyle w:val="222"/>
        </w:rPr>
        <w:t>5.2</w:t>
      </w:r>
      <w:r>
        <w:rPr>
          <w:rStyle w:val="222"/>
          <w:rFonts w:hint="eastAsia"/>
        </w:rPr>
        <w:t xml:space="preserve"> 检验条件</w:t>
      </w:r>
      <w:r>
        <w:tab/>
      </w:r>
      <w:r>
        <w:fldChar w:fldCharType="begin"/>
      </w:r>
      <w:r>
        <w:instrText xml:space="preserve"> PAGEREF _Toc197938458 \h </w:instrText>
      </w:r>
      <w:r>
        <w:fldChar w:fldCharType="separate"/>
      </w:r>
      <w:r>
        <w:t>10</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"_Toc197938461" </w:instrText>
      </w:r>
      <w:r>
        <w:fldChar w:fldCharType="separate"/>
      </w:r>
      <w:r>
        <w:rPr>
          <w:rStyle w:val="222"/>
        </w:rPr>
        <w:t>5.3</w:t>
      </w:r>
      <w:r>
        <w:rPr>
          <w:rStyle w:val="222"/>
          <w:rFonts w:hint="eastAsia"/>
        </w:rPr>
        <w:t xml:space="preserve"> 检验方法</w:t>
      </w:r>
      <w:r>
        <w:tab/>
      </w:r>
      <w:r>
        <w:fldChar w:fldCharType="begin"/>
      </w:r>
      <w:r>
        <w:instrText xml:space="preserve"> PAGEREF _Toc197938461 \h </w:instrText>
      </w:r>
      <w:r>
        <w:fldChar w:fldCharType="separate"/>
      </w:r>
      <w:r>
        <w:t>10</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"_Toc197938462" </w:instrText>
      </w:r>
      <w:r>
        <w:fldChar w:fldCharType="separate"/>
      </w:r>
      <w:r>
        <w:rPr>
          <w:rStyle w:val="222"/>
        </w:rPr>
        <w:t>6</w:t>
      </w:r>
      <w:r>
        <w:rPr>
          <w:rStyle w:val="222"/>
          <w:rFonts w:hint="eastAsia"/>
        </w:rPr>
        <w:t xml:space="preserve"> 标志、包装、运输、贮存</w:t>
      </w:r>
      <w:r>
        <w:tab/>
      </w:r>
      <w:r>
        <w:fldChar w:fldCharType="begin"/>
      </w:r>
      <w:r>
        <w:instrText xml:space="preserve"> PAGEREF _Toc197938462 \h </w:instrText>
      </w:r>
      <w:r>
        <w:fldChar w:fldCharType="separate"/>
      </w:r>
      <w:r>
        <w:t>14</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"_Toc197938463" </w:instrText>
      </w:r>
      <w:r>
        <w:fldChar w:fldCharType="separate"/>
      </w:r>
      <w:r>
        <w:rPr>
          <w:rStyle w:val="222"/>
        </w:rPr>
        <w:t>6.1</w:t>
      </w:r>
      <w:r>
        <w:rPr>
          <w:rStyle w:val="222"/>
          <w:rFonts w:hint="eastAsia"/>
        </w:rPr>
        <w:t xml:space="preserve"> 标志</w:t>
      </w:r>
      <w:r>
        <w:tab/>
      </w:r>
      <w:r>
        <w:fldChar w:fldCharType="begin"/>
      </w:r>
      <w:r>
        <w:instrText xml:space="preserve"> PAGEREF _Toc197938463 \h </w:instrText>
      </w:r>
      <w:r>
        <w:fldChar w:fldCharType="separate"/>
      </w:r>
      <w:r>
        <w:t>14</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"_Toc197938464" </w:instrText>
      </w:r>
      <w:r>
        <w:fldChar w:fldCharType="separate"/>
      </w:r>
      <w:r>
        <w:rPr>
          <w:rStyle w:val="222"/>
        </w:rPr>
        <w:t>6.2</w:t>
      </w:r>
      <w:r>
        <w:rPr>
          <w:rStyle w:val="222"/>
          <w:rFonts w:hint="eastAsia"/>
        </w:rPr>
        <w:t xml:space="preserve"> 包装</w:t>
      </w:r>
      <w:r>
        <w:tab/>
      </w:r>
      <w:r>
        <w:fldChar w:fldCharType="begin"/>
      </w:r>
      <w:r>
        <w:instrText xml:space="preserve"> PAGEREF _Toc197938464 \h </w:instrText>
      </w:r>
      <w:r>
        <w:fldChar w:fldCharType="separate"/>
      </w:r>
      <w:r>
        <w:t>15</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"_Toc197938465" </w:instrText>
      </w:r>
      <w:r>
        <w:fldChar w:fldCharType="separate"/>
      </w:r>
      <w:r>
        <w:rPr>
          <w:rStyle w:val="222"/>
        </w:rPr>
        <w:t>6.3</w:t>
      </w:r>
      <w:r>
        <w:rPr>
          <w:rStyle w:val="222"/>
          <w:rFonts w:hint="eastAsia"/>
        </w:rPr>
        <w:t xml:space="preserve"> 运输</w:t>
      </w:r>
      <w:r>
        <w:tab/>
      </w:r>
      <w:r>
        <w:fldChar w:fldCharType="begin"/>
      </w:r>
      <w:r>
        <w:instrText xml:space="preserve"> PAGEREF _Toc197938465 \h </w:instrText>
      </w:r>
      <w:r>
        <w:fldChar w:fldCharType="separate"/>
      </w:r>
      <w:r>
        <w:t>15</w:t>
      </w:r>
      <w:r>
        <w:fldChar w:fldCharType="end"/>
      </w:r>
      <w:r>
        <w:fldChar w:fldCharType="end"/>
      </w:r>
    </w:p>
    <w:p>
      <w:pPr>
        <w:pStyle w:val="17"/>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"_Toc197938466" </w:instrText>
      </w:r>
      <w:r>
        <w:fldChar w:fldCharType="separate"/>
      </w:r>
      <w:r>
        <w:rPr>
          <w:rStyle w:val="222"/>
        </w:rPr>
        <w:t>6.4</w:t>
      </w:r>
      <w:r>
        <w:rPr>
          <w:rStyle w:val="222"/>
          <w:rFonts w:hint="eastAsia"/>
        </w:rPr>
        <w:t xml:space="preserve"> 贮存</w:t>
      </w:r>
      <w:r>
        <w:tab/>
      </w:r>
      <w:r>
        <w:fldChar w:fldCharType="begin"/>
      </w:r>
      <w:r>
        <w:instrText xml:space="preserve"> PAGEREF _Toc197938466 \h </w:instrText>
      </w:r>
      <w:r>
        <w:fldChar w:fldCharType="separate"/>
      </w:r>
      <w:r>
        <w:t>15</w:t>
      </w:r>
      <w:r>
        <w:fldChar w:fldCharType="end"/>
      </w:r>
      <w:r>
        <w:fldChar w:fldCharType="end"/>
      </w:r>
    </w:p>
    <w:p>
      <w:pPr>
        <w:pStyle w:val="18"/>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"_Toc197938467" </w:instrText>
      </w:r>
      <w:r>
        <w:fldChar w:fldCharType="separate"/>
      </w:r>
      <w:r>
        <w:rPr>
          <w:rStyle w:val="222"/>
        </w:rPr>
        <w:t>7</w:t>
      </w:r>
      <w:r>
        <w:rPr>
          <w:rStyle w:val="222"/>
          <w:rFonts w:hint="eastAsia"/>
        </w:rPr>
        <w:t xml:space="preserve"> 质量保证期限</w:t>
      </w:r>
      <w:r>
        <w:tab/>
      </w:r>
      <w:r>
        <w:fldChar w:fldCharType="begin"/>
      </w:r>
      <w:r>
        <w:instrText xml:space="preserve"> PAGEREF _Toc197938467 \h </w:instrText>
      </w:r>
      <w:r>
        <w:fldChar w:fldCharType="separate"/>
      </w:r>
      <w:r>
        <w:t>15</w:t>
      </w:r>
      <w:r>
        <w:fldChar w:fldCharType="end"/>
      </w:r>
      <w:r>
        <w:fldChar w:fldCharType="end"/>
      </w:r>
    </w:p>
    <w:p>
      <w:pPr>
        <w:pStyle w:val="19"/>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"_Toc197938468" </w:instrText>
      </w:r>
      <w:r>
        <w:fldChar w:fldCharType="separate"/>
      </w:r>
      <w:r>
        <w:rPr>
          <w:rStyle w:val="222"/>
          <w:rFonts w:hint="eastAsia"/>
        </w:rPr>
        <w:t>附　录　A （规范性）向量检查装置试验项目</w:t>
      </w:r>
      <w:r>
        <w:tab/>
      </w:r>
      <w:r>
        <w:fldChar w:fldCharType="begin"/>
      </w:r>
      <w:r>
        <w:instrText xml:space="preserve"> PAGEREF _Toc197938468 \h </w:instrText>
      </w:r>
      <w:r>
        <w:fldChar w:fldCharType="separate"/>
      </w:r>
      <w:r>
        <w:t>16</w:t>
      </w:r>
      <w:r>
        <w:fldChar w:fldCharType="end"/>
      </w:r>
      <w:r>
        <w:fldChar w:fldCharType="end"/>
      </w:r>
    </w:p>
    <w:p>
      <w:pPr>
        <w:pStyle w:val="239"/>
        <w:spacing w:beforeLines="25" w:afterLines="25"/>
        <w:ind w:firstLine="0" w:firstLineChars="0"/>
        <w:rPr>
          <w:rFonts w:hAnsi="宋体"/>
        </w:rPr>
      </w:pPr>
      <w:r>
        <w:rPr>
          <w:rFonts w:hint="eastAsia" w:asciiTheme="minorEastAsia" w:hAnsiTheme="minorEastAsia" w:eastAsiaTheme="minorEastAsia" w:cstheme="minorEastAsia"/>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37"/>
        <w:rPr>
          <w:rFonts w:ascii="Times New Roman"/>
        </w:rPr>
      </w:pPr>
      <w:bookmarkStart w:id="5" w:name="_Toc199104877"/>
      <w:bookmarkStart w:id="6" w:name="_Toc197938251"/>
      <w:r>
        <w:rPr>
          <w:rFonts w:ascii="Times New Roman"/>
        </w:rPr>
        <w:t>前言</w:t>
      </w:r>
      <w:bookmarkEnd w:id="2"/>
      <w:bookmarkEnd w:id="3"/>
      <w:bookmarkEnd w:id="4"/>
      <w:bookmarkEnd w:id="5"/>
      <w:bookmarkEnd w:id="6"/>
    </w:p>
    <w:p>
      <w:pPr>
        <w:ind w:firstLine="420" w:firstLineChars="200"/>
        <w:rPr>
          <w:rFonts w:ascii="宋体" w:hAnsi="宋体"/>
          <w:b/>
        </w:rPr>
      </w:pPr>
      <w: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t>GB/T 1.1—2020《标准化工作导则第1部分：标准化文件的结构和起草规则》的规定起草。</w:t>
      </w:r>
    </w:p>
    <w:p>
      <w:pPr>
        <w:ind w:firstLine="420" w:firstLineChars="200"/>
      </w:pPr>
      <w:r>
        <w:rPr>
          <w:rFonts w:hint="eastAsia"/>
        </w:rPr>
        <w:t>请注意本文件的某些内容可能涉及专利。本文件的发布机构不承担识别专利的责任。</w:t>
      </w:r>
    </w:p>
    <w:p>
      <w:pPr>
        <w:autoSpaceDE w:val="0"/>
        <w:autoSpaceDN w:val="0"/>
        <w:adjustRightInd w:val="0"/>
        <w:ind w:firstLine="420" w:firstLineChars="200"/>
        <w:jc w:val="left"/>
        <w:rPr>
          <w:rFonts w:ascii="宋体" w:cs="宋体"/>
          <w:kern w:val="0"/>
          <w:szCs w:val="21"/>
        </w:rPr>
      </w:pPr>
      <w:r>
        <w:t>本文件</w:t>
      </w:r>
      <w:r>
        <w:rPr>
          <w:rFonts w:hint="eastAsia" w:ascii="宋体" w:cs="宋体"/>
          <w:kern w:val="0"/>
          <w:szCs w:val="21"/>
        </w:rPr>
        <w:t>由中国电机工程学会提出。</w:t>
      </w:r>
    </w:p>
    <w:p>
      <w:pPr>
        <w:ind w:firstLine="420" w:firstLineChars="200"/>
      </w:pPr>
      <w:r>
        <w:rPr>
          <w:rFonts w:hint="eastAsia" w:ascii="宋体" w:hAnsi="宋体"/>
        </w:rPr>
        <w:t>本文件由中国电机工程学会继电保护专业委员会技术归口和解释。</w:t>
      </w:r>
    </w:p>
    <w:p>
      <w:pPr>
        <w:ind w:firstLine="420" w:firstLineChars="200"/>
      </w:pPr>
      <w:r>
        <w:t>本文件起草单位：</w:t>
      </w:r>
    </w:p>
    <w:p>
      <w:pPr>
        <w:ind w:firstLine="420" w:firstLineChars="200"/>
      </w:pPr>
      <w:r>
        <w:t>本文件主要起草人：</w:t>
      </w:r>
    </w:p>
    <w:p>
      <w:pPr>
        <w:ind w:firstLine="420" w:firstLineChars="200"/>
      </w:pPr>
      <w:r>
        <w:t>本文件首次发布。</w:t>
      </w:r>
    </w:p>
    <w:p>
      <w:pPr>
        <w:ind w:firstLine="420" w:firstLineChars="200"/>
        <w:rPr>
          <w:rFonts w:ascii="宋体" w:hAnsi="宋体"/>
        </w:rPr>
      </w:pPr>
      <w:r>
        <w:rPr>
          <w:rFonts w:hint="eastAsia" w:ascii="宋体" w:hAnsi="宋体"/>
        </w:rPr>
        <w:t>本文件在执行过程中的意见或建议反馈至中国电机工程学会标准执行办公室（地址：北京市西城区白广路二条1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22"/>
          <w:rFonts w:hint="eastAsia" w:ascii="宋体" w:hAnsi="宋体"/>
        </w:rPr>
        <w:t>cseebz@csee.org.cn</w:t>
      </w:r>
      <w:r>
        <w:rPr>
          <w:rStyle w:val="222"/>
          <w:rFonts w:hint="eastAsia" w:ascii="宋体" w:hAnsi="宋体"/>
        </w:rPr>
        <w:fldChar w:fldCharType="end"/>
      </w:r>
      <w:r>
        <w:rPr>
          <w:rFonts w:hint="eastAsia" w:ascii="宋体" w:hAnsi="宋体"/>
        </w:rPr>
        <w:t>）。</w:t>
      </w:r>
    </w:p>
    <w:p>
      <w:pPr>
        <w:ind w:firstLine="420" w:firstLineChars="200"/>
        <w:rPr>
          <w:rFonts w:ascii="宋体" w:hAnsi="宋体"/>
        </w:rPr>
      </w:pPr>
    </w:p>
    <w:p>
      <w:pPr>
        <w:ind w:firstLine="420" w:firstLineChars="200"/>
        <w:rPr>
          <w:rFonts w:ascii="宋体" w:hAnsi="宋体"/>
        </w:rPr>
      </w:pPr>
    </w:p>
    <w:p>
      <w:pPr>
        <w:widowControl/>
        <w:jc w:val="left"/>
        <w:rPr>
          <w:rFonts w:eastAsia="黑体"/>
          <w:kern w:val="0"/>
          <w:sz w:val="32"/>
          <w:szCs w:val="20"/>
        </w:rPr>
      </w:pPr>
      <w:bookmarkStart w:id="7" w:name="标准目次"/>
      <w:bookmarkEnd w:id="7"/>
      <w:bookmarkStart w:id="8" w:name="标准引言"/>
      <w:bookmarkEnd w:id="8"/>
      <w:r>
        <w:br w:type="page"/>
      </w:r>
    </w:p>
    <w:p>
      <w:pPr>
        <w:pStyle w:val="297"/>
        <w:outlineLvl w:val="0"/>
        <w:rPr>
          <w:rFonts w:ascii="Times New Roman"/>
        </w:rPr>
      </w:pPr>
      <w:bookmarkStart w:id="9" w:name="_Toc199104878"/>
      <w:bookmarkStart w:id="10" w:name="_Toc62027348"/>
      <w:bookmarkStart w:id="11" w:name="_Toc55228494"/>
      <w:bookmarkStart w:id="12" w:name="_Toc63642873"/>
      <w:r>
        <w:rPr>
          <w:rFonts w:ascii="Times New Roman"/>
        </w:rPr>
        <w:t>负荷模拟式继电保护向量检查试验装置技术条件</w:t>
      </w:r>
      <w:bookmarkEnd w:id="9"/>
    </w:p>
    <w:p>
      <w:pPr>
        <w:pStyle w:val="240"/>
        <w:spacing w:before="312" w:after="312"/>
        <w:outlineLvl w:val="0"/>
        <w:rPr>
          <w:rFonts w:ascii="Times New Roman"/>
          <w:szCs w:val="21"/>
        </w:rPr>
      </w:pPr>
      <w:bookmarkStart w:id="13" w:name="_Toc197938252"/>
      <w:bookmarkStart w:id="14" w:name="_Toc199104879"/>
      <w:r>
        <w:rPr>
          <w:rFonts w:ascii="Times New Roman"/>
          <w:szCs w:val="21"/>
        </w:rPr>
        <w:t>范围</w:t>
      </w:r>
      <w:bookmarkEnd w:id="10"/>
      <w:bookmarkEnd w:id="11"/>
      <w:bookmarkEnd w:id="12"/>
      <w:bookmarkEnd w:id="13"/>
      <w:bookmarkEnd w:id="14"/>
    </w:p>
    <w:p>
      <w:pPr>
        <w:pStyle w:val="239"/>
        <w:ind w:firstLine="420"/>
        <w:rPr>
          <w:rFonts w:ascii="Times New Roman"/>
          <w:szCs w:val="21"/>
        </w:rPr>
      </w:pPr>
      <w:bookmarkStart w:id="15" w:name="_Toc55228495"/>
      <w:bookmarkStart w:id="16" w:name="_Toc62027349"/>
      <w:bookmarkStart w:id="17" w:name="_Toc63642874"/>
      <w:r>
        <w:rPr>
          <w:rFonts w:hint="eastAsia" w:ascii="Times New Roman"/>
          <w:szCs w:val="21"/>
        </w:rPr>
        <w:t>本文件规定了负荷模拟式继电保护向量检查试验装置的技术要求、检验规则、</w:t>
      </w:r>
      <w:r>
        <w:rPr>
          <w:rStyle w:val="222"/>
          <w:rFonts w:hint="eastAsia"/>
        </w:rPr>
        <w:t>标志、包装、运输、贮存、</w:t>
      </w:r>
      <w:r>
        <w:rPr>
          <w:rFonts w:hint="eastAsia" w:ascii="Times New Roman"/>
          <w:szCs w:val="21"/>
        </w:rPr>
        <w:t>质量保证期限等。</w:t>
      </w:r>
    </w:p>
    <w:p>
      <w:pPr>
        <w:pStyle w:val="239"/>
        <w:ind w:firstLine="420"/>
        <w:rPr>
          <w:rFonts w:ascii="Times New Roman"/>
          <w:szCs w:val="21"/>
        </w:rPr>
      </w:pPr>
      <w:r>
        <w:rPr>
          <w:rFonts w:hint="eastAsia" w:ascii="Times New Roman"/>
          <w:szCs w:val="21"/>
        </w:rPr>
        <w:t>本文件适用于</w:t>
      </w:r>
      <w:r>
        <w:rPr>
          <w:rFonts w:ascii="Times New Roman"/>
          <w:szCs w:val="21"/>
        </w:rPr>
        <w:t>500</w:t>
      </w:r>
      <w:r>
        <w:rPr>
          <w:rFonts w:hint="eastAsia" w:ascii="Times New Roman"/>
          <w:szCs w:val="21"/>
        </w:rPr>
        <w:t>kV及以下变电站负荷模拟式交流继电保护向量检查试验装置和±</w:t>
      </w:r>
      <w:r>
        <w:rPr>
          <w:rFonts w:ascii="Times New Roman"/>
          <w:szCs w:val="21"/>
        </w:rPr>
        <w:t>800</w:t>
      </w:r>
      <w:r>
        <w:rPr>
          <w:rFonts w:hint="eastAsia" w:ascii="Times New Roman"/>
          <w:szCs w:val="21"/>
        </w:rPr>
        <w:t>kV</w:t>
      </w:r>
      <w:r>
        <w:rPr>
          <w:rFonts w:ascii="Times New Roman"/>
          <w:szCs w:val="21"/>
        </w:rPr>
        <w:t>及以下换流站</w:t>
      </w:r>
      <w:r>
        <w:rPr>
          <w:rFonts w:hint="eastAsia" w:ascii="Times New Roman"/>
          <w:szCs w:val="21"/>
        </w:rPr>
        <w:t>负荷模拟式直流继电保护向量检查试验装置的研发、设计、制造、检验。</w:t>
      </w:r>
    </w:p>
    <w:p>
      <w:pPr>
        <w:pStyle w:val="240"/>
        <w:spacing w:before="312" w:after="312"/>
        <w:outlineLvl w:val="0"/>
        <w:rPr>
          <w:rFonts w:ascii="Times New Roman"/>
          <w:szCs w:val="21"/>
        </w:rPr>
      </w:pPr>
      <w:bookmarkStart w:id="18" w:name="_Toc199104880"/>
      <w:bookmarkStart w:id="19" w:name="_Toc197938253"/>
      <w:r>
        <w:rPr>
          <w:rFonts w:ascii="Times New Roman"/>
          <w:szCs w:val="21"/>
        </w:rPr>
        <w:t>规范性引用文</w:t>
      </w:r>
      <w:bookmarkEnd w:id="15"/>
      <w:r>
        <w:rPr>
          <w:rFonts w:ascii="Times New Roman"/>
          <w:szCs w:val="21"/>
        </w:rPr>
        <w:t>件</w:t>
      </w:r>
      <w:bookmarkEnd w:id="16"/>
      <w:bookmarkEnd w:id="17"/>
      <w:bookmarkEnd w:id="18"/>
      <w:bookmarkEnd w:id="19"/>
    </w:p>
    <w:p>
      <w:pPr>
        <w:pStyle w:val="239"/>
        <w:ind w:firstLine="420"/>
        <w:rPr>
          <w:rFonts w:ascii="Times New Roman"/>
          <w:szCs w:val="21"/>
        </w:rPr>
      </w:pPr>
      <w:r>
        <w:rPr>
          <w:rFonts w:hint="eastAsia"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9"/>
        <w:ind w:firstLine="420"/>
        <w:rPr>
          <w:rFonts w:ascii="Times New Roman"/>
        </w:rPr>
      </w:pPr>
      <w:bookmarkStart w:id="20" w:name="_Toc55228496"/>
      <w:bookmarkStart w:id="21" w:name="_Toc63642875"/>
      <w:bookmarkStart w:id="22" w:name="_Toc62027350"/>
      <w:r>
        <w:rPr>
          <w:rFonts w:ascii="Times New Roman"/>
        </w:rPr>
        <w:t>GB/T 191</w:t>
      </w:r>
      <w:r>
        <w:rPr>
          <w:rFonts w:hint="eastAsia" w:ascii="Times New Roman"/>
        </w:rPr>
        <w:t>包装储运图示标志</w:t>
      </w:r>
    </w:p>
    <w:p>
      <w:pPr>
        <w:pStyle w:val="239"/>
        <w:ind w:firstLine="420"/>
        <w:rPr>
          <w:rFonts w:ascii="Times New Roman"/>
          <w:szCs w:val="21"/>
        </w:rPr>
      </w:pPr>
      <w:r>
        <w:rPr>
          <w:rFonts w:hint="eastAsia" w:ascii="Times New Roman"/>
          <w:szCs w:val="21"/>
        </w:rPr>
        <w:t>GB/T 2423.1 电工电子产品环境试验 第2部分：试验方法试验A：低温</w:t>
      </w:r>
    </w:p>
    <w:p>
      <w:pPr>
        <w:pStyle w:val="239"/>
        <w:ind w:firstLine="420"/>
        <w:rPr>
          <w:rFonts w:ascii="Times New Roman"/>
          <w:szCs w:val="21"/>
        </w:rPr>
      </w:pPr>
      <w:r>
        <w:rPr>
          <w:rFonts w:hint="eastAsia" w:ascii="Times New Roman"/>
          <w:szCs w:val="21"/>
        </w:rPr>
        <w:t>GB/T 2423.2 电工电子产品环境试验 第2部分：试验方法试验B：高温</w:t>
      </w:r>
    </w:p>
    <w:p>
      <w:pPr>
        <w:pStyle w:val="239"/>
        <w:ind w:firstLine="420"/>
        <w:rPr>
          <w:rFonts w:ascii="Times New Roman"/>
          <w:szCs w:val="21"/>
        </w:rPr>
      </w:pPr>
      <w:r>
        <w:rPr>
          <w:rFonts w:hint="eastAsia" w:ascii="Times New Roman"/>
          <w:szCs w:val="21"/>
        </w:rPr>
        <w:t>GB/T 2423.3 环境试验 第2部分：试验方法试验Cab：恒定湿热试验</w:t>
      </w:r>
    </w:p>
    <w:p>
      <w:pPr>
        <w:pStyle w:val="239"/>
        <w:ind w:firstLine="420"/>
        <w:rPr>
          <w:rFonts w:ascii="Times New Roman"/>
          <w:szCs w:val="21"/>
        </w:rPr>
      </w:pPr>
      <w:r>
        <w:rPr>
          <w:rFonts w:hint="eastAsia" w:ascii="Times New Roman"/>
          <w:szCs w:val="21"/>
        </w:rPr>
        <w:t>GB/T 2423.4 电工电子产品环境试验 第2部分：试验方法试验Db：交变湿热（12h+12h循环）</w:t>
      </w:r>
    </w:p>
    <w:p>
      <w:pPr>
        <w:pStyle w:val="239"/>
        <w:ind w:firstLine="420"/>
        <w:rPr>
          <w:rFonts w:ascii="Times New Roman"/>
          <w:szCs w:val="21"/>
        </w:rPr>
      </w:pPr>
      <w:r>
        <w:rPr>
          <w:rFonts w:hint="eastAsia" w:ascii="Times New Roman"/>
          <w:szCs w:val="21"/>
        </w:rPr>
        <w:t>GB/T 2423.5电工电子产品环境试验第2部分：试验方法试验Ea和导则：冲击</w:t>
      </w:r>
    </w:p>
    <w:p>
      <w:pPr>
        <w:pStyle w:val="239"/>
        <w:ind w:firstLine="420"/>
        <w:rPr>
          <w:rFonts w:ascii="Times New Roman"/>
          <w:szCs w:val="21"/>
        </w:rPr>
      </w:pPr>
      <w:r>
        <w:rPr>
          <w:rFonts w:hint="eastAsia" w:ascii="Times New Roman"/>
          <w:szCs w:val="21"/>
        </w:rPr>
        <w:t>GB/T 2423.10 电工电子产品环境试验第2部分：试验方法试验Fc：振动（正弦）</w:t>
      </w:r>
    </w:p>
    <w:p>
      <w:pPr>
        <w:pStyle w:val="239"/>
        <w:ind w:firstLine="420"/>
        <w:rPr>
          <w:rFonts w:ascii="Times New Roman"/>
          <w:szCs w:val="21"/>
        </w:rPr>
      </w:pPr>
      <w:r>
        <w:rPr>
          <w:rFonts w:ascii="Times New Roman"/>
          <w:szCs w:val="21"/>
        </w:rPr>
        <w:t xml:space="preserve">GB/T </w:t>
      </w:r>
      <w:r>
        <w:rPr>
          <w:rFonts w:hint="eastAsia" w:ascii="Times New Roman"/>
          <w:szCs w:val="21"/>
        </w:rPr>
        <w:t>4208 外壳防护等级</w:t>
      </w:r>
      <w:r>
        <w:rPr>
          <w:rFonts w:asciiTheme="minorEastAsia" w:hAnsiTheme="minorEastAsia" w:eastAsiaTheme="minorEastAsia"/>
          <w:szCs w:val="21"/>
        </w:rPr>
        <w:t>(IP代码)</w:t>
      </w:r>
    </w:p>
    <w:p>
      <w:pPr>
        <w:pStyle w:val="239"/>
        <w:ind w:firstLine="420"/>
        <w:rPr>
          <w:rFonts w:ascii="Times New Roman"/>
          <w:szCs w:val="21"/>
        </w:rPr>
      </w:pPr>
      <w:r>
        <w:rPr>
          <w:rFonts w:ascii="Times New Roman"/>
          <w:szCs w:val="21"/>
        </w:rPr>
        <w:t>GB/T 4793.1</w:t>
      </w:r>
      <w:r>
        <w:rPr>
          <w:rFonts w:hint="eastAsia" w:ascii="Times New Roman"/>
          <w:szCs w:val="21"/>
        </w:rPr>
        <w:t>-2007测量、控制和实验室用电气设备的安全要求第1部分：通用要求</w:t>
      </w:r>
    </w:p>
    <w:p>
      <w:pPr>
        <w:pStyle w:val="239"/>
        <w:ind w:firstLine="420"/>
        <w:rPr>
          <w:rFonts w:ascii="Times New Roman"/>
          <w:szCs w:val="21"/>
        </w:rPr>
      </w:pPr>
      <w:r>
        <w:rPr>
          <w:rFonts w:hint="eastAsia" w:ascii="Times New Roman"/>
          <w:szCs w:val="21"/>
        </w:rPr>
        <w:t>GB/T 6587-2012 电子测量仪器通用规范</w:t>
      </w:r>
    </w:p>
    <w:p>
      <w:pPr>
        <w:pStyle w:val="239"/>
        <w:ind w:firstLine="420"/>
        <w:rPr>
          <w:rFonts w:ascii="Times New Roman"/>
        </w:rPr>
      </w:pPr>
      <w:r>
        <w:rPr>
          <w:rFonts w:hint="eastAsia" w:ascii="Times New Roman"/>
        </w:rPr>
        <w:t>GB/T 13384机电产品包装通用技术条件</w:t>
      </w:r>
    </w:p>
    <w:p>
      <w:pPr>
        <w:pStyle w:val="239"/>
        <w:ind w:firstLine="420"/>
        <w:rPr>
          <w:rFonts w:ascii="Times New Roman"/>
          <w:szCs w:val="21"/>
        </w:rPr>
      </w:pPr>
      <w:r>
        <w:rPr>
          <w:rFonts w:hint="eastAsia" w:ascii="Times New Roman"/>
          <w:szCs w:val="21"/>
        </w:rPr>
        <w:t>GB/T 17626.2 电磁兼容试验和测量技术静电放电抗扰度试验</w:t>
      </w:r>
    </w:p>
    <w:p>
      <w:pPr>
        <w:pStyle w:val="239"/>
        <w:ind w:firstLine="420"/>
        <w:rPr>
          <w:rFonts w:ascii="Times New Roman"/>
          <w:szCs w:val="21"/>
        </w:rPr>
      </w:pPr>
      <w:r>
        <w:rPr>
          <w:rFonts w:hint="eastAsia" w:ascii="Times New Roman"/>
          <w:szCs w:val="21"/>
        </w:rPr>
        <w:t>GB/T 17626.3电磁兼容试验和测量技术第3部分：射频电磁场辐射抗扰度试验</w:t>
      </w:r>
    </w:p>
    <w:p>
      <w:pPr>
        <w:pStyle w:val="239"/>
        <w:ind w:firstLine="420"/>
        <w:rPr>
          <w:rFonts w:ascii="Times New Roman"/>
          <w:szCs w:val="21"/>
        </w:rPr>
      </w:pPr>
      <w:r>
        <w:rPr>
          <w:rFonts w:hint="eastAsia" w:ascii="Times New Roman"/>
          <w:szCs w:val="21"/>
        </w:rPr>
        <w:t>GB/T 17626.4 电磁兼容试验和测量技术电快速瞬变脉冲群抗扰度试验</w:t>
      </w:r>
    </w:p>
    <w:p>
      <w:pPr>
        <w:pStyle w:val="239"/>
        <w:ind w:firstLine="420"/>
        <w:rPr>
          <w:rFonts w:ascii="Times New Roman"/>
          <w:szCs w:val="21"/>
        </w:rPr>
      </w:pPr>
      <w:r>
        <w:rPr>
          <w:rFonts w:hint="eastAsia" w:ascii="Times New Roman"/>
          <w:szCs w:val="21"/>
        </w:rPr>
        <w:t>GB/T 17626.6 电磁兼容试验和测量技术射频场感应的传导骚扰抗扰度</w:t>
      </w:r>
    </w:p>
    <w:p>
      <w:pPr>
        <w:pStyle w:val="239"/>
        <w:ind w:firstLine="420"/>
        <w:rPr>
          <w:rFonts w:ascii="Times New Roman"/>
          <w:szCs w:val="21"/>
        </w:rPr>
      </w:pPr>
      <w:r>
        <w:rPr>
          <w:rFonts w:ascii="Times New Roman"/>
          <w:szCs w:val="21"/>
        </w:rPr>
        <w:t xml:space="preserve">GB/T </w:t>
      </w:r>
      <w:r>
        <w:rPr>
          <w:rFonts w:hint="eastAsia" w:ascii="Times New Roman"/>
          <w:szCs w:val="21"/>
        </w:rPr>
        <w:t>50976继电保护及二次回路安装及验收规范</w:t>
      </w:r>
    </w:p>
    <w:p>
      <w:pPr>
        <w:pStyle w:val="239"/>
        <w:ind w:firstLine="420"/>
        <w:rPr>
          <w:rFonts w:ascii="Times New Roman"/>
          <w:szCs w:val="21"/>
        </w:rPr>
      </w:pPr>
      <w:r>
        <w:rPr>
          <w:rFonts w:hint="eastAsia" w:ascii="Times New Roman"/>
          <w:szCs w:val="21"/>
        </w:rPr>
        <w:t>DL/T 478 继电保护和安全自动装置通用技术条件</w:t>
      </w:r>
    </w:p>
    <w:p>
      <w:pPr>
        <w:pStyle w:val="239"/>
        <w:ind w:firstLine="420"/>
        <w:rPr>
          <w:rFonts w:ascii="Times New Roman"/>
          <w:szCs w:val="21"/>
        </w:rPr>
      </w:pPr>
      <w:r>
        <w:rPr>
          <w:rFonts w:hint="eastAsia" w:ascii="Times New Roman"/>
          <w:szCs w:val="21"/>
        </w:rPr>
        <w:t>DL/T 848.1-2019 高压试验装置通用技术条件 第1部分：直流高压发生器</w:t>
      </w:r>
    </w:p>
    <w:p>
      <w:pPr>
        <w:pStyle w:val="239"/>
        <w:ind w:firstLine="420"/>
        <w:rPr>
          <w:rFonts w:ascii="Times New Roman"/>
          <w:szCs w:val="21"/>
        </w:rPr>
      </w:pPr>
      <w:r>
        <w:rPr>
          <w:rFonts w:hint="eastAsia" w:ascii="Times New Roman"/>
          <w:szCs w:val="21"/>
        </w:rPr>
        <w:t>DL/T 848.2-2018 工频高压试验装置通用技术条件 第2部分：工频高压试验装置</w:t>
      </w:r>
    </w:p>
    <w:p>
      <w:pPr>
        <w:pStyle w:val="239"/>
        <w:ind w:firstLine="420"/>
        <w:rPr>
          <w:rFonts w:ascii="Times New Roman"/>
          <w:szCs w:val="21"/>
        </w:rPr>
      </w:pPr>
      <w:r>
        <w:rPr>
          <w:rFonts w:hint="eastAsia" w:ascii="Times New Roman"/>
          <w:szCs w:val="21"/>
        </w:rPr>
        <w:t>DL/T 995 继电保护和电网安全自动装置检验规程</w:t>
      </w:r>
    </w:p>
    <w:p>
      <w:pPr>
        <w:pStyle w:val="239"/>
        <w:ind w:firstLine="420"/>
        <w:rPr>
          <w:rFonts w:ascii="Times New Roman"/>
          <w:szCs w:val="21"/>
        </w:rPr>
      </w:pPr>
      <w:r>
        <w:rPr>
          <w:rFonts w:hint="eastAsia" w:ascii="Times New Roman"/>
          <w:szCs w:val="21"/>
        </w:rPr>
        <w:t>DL/T 2213.1 交流标准功率源 第1部分：通用技术要求</w:t>
      </w:r>
    </w:p>
    <w:p>
      <w:pPr>
        <w:pStyle w:val="240"/>
        <w:spacing w:before="312" w:after="312"/>
        <w:outlineLvl w:val="0"/>
        <w:rPr>
          <w:rFonts w:ascii="Times New Roman"/>
          <w:szCs w:val="21"/>
        </w:rPr>
      </w:pPr>
      <w:bookmarkStart w:id="23" w:name="_Toc197934664"/>
      <w:bookmarkEnd w:id="23"/>
      <w:bookmarkStart w:id="24" w:name="_Toc197934884"/>
      <w:bookmarkEnd w:id="24"/>
      <w:bookmarkStart w:id="25" w:name="_Toc197938254"/>
      <w:bookmarkEnd w:id="25"/>
      <w:bookmarkStart w:id="26" w:name="_Toc197936583"/>
      <w:bookmarkEnd w:id="26"/>
      <w:bookmarkStart w:id="27" w:name="_Toc199104881"/>
      <w:bookmarkEnd w:id="27"/>
      <w:bookmarkStart w:id="28" w:name="_Toc197938267"/>
      <w:bookmarkStart w:id="29" w:name="_Toc199104894"/>
      <w:r>
        <w:rPr>
          <w:rFonts w:ascii="Times New Roman"/>
          <w:szCs w:val="21"/>
        </w:rPr>
        <w:t>术语</w:t>
      </w:r>
      <w:r>
        <w:rPr>
          <w:rFonts w:hint="eastAsia" w:ascii="Times New Roman"/>
          <w:szCs w:val="21"/>
        </w:rPr>
        <w:t>和</w:t>
      </w:r>
      <w:r>
        <w:rPr>
          <w:rFonts w:ascii="Times New Roman"/>
          <w:szCs w:val="21"/>
        </w:rPr>
        <w:t>定义</w:t>
      </w:r>
      <w:bookmarkEnd w:id="20"/>
      <w:bookmarkEnd w:id="21"/>
      <w:bookmarkEnd w:id="22"/>
      <w:bookmarkEnd w:id="28"/>
      <w:bookmarkEnd w:id="29"/>
    </w:p>
    <w:p>
      <w:pPr>
        <w:pStyle w:val="239"/>
        <w:ind w:firstLine="420"/>
      </w:pPr>
      <w:r>
        <w:rPr>
          <w:rFonts w:ascii="Times New Roman"/>
          <w:szCs w:val="21"/>
        </w:rPr>
        <w:t>下列术语和定义适用于本文件。</w:t>
      </w:r>
    </w:p>
    <w:p>
      <w:pPr>
        <w:pStyle w:val="305"/>
      </w:pPr>
    </w:p>
    <w:p>
      <w:pPr>
        <w:pStyle w:val="305"/>
        <w:numPr>
          <w:ilvl w:val="0"/>
          <w:numId w:val="0"/>
        </w:numPr>
        <w:ind w:firstLine="420" w:firstLineChars="200"/>
        <w:rPr>
          <w:rFonts w:ascii="Times New Roman"/>
          <w:b/>
        </w:rPr>
      </w:pPr>
      <w:r>
        <w:rPr>
          <w:rFonts w:hint="eastAsia" w:ascii="Times New Roman"/>
        </w:rPr>
        <w:t xml:space="preserve">负荷模拟式继电保护向量检查试验装置  </w:t>
      </w:r>
      <w:r>
        <w:rPr>
          <w:rFonts w:ascii="Times New Roman"/>
          <w:b/>
        </w:rPr>
        <w:t>relay protection vector inspection test device based on load simulation</w:t>
      </w:r>
    </w:p>
    <w:p>
      <w:pPr>
        <w:pStyle w:val="239"/>
        <w:ind w:firstLine="420"/>
      </w:pPr>
      <w:r>
        <w:rPr>
          <w:rFonts w:hint="eastAsia"/>
        </w:rPr>
        <w:t>能够在被试设备一次侧模拟施加具有相位关系的试验电流和试验电压，用于验证流入继电保护装置电流电压的相位、幅值，与电流电压互感器一次接线相对极性关系正确性的检查装置，简称“</w:t>
      </w:r>
      <w:r>
        <w:rPr>
          <w:rFonts w:hint="eastAsia" w:hAnsi="宋体"/>
          <w:bCs/>
        </w:rPr>
        <w:t>向量检查装置</w:t>
      </w:r>
      <w:r>
        <w:rPr>
          <w:rFonts w:hint="eastAsia"/>
        </w:rPr>
        <w:t>”。</w:t>
      </w:r>
    </w:p>
    <w:p>
      <w:pPr>
        <w:pStyle w:val="239"/>
        <w:ind w:firstLine="360"/>
        <w:rPr>
          <w:sz w:val="18"/>
          <w:szCs w:val="18"/>
        </w:rPr>
      </w:pPr>
      <w:r>
        <w:rPr>
          <w:rFonts w:hint="eastAsia" w:ascii="黑体" w:hAnsi="黑体" w:eastAsia="黑体"/>
          <w:sz w:val="18"/>
          <w:szCs w:val="18"/>
        </w:rPr>
        <w:t>注</w:t>
      </w:r>
      <w:r>
        <w:rPr>
          <w:rFonts w:hint="eastAsia" w:asciiTheme="minorEastAsia" w:hAnsiTheme="minorEastAsia" w:eastAsiaTheme="minorEastAsia"/>
          <w:sz w:val="18"/>
          <w:szCs w:val="18"/>
        </w:rPr>
        <w:t>：</w:t>
      </w:r>
      <w:r>
        <w:rPr>
          <w:rFonts w:hint="eastAsia"/>
          <w:sz w:val="18"/>
          <w:szCs w:val="18"/>
        </w:rPr>
        <w:t>向量检查装置分为非同源交流向量检查装置、同源交流向量检查装置和直流向量检查装置。</w:t>
      </w:r>
    </w:p>
    <w:p>
      <w:pPr>
        <w:pStyle w:val="305"/>
        <w:rPr>
          <w:rFonts w:ascii="Times New Roman"/>
          <w:color w:val="FF0000"/>
        </w:rPr>
      </w:pPr>
    </w:p>
    <w:p>
      <w:pPr>
        <w:pStyle w:val="305"/>
        <w:numPr>
          <w:ilvl w:val="0"/>
          <w:numId w:val="0"/>
        </w:numPr>
        <w:ind w:firstLine="420" w:firstLineChars="200"/>
        <w:rPr>
          <w:rFonts w:ascii="Times New Roman"/>
          <w:color w:val="FF0000"/>
        </w:rPr>
      </w:pPr>
      <w:r>
        <w:rPr>
          <w:rFonts w:ascii="Times New Roman"/>
        </w:rPr>
        <w:t>非同源</w:t>
      </w:r>
      <w:r>
        <w:rPr>
          <w:rFonts w:hint="eastAsia" w:ascii="Times New Roman"/>
        </w:rPr>
        <w:t xml:space="preserve">交流向量检查装置  </w:t>
      </w:r>
      <w:r>
        <w:rPr>
          <w:rFonts w:ascii="Times New Roman"/>
          <w:b/>
        </w:rPr>
        <w:t>non homologous AC vector inspection test device</w:t>
      </w:r>
    </w:p>
    <w:p>
      <w:pPr>
        <w:pStyle w:val="239"/>
        <w:ind w:firstLine="420"/>
        <w:rPr>
          <w:rFonts w:hAnsi="宋体"/>
          <w:bCs/>
        </w:rPr>
      </w:pPr>
      <w:r>
        <w:rPr>
          <w:rFonts w:hint="eastAsia" w:hAnsi="宋体"/>
          <w:bCs/>
        </w:rPr>
        <w:t>能够在被试设备一次侧分别施加试验</w:t>
      </w:r>
      <w:r>
        <w:rPr>
          <w:rFonts w:hint="eastAsia"/>
          <w:snapToGrid w:val="0"/>
        </w:rPr>
        <w:t>电流和试验电压，且试验电流和试验电压受同一基准控制的</w:t>
      </w:r>
      <w:r>
        <w:rPr>
          <w:rFonts w:hint="eastAsia" w:hAnsi="宋体"/>
          <w:bCs/>
        </w:rPr>
        <w:t>向量检查装置。</w:t>
      </w:r>
    </w:p>
    <w:p>
      <w:pPr>
        <w:pStyle w:val="239"/>
        <w:ind w:firstLine="420"/>
        <w:rPr>
          <w:rFonts w:hAnsi="宋体"/>
          <w:bCs/>
        </w:rPr>
      </w:pPr>
    </w:p>
    <w:p>
      <w:pPr>
        <w:pStyle w:val="305"/>
        <w:rPr>
          <w:rFonts w:ascii="Times New Roman"/>
          <w:color w:val="FF0000"/>
        </w:rPr>
      </w:pPr>
    </w:p>
    <w:p>
      <w:pPr>
        <w:pStyle w:val="305"/>
        <w:numPr>
          <w:ilvl w:val="0"/>
          <w:numId w:val="0"/>
        </w:numPr>
        <w:ind w:firstLine="420" w:firstLineChars="200"/>
        <w:rPr>
          <w:rFonts w:ascii="Times New Roman"/>
          <w:color w:val="FF0000"/>
        </w:rPr>
      </w:pPr>
      <w:r>
        <w:rPr>
          <w:rFonts w:ascii="Times New Roman"/>
        </w:rPr>
        <w:t>同源</w:t>
      </w:r>
      <w:r>
        <w:rPr>
          <w:rFonts w:hint="eastAsia" w:ascii="Times New Roman"/>
        </w:rPr>
        <w:t xml:space="preserve">交流向量检查装置  </w:t>
      </w:r>
      <w:r>
        <w:rPr>
          <w:rFonts w:ascii="Times New Roman"/>
          <w:b/>
        </w:rPr>
        <w:t>homologous AC vector inspection test device</w:t>
      </w:r>
    </w:p>
    <w:p>
      <w:pPr>
        <w:pStyle w:val="239"/>
        <w:ind w:firstLine="420"/>
        <w:rPr>
          <w:rFonts w:hAnsi="宋体"/>
          <w:bCs/>
          <w:szCs w:val="21"/>
        </w:rPr>
      </w:pPr>
      <w:r>
        <w:rPr>
          <w:rFonts w:hint="eastAsia"/>
          <w:snapToGrid w:val="0"/>
        </w:rPr>
        <w:t>能够在</w:t>
      </w:r>
      <w:r>
        <w:rPr>
          <w:rFonts w:hint="eastAsia"/>
        </w:rPr>
        <w:t>被试设备</w:t>
      </w:r>
      <w:r>
        <w:rPr>
          <w:rFonts w:hint="eastAsia"/>
          <w:snapToGrid w:val="0"/>
        </w:rPr>
        <w:t>一次侧施加试验电压/电流，</w:t>
      </w:r>
      <w:r>
        <w:rPr>
          <w:rFonts w:hint="eastAsia" w:hAnsi="宋体"/>
          <w:bCs/>
        </w:rPr>
        <w:t>利用被试设备本身的短路阻抗（当被试设备本身无阻抗或阻抗较小时，挂接试验负载）产生</w:t>
      </w:r>
      <w:r>
        <w:rPr>
          <w:rFonts w:hint="eastAsia" w:hAnsi="宋体"/>
          <w:bCs/>
          <w:szCs w:val="21"/>
        </w:rPr>
        <w:t>一次试验电流/电压</w:t>
      </w:r>
      <w:r>
        <w:rPr>
          <w:rFonts w:hint="eastAsia" w:hAnsi="宋体"/>
          <w:bCs/>
        </w:rPr>
        <w:t>的向量检查装置</w:t>
      </w:r>
      <w:r>
        <w:rPr>
          <w:rFonts w:hint="eastAsia" w:hAnsi="宋体"/>
          <w:bCs/>
          <w:szCs w:val="21"/>
        </w:rPr>
        <w:t>。</w:t>
      </w:r>
    </w:p>
    <w:p>
      <w:pPr>
        <w:pStyle w:val="305"/>
      </w:pPr>
    </w:p>
    <w:p>
      <w:pPr>
        <w:pStyle w:val="305"/>
        <w:numPr>
          <w:ilvl w:val="0"/>
          <w:numId w:val="0"/>
        </w:numPr>
        <w:ind w:firstLine="420" w:firstLineChars="200"/>
        <w:rPr>
          <w:rFonts w:ascii="Times New Roman"/>
          <w:b/>
        </w:rPr>
      </w:pPr>
      <w:r>
        <w:rPr>
          <w:rFonts w:hint="eastAsia" w:ascii="Times New Roman"/>
        </w:rPr>
        <w:t xml:space="preserve">直流向量检查装置  </w:t>
      </w:r>
      <w:r>
        <w:rPr>
          <w:rFonts w:ascii="Times New Roman"/>
          <w:b/>
        </w:rPr>
        <w:t>DC vector inspection test device</w:t>
      </w:r>
    </w:p>
    <w:p>
      <w:pPr>
        <w:pStyle w:val="239"/>
        <w:ind w:firstLine="420"/>
        <w:rPr>
          <w:rFonts w:ascii="Times New Roman"/>
        </w:rPr>
      </w:pPr>
      <w:r>
        <w:rPr>
          <w:rFonts w:hint="eastAsia"/>
        </w:rPr>
        <w:t>能够在被试设备一次侧施加直流试验电流或试验电压的向量检查装置。</w:t>
      </w:r>
    </w:p>
    <w:p>
      <w:pPr>
        <w:pStyle w:val="240"/>
        <w:spacing w:before="312" w:after="312"/>
        <w:outlineLvl w:val="0"/>
        <w:rPr>
          <w:rFonts w:ascii="Times New Roman"/>
          <w:szCs w:val="21"/>
        </w:rPr>
      </w:pPr>
      <w:bookmarkStart w:id="30" w:name="_Toc197938268"/>
      <w:bookmarkStart w:id="31" w:name="_Toc199104895"/>
      <w:r>
        <w:rPr>
          <w:rFonts w:ascii="Times New Roman"/>
          <w:szCs w:val="21"/>
        </w:rPr>
        <w:t>技术要求</w:t>
      </w:r>
      <w:bookmarkEnd w:id="30"/>
      <w:bookmarkEnd w:id="31"/>
    </w:p>
    <w:p>
      <w:pPr>
        <w:pStyle w:val="241"/>
        <w:spacing w:before="156" w:after="156"/>
        <w:outlineLvl w:val="1"/>
      </w:pPr>
      <w:bookmarkStart w:id="32" w:name="_Toc199104896"/>
      <w:bookmarkStart w:id="33" w:name="_Toc197938269"/>
      <w:r>
        <w:rPr>
          <w:rFonts w:hint="eastAsia"/>
        </w:rPr>
        <w:t>基准条件</w:t>
      </w:r>
      <w:bookmarkEnd w:id="32"/>
    </w:p>
    <w:p>
      <w:pPr>
        <w:pStyle w:val="239"/>
        <w:ind w:firstLine="420"/>
        <w:rPr>
          <w:rFonts w:hAnsi="宋体"/>
          <w:bCs/>
        </w:rPr>
      </w:pPr>
      <w:r>
        <w:rPr>
          <w:rFonts w:hint="eastAsia"/>
        </w:rPr>
        <w:t>基准条件下确定向量检查装置的基本误差，用于产品的验收检验、型式检验及仲裁检验时的试验条件。</w:t>
      </w:r>
      <w:r>
        <w:rPr>
          <w:rFonts w:hint="eastAsia" w:hAnsi="宋体"/>
          <w:bCs/>
        </w:rPr>
        <w:t>向量检查装置的基准条件见表1.</w:t>
      </w:r>
    </w:p>
    <w:p>
      <w:pPr>
        <w:spacing w:line="360" w:lineRule="auto"/>
        <w:jc w:val="center"/>
        <w:outlineLvl w:val="2"/>
        <w:rPr>
          <w:rFonts w:ascii="黑体" w:hAnsi="黑体" w:eastAsia="黑体"/>
          <w:kern w:val="0"/>
          <w:szCs w:val="21"/>
        </w:rPr>
      </w:pPr>
      <w:bookmarkStart w:id="34" w:name="_Toc199104897"/>
      <w:r>
        <w:rPr>
          <w:rFonts w:ascii="黑体" w:hAnsi="黑体" w:eastAsia="黑体"/>
          <w:kern w:val="0"/>
          <w:szCs w:val="21"/>
        </w:rPr>
        <w:t>表</w:t>
      </w:r>
      <w:r>
        <w:rPr>
          <w:rFonts w:hint="eastAsia" w:ascii="黑体" w:hAnsi="黑体" w:eastAsia="黑体"/>
          <w:kern w:val="0"/>
          <w:szCs w:val="21"/>
        </w:rPr>
        <w:t>1基准工作</w:t>
      </w:r>
      <w:r>
        <w:rPr>
          <w:rFonts w:ascii="黑体" w:hAnsi="黑体" w:eastAsia="黑体"/>
          <w:kern w:val="0"/>
          <w:szCs w:val="21"/>
        </w:rPr>
        <w:t>条件</w:t>
      </w:r>
      <w:bookmarkEnd w:id="34"/>
    </w:p>
    <w:tbl>
      <w:tblPr>
        <w:tblStyle w:val="8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3467"/>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vMerge w:val="restart"/>
            <w:noWrap/>
            <w:vAlign w:val="center"/>
          </w:tcPr>
          <w:p>
            <w:pPr>
              <w:pStyle w:val="239"/>
              <w:ind w:firstLine="361"/>
              <w:jc w:val="center"/>
              <w:rPr>
                <w:rFonts w:ascii="Times New Roman"/>
                <w:b/>
                <w:bCs/>
                <w:sz w:val="18"/>
                <w:szCs w:val="18"/>
              </w:rPr>
            </w:pPr>
            <w:r>
              <w:rPr>
                <w:rFonts w:ascii="Times New Roman"/>
                <w:b/>
                <w:bCs/>
                <w:sz w:val="18"/>
                <w:szCs w:val="18"/>
              </w:rPr>
              <w:t>影响量</w:t>
            </w:r>
          </w:p>
        </w:tc>
        <w:tc>
          <w:tcPr>
            <w:tcW w:w="6373" w:type="dxa"/>
            <w:gridSpan w:val="2"/>
            <w:noWrap/>
            <w:vAlign w:val="center"/>
          </w:tcPr>
          <w:p>
            <w:pPr>
              <w:pStyle w:val="239"/>
              <w:ind w:firstLine="361"/>
              <w:jc w:val="center"/>
              <w:rPr>
                <w:rFonts w:ascii="Times New Roman"/>
                <w:b/>
                <w:bCs/>
                <w:sz w:val="18"/>
                <w:szCs w:val="18"/>
              </w:rPr>
            </w:pPr>
            <w:r>
              <w:rPr>
                <w:rFonts w:ascii="Times New Roman"/>
                <w:b/>
                <w:bCs/>
                <w:sz w:val="18"/>
                <w:szCs w:val="18"/>
              </w:rPr>
              <w:t>标称范围极限值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vMerge w:val="continue"/>
            <w:noWrap/>
            <w:vAlign w:val="center"/>
          </w:tcPr>
          <w:p>
            <w:pPr>
              <w:pStyle w:val="239"/>
              <w:ind w:firstLine="361"/>
              <w:jc w:val="center"/>
              <w:rPr>
                <w:rFonts w:ascii="Times New Roman"/>
                <w:b/>
                <w:bCs/>
                <w:sz w:val="18"/>
                <w:szCs w:val="18"/>
              </w:rPr>
            </w:pPr>
          </w:p>
        </w:tc>
        <w:tc>
          <w:tcPr>
            <w:tcW w:w="3467" w:type="dxa"/>
            <w:noWrap/>
            <w:vAlign w:val="center"/>
          </w:tcPr>
          <w:p>
            <w:pPr>
              <w:pStyle w:val="239"/>
              <w:ind w:firstLine="361"/>
              <w:jc w:val="center"/>
              <w:rPr>
                <w:rFonts w:ascii="Times New Roman"/>
                <w:b/>
                <w:bCs/>
                <w:sz w:val="18"/>
                <w:szCs w:val="18"/>
              </w:rPr>
            </w:pPr>
            <w:r>
              <w:rPr>
                <w:rFonts w:ascii="Times New Roman"/>
                <w:b/>
                <w:bCs/>
                <w:sz w:val="18"/>
                <w:szCs w:val="18"/>
              </w:rPr>
              <w:t>标称值</w:t>
            </w:r>
          </w:p>
        </w:tc>
        <w:tc>
          <w:tcPr>
            <w:tcW w:w="2906" w:type="dxa"/>
            <w:noWrap/>
            <w:vAlign w:val="center"/>
          </w:tcPr>
          <w:p>
            <w:pPr>
              <w:pStyle w:val="239"/>
              <w:ind w:firstLine="361"/>
              <w:jc w:val="center"/>
              <w:rPr>
                <w:rFonts w:ascii="Times New Roman"/>
                <w:b/>
                <w:bCs/>
                <w:sz w:val="18"/>
                <w:szCs w:val="18"/>
              </w:rPr>
            </w:pPr>
            <w:r>
              <w:rPr>
                <w:rFonts w:ascii="Times New Roman"/>
                <w:b/>
                <w:bCs/>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环境温度</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20℃</w:t>
            </w:r>
          </w:p>
        </w:tc>
        <w:tc>
          <w:tcPr>
            <w:tcW w:w="2906" w:type="dxa"/>
            <w:noWrap/>
            <w:vAlign w:val="center"/>
          </w:tcPr>
          <w:p>
            <w:pPr>
              <w:pStyle w:val="239"/>
              <w:ind w:firstLine="420"/>
              <w:jc w:val="center"/>
              <w:rPr>
                <w:rFonts w:ascii="Times New Roman"/>
                <w:sz w:val="18"/>
                <w:szCs w:val="18"/>
              </w:rPr>
            </w:pPr>
            <w:r>
              <w:rPr>
                <w:rFonts w:asciiTheme="minorEastAsia" w:hAnsiTheme="minorEastAsia" w:eastAsiaTheme="minorEastAsia"/>
                <w:szCs w:val="21"/>
              </w:rPr>
              <w:t>±</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相对湿度</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45%～75%</w:t>
            </w:r>
          </w:p>
        </w:tc>
        <w:tc>
          <w:tcPr>
            <w:tcW w:w="2906" w:type="dxa"/>
            <w:noWrap/>
            <w:vAlign w:val="center"/>
          </w:tcPr>
          <w:p>
            <w:pPr>
              <w:pStyle w:val="239"/>
              <w:ind w:firstLine="36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大气压力</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86kPa～106kPa</w:t>
            </w:r>
          </w:p>
        </w:tc>
        <w:tc>
          <w:tcPr>
            <w:tcW w:w="2906" w:type="dxa"/>
            <w:noWrap/>
            <w:vAlign w:val="center"/>
          </w:tcPr>
          <w:p>
            <w:pPr>
              <w:pStyle w:val="239"/>
              <w:ind w:firstLine="36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工作电源电压</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额定值</w:t>
            </w:r>
          </w:p>
        </w:tc>
        <w:tc>
          <w:tcPr>
            <w:tcW w:w="2906" w:type="dxa"/>
            <w:noWrap/>
            <w:vAlign w:val="center"/>
          </w:tcPr>
          <w:p>
            <w:pPr>
              <w:pStyle w:val="239"/>
              <w:ind w:firstLine="420"/>
              <w:jc w:val="center"/>
              <w:rPr>
                <w:rFonts w:ascii="Times New Roman"/>
                <w:sz w:val="18"/>
                <w:szCs w:val="18"/>
              </w:rPr>
            </w:pPr>
            <w:r>
              <w:rPr>
                <w:rFonts w:asciiTheme="minorEastAsia" w:hAnsiTheme="minorEastAsia" w:eastAsiaTheme="minorEastAsia"/>
                <w:szCs w:val="21"/>
              </w:rPr>
              <w:t>±</w:t>
            </w:r>
            <w:r>
              <w:rPr>
                <w:rFonts w:asci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工作电源频率</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50Hz</w:t>
            </w:r>
          </w:p>
        </w:tc>
        <w:tc>
          <w:tcPr>
            <w:tcW w:w="2906" w:type="dxa"/>
            <w:noWrap/>
            <w:vAlign w:val="center"/>
          </w:tcPr>
          <w:p>
            <w:pPr>
              <w:pStyle w:val="239"/>
              <w:ind w:firstLine="420"/>
              <w:jc w:val="center"/>
              <w:rPr>
                <w:rFonts w:ascii="Times New Roman"/>
                <w:sz w:val="18"/>
                <w:szCs w:val="18"/>
              </w:rPr>
            </w:pPr>
            <w:r>
              <w:rPr>
                <w:rFonts w:asciiTheme="minorEastAsia" w:hAnsiTheme="minorEastAsia" w:eastAsiaTheme="minorEastAsia"/>
                <w:szCs w:val="21"/>
              </w:rPr>
              <w:t>±</w:t>
            </w:r>
            <w:r>
              <w:rPr>
                <w:rFonts w:ascii="Times New Roman"/>
                <w:sz w:val="18"/>
                <w:szCs w:val="18"/>
              </w:rPr>
              <w:t>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工作电源波形</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正弦波</w:t>
            </w:r>
          </w:p>
        </w:tc>
        <w:tc>
          <w:tcPr>
            <w:tcW w:w="2906" w:type="dxa"/>
            <w:noWrap/>
            <w:vAlign w:val="center"/>
          </w:tcPr>
          <w:p>
            <w:pPr>
              <w:pStyle w:val="239"/>
              <w:ind w:firstLine="360"/>
              <w:jc w:val="center"/>
              <w:rPr>
                <w:rFonts w:ascii="Times New Roman"/>
                <w:sz w:val="18"/>
                <w:szCs w:val="18"/>
              </w:rPr>
            </w:pPr>
            <w:r>
              <w:rPr>
                <w:rFonts w:ascii="Times New Roman" w:hAnsi="宋体"/>
                <w:sz w:val="18"/>
                <w:szCs w:val="18"/>
              </w:rPr>
              <w:t>总谐波失真系数</w:t>
            </w:r>
            <w:r>
              <w:rPr>
                <w:rFonts w:hint="eastAsia" w:hAnsi="宋体" w:cs="宋体"/>
                <w:sz w:val="18"/>
                <w:szCs w:val="18"/>
              </w:rPr>
              <w:t>≤</w:t>
            </w:r>
            <w:r>
              <w:rPr>
                <w:rFonts w:ascii="Times New Roman"/>
                <w:sz w:val="18"/>
                <w:szCs w:val="18"/>
              </w:rPr>
              <w:t>5%</w:t>
            </w:r>
          </w:p>
        </w:tc>
      </w:tr>
    </w:tbl>
    <w:p>
      <w:pPr>
        <w:pStyle w:val="241"/>
        <w:spacing w:before="156" w:after="156"/>
        <w:outlineLvl w:val="1"/>
        <w:rPr>
          <w:color w:val="000000" w:themeColor="text1"/>
        </w:rPr>
      </w:pPr>
      <w:bookmarkStart w:id="35" w:name="_Toc199104898"/>
      <w:r>
        <w:rPr>
          <w:rFonts w:hint="eastAsia" w:ascii="Times New Roman"/>
        </w:rPr>
        <w:t>额定工作条件</w:t>
      </w:r>
      <w:bookmarkEnd w:id="33"/>
      <w:bookmarkEnd w:id="35"/>
    </w:p>
    <w:p>
      <w:pPr>
        <w:pStyle w:val="239"/>
        <w:ind w:firstLine="420"/>
        <w:rPr>
          <w:rFonts w:ascii="Times New Roman"/>
          <w:szCs w:val="21"/>
        </w:rPr>
      </w:pPr>
      <w:r>
        <w:rPr>
          <w:rFonts w:hint="eastAsia" w:ascii="Times New Roman"/>
          <w:szCs w:val="21"/>
        </w:rPr>
        <w:t>向量检查装置</w:t>
      </w:r>
      <w:r>
        <w:rPr>
          <w:rFonts w:ascii="Times New Roman"/>
          <w:szCs w:val="21"/>
        </w:rPr>
        <w:t>的</w:t>
      </w:r>
      <w:r>
        <w:rPr>
          <w:rFonts w:hint="eastAsia" w:ascii="Times New Roman"/>
          <w:szCs w:val="21"/>
        </w:rPr>
        <w:t>额定工作</w:t>
      </w:r>
      <w:r>
        <w:rPr>
          <w:rFonts w:ascii="Times New Roman"/>
          <w:szCs w:val="21"/>
        </w:rPr>
        <w:t>条件见表</w:t>
      </w:r>
      <w:r>
        <w:rPr>
          <w:rFonts w:hint="eastAsia" w:ascii="Times New Roman"/>
          <w:szCs w:val="21"/>
        </w:rPr>
        <w:t>2。</w:t>
      </w:r>
      <w:bookmarkStart w:id="36" w:name="标准附录"/>
      <w:bookmarkEnd w:id="36"/>
    </w:p>
    <w:p>
      <w:pPr>
        <w:spacing w:line="360" w:lineRule="auto"/>
        <w:jc w:val="center"/>
        <w:outlineLvl w:val="2"/>
        <w:rPr>
          <w:rFonts w:ascii="黑体" w:hAnsi="黑体" w:eastAsia="黑体"/>
          <w:kern w:val="0"/>
          <w:szCs w:val="21"/>
        </w:rPr>
      </w:pPr>
      <w:bookmarkStart w:id="37" w:name="_Toc199104899"/>
      <w:r>
        <w:rPr>
          <w:rFonts w:ascii="黑体" w:hAnsi="黑体" w:eastAsia="黑体"/>
          <w:kern w:val="0"/>
          <w:szCs w:val="21"/>
        </w:rPr>
        <w:t>表</w:t>
      </w:r>
      <w:r>
        <w:rPr>
          <w:rFonts w:hint="eastAsia" w:ascii="黑体" w:hAnsi="黑体" w:eastAsia="黑体"/>
          <w:kern w:val="0"/>
          <w:szCs w:val="21"/>
        </w:rPr>
        <w:t>2额定工作</w:t>
      </w:r>
      <w:r>
        <w:rPr>
          <w:rFonts w:ascii="黑体" w:hAnsi="黑体" w:eastAsia="黑体"/>
          <w:kern w:val="0"/>
          <w:szCs w:val="21"/>
        </w:rPr>
        <w:t>条件</w:t>
      </w:r>
      <w:bookmarkEnd w:id="37"/>
    </w:p>
    <w:tbl>
      <w:tblPr>
        <w:tblStyle w:val="8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3467"/>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vMerge w:val="restart"/>
            <w:noWrap/>
            <w:vAlign w:val="center"/>
          </w:tcPr>
          <w:p>
            <w:pPr>
              <w:pStyle w:val="239"/>
              <w:ind w:firstLine="361"/>
              <w:jc w:val="center"/>
              <w:rPr>
                <w:rFonts w:ascii="Times New Roman"/>
                <w:b/>
                <w:bCs/>
                <w:sz w:val="18"/>
                <w:szCs w:val="18"/>
              </w:rPr>
            </w:pPr>
            <w:r>
              <w:rPr>
                <w:rFonts w:ascii="Times New Roman"/>
                <w:b/>
                <w:bCs/>
                <w:sz w:val="18"/>
                <w:szCs w:val="18"/>
              </w:rPr>
              <w:t>影响量</w:t>
            </w:r>
          </w:p>
        </w:tc>
        <w:tc>
          <w:tcPr>
            <w:tcW w:w="6373" w:type="dxa"/>
            <w:gridSpan w:val="2"/>
            <w:noWrap/>
            <w:vAlign w:val="center"/>
          </w:tcPr>
          <w:p>
            <w:pPr>
              <w:pStyle w:val="239"/>
              <w:ind w:firstLine="361"/>
              <w:jc w:val="center"/>
              <w:rPr>
                <w:rFonts w:ascii="Times New Roman"/>
                <w:b/>
                <w:bCs/>
                <w:sz w:val="18"/>
                <w:szCs w:val="18"/>
              </w:rPr>
            </w:pPr>
            <w:r>
              <w:rPr>
                <w:rFonts w:ascii="Times New Roman"/>
                <w:b/>
                <w:bCs/>
                <w:sz w:val="18"/>
                <w:szCs w:val="18"/>
              </w:rPr>
              <w:t>标称范围极限值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vMerge w:val="continue"/>
            <w:noWrap/>
            <w:vAlign w:val="center"/>
          </w:tcPr>
          <w:p>
            <w:pPr>
              <w:pStyle w:val="239"/>
              <w:ind w:firstLine="361"/>
              <w:jc w:val="center"/>
              <w:rPr>
                <w:rFonts w:ascii="Times New Roman"/>
                <w:b/>
                <w:bCs/>
                <w:sz w:val="18"/>
                <w:szCs w:val="18"/>
              </w:rPr>
            </w:pPr>
          </w:p>
        </w:tc>
        <w:tc>
          <w:tcPr>
            <w:tcW w:w="3467" w:type="dxa"/>
            <w:noWrap/>
            <w:vAlign w:val="center"/>
          </w:tcPr>
          <w:p>
            <w:pPr>
              <w:pStyle w:val="239"/>
              <w:ind w:firstLine="361"/>
              <w:jc w:val="center"/>
              <w:rPr>
                <w:rFonts w:ascii="Times New Roman"/>
                <w:b/>
                <w:bCs/>
                <w:sz w:val="18"/>
                <w:szCs w:val="18"/>
              </w:rPr>
            </w:pPr>
            <w:r>
              <w:rPr>
                <w:rFonts w:ascii="Times New Roman"/>
                <w:b/>
                <w:bCs/>
                <w:sz w:val="18"/>
                <w:szCs w:val="18"/>
              </w:rPr>
              <w:t>标称值</w:t>
            </w:r>
          </w:p>
        </w:tc>
        <w:tc>
          <w:tcPr>
            <w:tcW w:w="2906" w:type="dxa"/>
            <w:noWrap/>
            <w:vAlign w:val="center"/>
          </w:tcPr>
          <w:p>
            <w:pPr>
              <w:pStyle w:val="239"/>
              <w:ind w:firstLine="361"/>
              <w:jc w:val="center"/>
              <w:rPr>
                <w:rFonts w:ascii="Times New Roman"/>
                <w:b/>
                <w:bCs/>
                <w:sz w:val="18"/>
                <w:szCs w:val="18"/>
              </w:rPr>
            </w:pPr>
            <w:r>
              <w:rPr>
                <w:rFonts w:ascii="Times New Roman"/>
                <w:b/>
                <w:bCs/>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环境温度</w:t>
            </w:r>
          </w:p>
        </w:tc>
        <w:tc>
          <w:tcPr>
            <w:tcW w:w="3467" w:type="dxa"/>
            <w:noWrap/>
            <w:vAlign w:val="center"/>
          </w:tcPr>
          <w:p>
            <w:pPr>
              <w:pStyle w:val="239"/>
              <w:ind w:firstLine="360"/>
              <w:jc w:val="center"/>
              <w:rPr>
                <w:rFonts w:ascii="Times New Roman"/>
                <w:sz w:val="18"/>
                <w:szCs w:val="18"/>
              </w:rPr>
            </w:pPr>
            <w:r>
              <w:rPr>
                <w:rFonts w:hint="eastAsia" w:hAnsi="宋体" w:cs="宋体"/>
                <w:sz w:val="18"/>
                <w:szCs w:val="18"/>
              </w:rPr>
              <w:t>-</w:t>
            </w:r>
            <w:r>
              <w:rPr>
                <w:rFonts w:ascii="Times New Roman"/>
                <w:sz w:val="18"/>
                <w:szCs w:val="18"/>
              </w:rPr>
              <w:t>10℃～</w:t>
            </w:r>
            <w:r>
              <w:rPr>
                <w:rFonts w:hint="eastAsia" w:hAnsi="宋体" w:cs="宋体"/>
                <w:sz w:val="18"/>
                <w:szCs w:val="18"/>
              </w:rPr>
              <w:t>+</w:t>
            </w:r>
            <w:r>
              <w:rPr>
                <w:rFonts w:ascii="Times New Roman"/>
                <w:sz w:val="18"/>
                <w:szCs w:val="18"/>
              </w:rPr>
              <w:t>55℃</w:t>
            </w:r>
          </w:p>
        </w:tc>
        <w:tc>
          <w:tcPr>
            <w:tcW w:w="2906" w:type="dxa"/>
            <w:noWrap/>
            <w:vAlign w:val="center"/>
          </w:tcPr>
          <w:p>
            <w:pPr>
              <w:pStyle w:val="239"/>
              <w:ind w:firstLine="36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相对湿度</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5%-95%（装置内部既无凝露，也不结冰）</w:t>
            </w:r>
          </w:p>
        </w:tc>
        <w:tc>
          <w:tcPr>
            <w:tcW w:w="2906" w:type="dxa"/>
            <w:noWrap/>
            <w:vAlign w:val="center"/>
          </w:tcPr>
          <w:p>
            <w:pPr>
              <w:pStyle w:val="239"/>
              <w:ind w:firstLine="360"/>
              <w:jc w:val="center"/>
              <w:rPr>
                <w:rFonts w:ascii="Times New Roman"/>
                <w:sz w:val="18"/>
                <w:szCs w:val="18"/>
              </w:rPr>
            </w:pPr>
            <w:r>
              <w:rPr>
                <w:rFonts w:hint="eastAsia" w:hAnsi="宋体" w:cs="宋体"/>
                <w:sz w:val="18"/>
                <w:szCs w:val="18"/>
              </w:rPr>
              <w:t>≤</w:t>
            </w:r>
            <w:r>
              <w:rPr>
                <w:rFonts w:ascii="Times New Roman"/>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大气压力</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80kPa～</w:t>
            </w:r>
            <w:r>
              <w:rPr>
                <w:rFonts w:hint="eastAsia" w:ascii="Times New Roman"/>
                <w:sz w:val="18"/>
                <w:szCs w:val="18"/>
              </w:rPr>
              <w:t>110</w:t>
            </w:r>
            <w:r>
              <w:rPr>
                <w:rFonts w:ascii="Times New Roman"/>
                <w:sz w:val="18"/>
                <w:szCs w:val="18"/>
              </w:rPr>
              <w:t>kPa</w:t>
            </w:r>
          </w:p>
        </w:tc>
        <w:tc>
          <w:tcPr>
            <w:tcW w:w="2906" w:type="dxa"/>
            <w:noWrap/>
            <w:vAlign w:val="center"/>
          </w:tcPr>
          <w:p>
            <w:pPr>
              <w:pStyle w:val="239"/>
              <w:ind w:firstLine="36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海拔高度</w:t>
            </w:r>
          </w:p>
        </w:tc>
        <w:tc>
          <w:tcPr>
            <w:tcW w:w="3467" w:type="dxa"/>
            <w:noWrap/>
            <w:vAlign w:val="center"/>
          </w:tcPr>
          <w:p>
            <w:pPr>
              <w:pStyle w:val="239"/>
              <w:ind w:firstLine="0" w:firstLineChars="0"/>
              <w:jc w:val="center"/>
              <w:rPr>
                <w:rFonts w:ascii="Times New Roman"/>
                <w:sz w:val="18"/>
                <w:szCs w:val="18"/>
              </w:rPr>
            </w:pPr>
            <w:r>
              <w:rPr>
                <w:rFonts w:ascii="Times New Roman"/>
                <w:sz w:val="18"/>
                <w:szCs w:val="18"/>
              </w:rPr>
              <w:t>不超过1000m</w:t>
            </w:r>
          </w:p>
        </w:tc>
        <w:tc>
          <w:tcPr>
            <w:tcW w:w="2906" w:type="dxa"/>
            <w:noWrap/>
            <w:vAlign w:val="center"/>
          </w:tcPr>
          <w:p>
            <w:pPr>
              <w:pStyle w:val="239"/>
              <w:ind w:firstLine="36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输入交流电源电压</w:t>
            </w:r>
          </w:p>
        </w:tc>
        <w:tc>
          <w:tcPr>
            <w:tcW w:w="3467" w:type="dxa"/>
            <w:noWrap/>
            <w:vAlign w:val="center"/>
          </w:tcPr>
          <w:p>
            <w:pPr>
              <w:pStyle w:val="239"/>
              <w:ind w:firstLine="360"/>
              <w:jc w:val="center"/>
              <w:rPr>
                <w:rFonts w:ascii="Times New Roman"/>
                <w:sz w:val="18"/>
                <w:szCs w:val="18"/>
              </w:rPr>
            </w:pPr>
            <w:r>
              <w:rPr>
                <w:rFonts w:ascii="Times New Roman"/>
                <w:sz w:val="18"/>
                <w:szCs w:val="18"/>
              </w:rPr>
              <w:t>220V或380V</w:t>
            </w:r>
          </w:p>
        </w:tc>
        <w:tc>
          <w:tcPr>
            <w:tcW w:w="2906" w:type="dxa"/>
            <w:noWrap/>
            <w:vAlign w:val="center"/>
          </w:tcPr>
          <w:p>
            <w:pPr>
              <w:pStyle w:val="239"/>
              <w:ind w:firstLine="360"/>
              <w:jc w:val="center"/>
              <w:rPr>
                <w:rFonts w:ascii="Times New Roman"/>
                <w:sz w:val="18"/>
                <w:szCs w:val="18"/>
              </w:rPr>
            </w:pPr>
            <w:r>
              <w:rPr>
                <w:rFonts w:hint="eastAsia" w:hAnsi="宋体" w:cs="宋体"/>
                <w:sz w:val="18"/>
                <w:szCs w:val="18"/>
              </w:rPr>
              <w:t>-</w:t>
            </w:r>
            <w:r>
              <w:rPr>
                <w:rFonts w:ascii="Times New Roman"/>
                <w:sz w:val="18"/>
                <w:szCs w:val="18"/>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输入交流电源频率</w:t>
            </w:r>
          </w:p>
        </w:tc>
        <w:tc>
          <w:tcPr>
            <w:tcW w:w="3467" w:type="dxa"/>
            <w:noWrap/>
            <w:vAlign w:val="center"/>
          </w:tcPr>
          <w:p>
            <w:pPr>
              <w:pStyle w:val="239"/>
              <w:ind w:firstLine="360"/>
              <w:jc w:val="center"/>
              <w:rPr>
                <w:rFonts w:ascii="Times New Roman"/>
                <w:sz w:val="18"/>
                <w:szCs w:val="18"/>
              </w:rPr>
            </w:pPr>
            <w:r>
              <w:rPr>
                <w:rFonts w:ascii="Times New Roman"/>
                <w:sz w:val="18"/>
                <w:szCs w:val="18"/>
              </w:rPr>
              <w:t>50Hz</w:t>
            </w:r>
          </w:p>
        </w:tc>
        <w:tc>
          <w:tcPr>
            <w:tcW w:w="2906" w:type="dxa"/>
            <w:noWrap/>
            <w:vAlign w:val="center"/>
          </w:tcPr>
          <w:p>
            <w:pPr>
              <w:pStyle w:val="239"/>
              <w:ind w:firstLine="360"/>
              <w:jc w:val="center"/>
              <w:rPr>
                <w:rFonts w:ascii="Times New Roman"/>
                <w:sz w:val="18"/>
                <w:szCs w:val="18"/>
              </w:rPr>
            </w:pPr>
            <w:r>
              <w:rPr>
                <w:rFonts w:hint="eastAsia" w:hAnsi="宋体" w:cs="宋体"/>
                <w:sz w:val="18"/>
                <w:szCs w:val="18"/>
              </w:rPr>
              <w:t>±</w:t>
            </w:r>
            <w:r>
              <w:rPr>
                <w:rFonts w:ascii="Times New Roman"/>
                <w:sz w:val="18"/>
                <w:szCs w:val="18"/>
              </w:rPr>
              <w:t>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noWrap/>
            <w:vAlign w:val="center"/>
          </w:tcPr>
          <w:p>
            <w:pPr>
              <w:pStyle w:val="239"/>
              <w:ind w:firstLine="360"/>
              <w:jc w:val="center"/>
              <w:rPr>
                <w:rFonts w:ascii="Times New Roman"/>
                <w:sz w:val="18"/>
                <w:szCs w:val="18"/>
              </w:rPr>
            </w:pPr>
            <w:r>
              <w:rPr>
                <w:rFonts w:ascii="Times New Roman"/>
                <w:sz w:val="18"/>
                <w:szCs w:val="18"/>
              </w:rPr>
              <w:t>输入交流电源波形</w:t>
            </w:r>
          </w:p>
        </w:tc>
        <w:tc>
          <w:tcPr>
            <w:tcW w:w="3467" w:type="dxa"/>
            <w:noWrap/>
            <w:vAlign w:val="center"/>
          </w:tcPr>
          <w:p>
            <w:pPr>
              <w:pStyle w:val="239"/>
              <w:ind w:firstLine="360"/>
              <w:jc w:val="center"/>
              <w:rPr>
                <w:rFonts w:ascii="Times New Roman"/>
                <w:sz w:val="18"/>
                <w:szCs w:val="18"/>
              </w:rPr>
            </w:pPr>
            <w:r>
              <w:rPr>
                <w:rFonts w:ascii="Times New Roman"/>
                <w:sz w:val="18"/>
                <w:szCs w:val="18"/>
              </w:rPr>
              <w:t>正弦波</w:t>
            </w:r>
          </w:p>
        </w:tc>
        <w:tc>
          <w:tcPr>
            <w:tcW w:w="2906" w:type="dxa"/>
            <w:noWrap/>
            <w:vAlign w:val="center"/>
          </w:tcPr>
          <w:p>
            <w:pPr>
              <w:pStyle w:val="239"/>
              <w:ind w:firstLine="360"/>
              <w:jc w:val="center"/>
              <w:rPr>
                <w:rFonts w:hAnsi="宋体" w:cs="宋体"/>
                <w:sz w:val="18"/>
                <w:szCs w:val="18"/>
              </w:rPr>
            </w:pPr>
            <w:r>
              <w:rPr>
                <w:rFonts w:hint="eastAsia" w:hAnsi="宋体" w:cs="宋体"/>
                <w:sz w:val="18"/>
                <w:szCs w:val="18"/>
              </w:rPr>
              <w:t>总谐波失真系数≤5%</w:t>
            </w:r>
          </w:p>
        </w:tc>
      </w:tr>
    </w:tbl>
    <w:p>
      <w:pPr>
        <w:pStyle w:val="239"/>
        <w:ind w:left="420" w:firstLine="0" w:firstLineChars="0"/>
        <w:rPr>
          <w:rFonts w:ascii="Times New Roman"/>
        </w:rPr>
      </w:pPr>
      <w:r>
        <w:rPr>
          <w:rFonts w:hint="eastAsia" w:ascii="Times New Roman"/>
        </w:rPr>
        <w:t>如工作环境条件超出上述规定，应经供需双方商定，进行特殊设计制造。</w:t>
      </w:r>
    </w:p>
    <w:p>
      <w:pPr>
        <w:pStyle w:val="241"/>
        <w:spacing w:before="156" w:after="156"/>
        <w:outlineLvl w:val="1"/>
        <w:rPr>
          <w:color w:val="000000" w:themeColor="text1"/>
        </w:rPr>
      </w:pPr>
      <w:bookmarkStart w:id="38" w:name="_Toc199104900"/>
      <w:bookmarkStart w:id="39" w:name="_Toc197938270"/>
      <w:r>
        <w:rPr>
          <w:rFonts w:hint="eastAsia"/>
          <w:color w:val="000000" w:themeColor="text1"/>
        </w:rPr>
        <w:t>一般</w:t>
      </w:r>
      <w:r>
        <w:rPr>
          <w:color w:val="000000" w:themeColor="text1"/>
        </w:rPr>
        <w:t>要求</w:t>
      </w:r>
      <w:bookmarkEnd w:id="38"/>
      <w:bookmarkEnd w:id="39"/>
    </w:p>
    <w:p>
      <w:pPr>
        <w:pStyle w:val="242"/>
        <w:spacing w:beforeLines="0" w:afterLines="0"/>
        <w:rPr>
          <w:rFonts w:ascii="宋体" w:hAnsi="宋体" w:eastAsia="宋体" w:cs="宋体"/>
        </w:rPr>
      </w:pPr>
      <w:bookmarkStart w:id="40" w:name="_Toc197938271"/>
      <w:bookmarkStart w:id="41" w:name="_Toc199104901"/>
      <w:r>
        <w:rPr>
          <w:rFonts w:hint="eastAsia" w:ascii="宋体" w:hAnsi="宋体" w:eastAsia="宋体" w:cs="宋体"/>
        </w:rPr>
        <w:t>向量检查装置在满足本文件规定的功能和性能的前提下，宜尽量集成化和轻便化，提高现场使用的便捷性。</w:t>
      </w:r>
    </w:p>
    <w:p>
      <w:pPr>
        <w:pStyle w:val="242"/>
        <w:spacing w:beforeLines="0" w:afterLines="0"/>
        <w:rPr>
          <w:rFonts w:ascii="宋体" w:hAnsi="宋体" w:eastAsia="宋体" w:cs="宋体"/>
        </w:rPr>
      </w:pPr>
      <w:r>
        <w:rPr>
          <w:rFonts w:hint="eastAsia" w:ascii="宋体" w:hAnsi="宋体" w:eastAsia="宋体" w:cs="宋体"/>
        </w:rPr>
        <w:t>向量检查装置应结构完好，其外壳应有良好的表面处理，外观无明显机械损伤及涂层破坏痕迹，耐久不易磨失、锈蚀。面板各图形、标志和符号准确、清晰。各控制部件安装正确、牢固可靠、操作灵活，散热器等器件布局合理，方便操作。</w:t>
      </w:r>
    </w:p>
    <w:p>
      <w:pPr>
        <w:pStyle w:val="242"/>
        <w:spacing w:beforeLines="0" w:afterLines="0"/>
        <w:rPr>
          <w:rFonts w:ascii="宋体" w:hAnsi="宋体" w:eastAsia="宋体" w:cs="宋体"/>
        </w:rPr>
      </w:pPr>
      <w:r>
        <w:rPr>
          <w:rFonts w:hint="eastAsia" w:ascii="宋体" w:hAnsi="宋体" w:eastAsia="宋体" w:cs="宋体"/>
        </w:rPr>
        <w:t>额定工作条件下，外界温度和供电电源等变化应不影响向量检查装置的技术指标。</w:t>
      </w:r>
    </w:p>
    <w:p>
      <w:pPr>
        <w:pStyle w:val="242"/>
        <w:spacing w:beforeLines="0" w:afterLines="0"/>
        <w:rPr>
          <w:rFonts w:ascii="宋体" w:hAnsi="宋体" w:eastAsia="宋体" w:cs="宋体"/>
        </w:rPr>
      </w:pPr>
      <w:r>
        <w:rPr>
          <w:rFonts w:hint="eastAsia" w:ascii="宋体" w:hAnsi="宋体" w:eastAsia="宋体" w:cs="宋体"/>
        </w:rPr>
        <w:t>交流向量检查装置具备三相交流电压或三相交流电流输出的能力，每相电压源、电流源应为独立的回路，且其幅值、相位、频率应能连续可调。</w:t>
      </w:r>
    </w:p>
    <w:p>
      <w:pPr>
        <w:pStyle w:val="242"/>
        <w:spacing w:beforeLines="0" w:afterLines="0"/>
        <w:rPr>
          <w:rFonts w:ascii="宋体" w:hAnsi="宋体" w:eastAsia="宋体" w:cs="宋体"/>
        </w:rPr>
      </w:pPr>
      <w:r>
        <w:rPr>
          <w:rFonts w:hint="eastAsia" w:ascii="宋体" w:hAnsi="宋体" w:eastAsia="宋体" w:cs="宋体"/>
        </w:rPr>
        <w:t>向量检查装置每相</w:t>
      </w:r>
      <w:r>
        <w:rPr>
          <w:rFonts w:ascii="宋体" w:hAnsi="宋体" w:eastAsia="宋体" w:cs="宋体"/>
        </w:rPr>
        <w:t>输出的一次</w:t>
      </w:r>
      <w:r>
        <w:rPr>
          <w:rFonts w:hint="eastAsia" w:ascii="宋体" w:hAnsi="宋体" w:eastAsia="宋体" w:cs="宋体"/>
        </w:rPr>
        <w:t>试验</w:t>
      </w:r>
      <w:r>
        <w:rPr>
          <w:rFonts w:ascii="宋体" w:hAnsi="宋体" w:eastAsia="宋体" w:cs="宋体"/>
        </w:rPr>
        <w:t>电流折算至电流互感器二次侧的有效值应</w:t>
      </w:r>
      <w:r>
        <w:rPr>
          <w:rFonts w:hint="eastAsia" w:ascii="宋体" w:hAnsi="宋体" w:eastAsia="宋体" w:cs="宋体"/>
        </w:rPr>
        <w:t>大于</w:t>
      </w:r>
      <w:r>
        <w:rPr>
          <w:rFonts w:ascii="宋体" w:hAnsi="宋体" w:eastAsia="宋体" w:cs="宋体"/>
        </w:rPr>
        <w:t>继电保护装置的</w:t>
      </w:r>
      <w:r>
        <w:rPr>
          <w:rFonts w:hint="eastAsia" w:ascii="宋体" w:hAnsi="宋体" w:eastAsia="宋体" w:cs="宋体"/>
        </w:rPr>
        <w:t>最小采样精度，不应低于</w:t>
      </w:r>
      <w:r>
        <w:rPr>
          <w:rFonts w:ascii="Times New Roman" w:hAnsi="Times New Roman" w:eastAsia="宋体"/>
        </w:rPr>
        <w:t>0.05</w:t>
      </w:r>
      <w:r>
        <w:rPr>
          <w:rFonts w:ascii="Times New Roman" w:hAnsi="Times New Roman" w:eastAsia="宋体"/>
          <w:i/>
        </w:rPr>
        <w:t>I</w:t>
      </w:r>
      <w:r>
        <w:rPr>
          <w:rFonts w:ascii="Times New Roman" w:hAnsi="Times New Roman" w:eastAsia="宋体"/>
          <w:vertAlign w:val="subscript"/>
        </w:rPr>
        <w:t>N</w:t>
      </w:r>
      <w:r>
        <w:rPr>
          <w:rFonts w:ascii="Times New Roman" w:hAnsi="宋体" w:eastAsia="宋体"/>
        </w:rPr>
        <w:t>（</w:t>
      </w:r>
      <w:r>
        <w:rPr>
          <w:rFonts w:ascii="Times New Roman" w:hAnsi="Times New Roman" w:eastAsia="宋体"/>
          <w:i/>
        </w:rPr>
        <w:t>I</w:t>
      </w:r>
      <w:r>
        <w:rPr>
          <w:rFonts w:ascii="Times New Roman" w:hAnsi="Times New Roman" w:eastAsia="宋体"/>
          <w:vertAlign w:val="subscript"/>
        </w:rPr>
        <w:t>N</w:t>
      </w:r>
      <w:r>
        <w:rPr>
          <w:rFonts w:hint="eastAsia" w:ascii="宋体" w:hAnsi="宋体" w:eastAsia="宋体" w:cs="宋体"/>
        </w:rPr>
        <w:t>为被试设备电流互感器二次额定值）</w:t>
      </w:r>
      <w:r>
        <w:rPr>
          <w:rFonts w:ascii="宋体" w:hAnsi="宋体" w:eastAsia="宋体" w:cs="宋体"/>
        </w:rPr>
        <w:t>。</w:t>
      </w:r>
    </w:p>
    <w:p>
      <w:pPr>
        <w:pStyle w:val="242"/>
        <w:spacing w:beforeLines="0" w:afterLines="0"/>
        <w:rPr>
          <w:rFonts w:ascii="宋体" w:hAnsi="宋体" w:eastAsia="宋体" w:cs="宋体"/>
        </w:rPr>
      </w:pPr>
      <w:r>
        <w:rPr>
          <w:rFonts w:hint="eastAsia" w:ascii="宋体" w:hAnsi="宋体" w:eastAsia="宋体" w:cs="宋体"/>
        </w:rPr>
        <w:t>向量检查装置每相</w:t>
      </w:r>
      <w:r>
        <w:rPr>
          <w:rFonts w:ascii="宋体" w:hAnsi="宋体" w:eastAsia="宋体" w:cs="宋体"/>
        </w:rPr>
        <w:t>输出的一次</w:t>
      </w:r>
      <w:r>
        <w:rPr>
          <w:rFonts w:hint="eastAsia" w:ascii="宋体" w:hAnsi="宋体" w:eastAsia="宋体" w:cs="宋体"/>
        </w:rPr>
        <w:t>试验电压</w:t>
      </w:r>
      <w:r>
        <w:rPr>
          <w:rFonts w:ascii="宋体" w:hAnsi="宋体" w:eastAsia="宋体" w:cs="宋体"/>
        </w:rPr>
        <w:t>折算至电压互感器二次侧的有效值应</w:t>
      </w:r>
      <w:r>
        <w:rPr>
          <w:rFonts w:hint="eastAsia" w:ascii="宋体" w:hAnsi="宋体" w:eastAsia="宋体" w:cs="宋体"/>
        </w:rPr>
        <w:t>大于</w:t>
      </w:r>
      <w:r>
        <w:rPr>
          <w:rFonts w:ascii="宋体" w:hAnsi="宋体" w:eastAsia="宋体" w:cs="宋体"/>
        </w:rPr>
        <w:t>继电保护装置的</w:t>
      </w:r>
      <w:r>
        <w:rPr>
          <w:rFonts w:hint="eastAsia" w:ascii="宋体" w:hAnsi="宋体" w:eastAsia="宋体" w:cs="宋体"/>
        </w:rPr>
        <w:t>最小采样精度，不应低于</w:t>
      </w:r>
      <w:r>
        <w:rPr>
          <w:rFonts w:ascii="Times New Roman" w:hAnsi="Times New Roman" w:eastAsia="宋体"/>
        </w:rPr>
        <w:t>0.0</w:t>
      </w:r>
      <w:r>
        <w:rPr>
          <w:rFonts w:hint="eastAsia" w:ascii="Times New Roman" w:hAnsi="Times New Roman" w:eastAsia="宋体"/>
        </w:rPr>
        <w:t>1</w:t>
      </w:r>
      <w:r>
        <w:rPr>
          <w:rFonts w:hint="eastAsia" w:ascii="Times New Roman" w:hAnsi="Times New Roman" w:eastAsia="宋体"/>
          <w:i/>
        </w:rPr>
        <w:t>U</w:t>
      </w:r>
      <w:r>
        <w:rPr>
          <w:rFonts w:ascii="Times New Roman" w:hAnsi="Times New Roman" w:eastAsia="宋体"/>
          <w:vertAlign w:val="subscript"/>
        </w:rPr>
        <w:t>N</w:t>
      </w:r>
      <w:r>
        <w:rPr>
          <w:rFonts w:ascii="Times New Roman" w:hAnsi="宋体" w:eastAsia="宋体"/>
        </w:rPr>
        <w:t>（</w:t>
      </w:r>
      <w:r>
        <w:rPr>
          <w:rFonts w:hint="eastAsia" w:ascii="Times New Roman" w:hAnsi="Times New Roman" w:eastAsia="宋体"/>
          <w:i/>
        </w:rPr>
        <w:t>U</w:t>
      </w:r>
      <w:r>
        <w:rPr>
          <w:rFonts w:ascii="Times New Roman" w:hAnsi="Times New Roman" w:eastAsia="宋体"/>
          <w:vertAlign w:val="subscript"/>
        </w:rPr>
        <w:t>N</w:t>
      </w:r>
      <w:r>
        <w:rPr>
          <w:rFonts w:hint="eastAsia" w:ascii="宋体" w:hAnsi="宋体" w:eastAsia="宋体" w:cs="宋体"/>
        </w:rPr>
        <w:t>为被试设备电压互感器二次额定值）</w:t>
      </w:r>
      <w:r>
        <w:rPr>
          <w:rFonts w:ascii="宋体" w:hAnsi="宋体" w:eastAsia="宋体" w:cs="宋体"/>
        </w:rPr>
        <w:t>。</w:t>
      </w:r>
    </w:p>
    <w:p>
      <w:pPr>
        <w:pStyle w:val="242"/>
        <w:spacing w:beforeLines="0" w:afterLines="0"/>
        <w:rPr>
          <w:rFonts w:ascii="宋体" w:hAnsi="宋体" w:eastAsia="宋体" w:cs="宋体"/>
        </w:rPr>
      </w:pPr>
      <w:r>
        <w:rPr>
          <w:rFonts w:hint="eastAsia" w:ascii="宋体" w:hAnsi="宋体" w:eastAsia="宋体" w:cs="宋体"/>
        </w:rPr>
        <w:t>非同源交流向量检查装置应具备多机输出同步控制接口，多机输出同步控制可采用参考电压、卫星、无线或有线信号等方式实现。</w:t>
      </w:r>
    </w:p>
    <w:p>
      <w:pPr>
        <w:pStyle w:val="242"/>
        <w:spacing w:beforeLines="0" w:afterLines="0"/>
        <w:rPr>
          <w:rFonts w:ascii="宋体" w:hAnsi="宋体" w:eastAsia="宋体" w:cs="宋体"/>
        </w:rPr>
      </w:pPr>
      <w:r>
        <w:rPr>
          <w:rFonts w:hint="eastAsia" w:ascii="宋体" w:hAnsi="宋体" w:eastAsia="宋体" w:cs="宋体"/>
        </w:rPr>
        <w:t>开关机过程中，向量检查装置的电压、电流输出不应产生冲击输出。</w:t>
      </w:r>
    </w:p>
    <w:p>
      <w:pPr>
        <w:pStyle w:val="242"/>
        <w:spacing w:beforeLines="0" w:afterLines="0"/>
        <w:rPr>
          <w:rFonts w:ascii="宋体" w:hAnsi="宋体" w:eastAsia="宋体" w:cs="宋体"/>
        </w:rPr>
      </w:pPr>
      <w:r>
        <w:rPr>
          <w:rFonts w:hint="eastAsia" w:ascii="宋体" w:hAnsi="宋体" w:eastAsia="宋体" w:cs="宋体"/>
        </w:rPr>
        <w:t>向量检查装置上电后，未输出和已输出状态均应有明显指示。</w:t>
      </w:r>
    </w:p>
    <w:p>
      <w:pPr>
        <w:pStyle w:val="242"/>
        <w:spacing w:beforeLines="0" w:afterLines="0"/>
        <w:rPr>
          <w:rFonts w:ascii="宋体" w:hAnsi="宋体" w:eastAsia="宋体" w:cs="宋体"/>
        </w:rPr>
      </w:pPr>
      <w:r>
        <w:rPr>
          <w:rFonts w:hint="eastAsia" w:ascii="宋体" w:hAnsi="宋体" w:eastAsia="宋体" w:cs="宋体"/>
        </w:rPr>
        <w:t>向量检查装置应当具有完备的自保护功能及报警功能。在使用过程中，向量检查装置如果发生过热、过电流、短路、开路等异常现象，则应立即自动停止输出并明确报警信息，不应对装置自身和被试设备造成危害。</w:t>
      </w:r>
    </w:p>
    <w:p>
      <w:pPr>
        <w:pStyle w:val="242"/>
        <w:spacing w:beforeLines="0" w:afterLines="0"/>
        <w:rPr>
          <w:rFonts w:ascii="宋体" w:hAnsi="宋体" w:eastAsia="宋体" w:cs="宋体"/>
        </w:rPr>
      </w:pPr>
      <w:r>
        <w:rPr>
          <w:rFonts w:hint="eastAsia" w:ascii="宋体" w:hAnsi="宋体" w:eastAsia="宋体" w:cs="宋体"/>
        </w:rPr>
        <w:t>向量检查装置应具备紧急停止按钮。</w:t>
      </w:r>
    </w:p>
    <w:p>
      <w:pPr>
        <w:pStyle w:val="241"/>
        <w:spacing w:before="156" w:after="156"/>
        <w:outlineLvl w:val="1"/>
        <w:rPr>
          <w:rFonts w:ascii="Times New Roman"/>
        </w:rPr>
      </w:pPr>
      <w:r>
        <w:rPr>
          <w:rFonts w:hint="eastAsia" w:ascii="Times New Roman"/>
        </w:rPr>
        <w:t>技术指标</w:t>
      </w:r>
      <w:bookmarkEnd w:id="40"/>
      <w:bookmarkEnd w:id="41"/>
    </w:p>
    <w:p>
      <w:pPr>
        <w:pStyle w:val="242"/>
        <w:spacing w:before="156" w:after="156"/>
        <w:outlineLvl w:val="2"/>
        <w:rPr>
          <w:rFonts w:ascii="Times New Roman"/>
        </w:rPr>
      </w:pPr>
      <w:bookmarkStart w:id="42" w:name="_Toc199104902"/>
      <w:r>
        <w:rPr>
          <w:rFonts w:ascii="Times New Roman"/>
        </w:rPr>
        <w:t>非同源</w:t>
      </w:r>
      <w:r>
        <w:rPr>
          <w:rFonts w:hint="eastAsia" w:ascii="Times New Roman"/>
        </w:rPr>
        <w:t>交流</w:t>
      </w:r>
      <w:r>
        <w:rPr>
          <w:rFonts w:ascii="Times New Roman"/>
        </w:rPr>
        <w:t>向量检查装置</w:t>
      </w:r>
      <w:bookmarkEnd w:id="42"/>
    </w:p>
    <w:p>
      <w:pPr>
        <w:pStyle w:val="239"/>
        <w:ind w:firstLine="0" w:firstLineChars="0"/>
        <w:rPr>
          <w:rFonts w:ascii="Times New Roman"/>
        </w:rPr>
      </w:pPr>
      <w:r>
        <w:rPr>
          <w:rFonts w:hint="eastAsia" w:ascii="黑体" w:hAnsi="黑体" w:eastAsia="黑体" w:cs="黑体"/>
        </w:rPr>
        <w:t xml:space="preserve">4.4.1.1 </w:t>
      </w:r>
      <w:r>
        <w:rPr>
          <w:rFonts w:ascii="Times New Roman"/>
        </w:rPr>
        <w:t>非同源向量检查装置交流电流输出</w:t>
      </w:r>
      <w:r>
        <w:rPr>
          <w:rFonts w:hint="eastAsia" w:ascii="Times New Roman"/>
        </w:rPr>
        <w:t>应</w:t>
      </w:r>
      <w:r>
        <w:rPr>
          <w:rFonts w:ascii="Times New Roman"/>
        </w:rPr>
        <w:t>满足以下要求：</w:t>
      </w:r>
    </w:p>
    <w:p>
      <w:pPr>
        <w:pStyle w:val="346"/>
        <w:numPr>
          <w:ilvl w:val="0"/>
          <w:numId w:val="29"/>
        </w:numPr>
        <w:autoSpaceDE w:val="0"/>
        <w:autoSpaceDN w:val="0"/>
        <w:adjustRightInd w:val="0"/>
        <w:ind w:firstLineChars="0"/>
        <w:jc w:val="left"/>
        <w:rPr>
          <w:rFonts w:eastAsiaTheme="minorEastAsia"/>
          <w:szCs w:val="21"/>
        </w:rPr>
      </w:pPr>
      <w:r>
        <w:rPr>
          <w:rFonts w:hint="eastAsia" w:asciiTheme="minorEastAsia" w:hAnsiTheme="minorEastAsia" w:eastAsiaTheme="minorEastAsia"/>
          <w:szCs w:val="21"/>
        </w:rPr>
        <w:t>每相最大有效值不宜小</w:t>
      </w:r>
      <w:r>
        <w:rPr>
          <w:rFonts w:hAnsiTheme="minorEastAsia" w:eastAsiaTheme="minorEastAsia"/>
          <w:szCs w:val="21"/>
        </w:rPr>
        <w:t>于</w:t>
      </w:r>
      <w:r>
        <w:rPr>
          <w:rFonts w:eastAsiaTheme="minorEastAsia"/>
          <w:szCs w:val="21"/>
        </w:rPr>
        <w:t>300A</w:t>
      </w:r>
      <w:r>
        <w:rPr>
          <w:rFonts w:hAnsiTheme="minorEastAsia" w:eastAsiaTheme="minorEastAsia"/>
          <w:szCs w:val="21"/>
        </w:rPr>
        <w:t>；</w:t>
      </w:r>
    </w:p>
    <w:p>
      <w:pPr>
        <w:pStyle w:val="346"/>
        <w:numPr>
          <w:ilvl w:val="0"/>
          <w:numId w:val="29"/>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29"/>
        </w:numPr>
        <w:autoSpaceDE w:val="0"/>
        <w:autoSpaceDN w:val="0"/>
        <w:adjustRightInd w:val="0"/>
        <w:ind w:firstLineChars="0"/>
        <w:jc w:val="left"/>
        <w:rPr>
          <w:rFonts w:eastAsiaTheme="minorEastAsia"/>
          <w:szCs w:val="21"/>
        </w:rPr>
      </w:pPr>
      <w:r>
        <w:rPr>
          <w:rFonts w:hAnsiTheme="minorEastAsia" w:eastAsiaTheme="minorEastAsia"/>
          <w:szCs w:val="21"/>
        </w:rPr>
        <w:t>频率</w:t>
      </w:r>
      <w:r>
        <w:rPr>
          <w:rFonts w:eastAsiaTheme="minorEastAsia"/>
          <w:szCs w:val="21"/>
        </w:rPr>
        <w:t>50Hz</w:t>
      </w:r>
      <w:r>
        <w:rPr>
          <w:rFonts w:hAnsiTheme="minorEastAsia" w:eastAsiaTheme="minorEastAsia"/>
          <w:szCs w:val="21"/>
        </w:rPr>
        <w:t>，偏差不大于</w:t>
      </w:r>
      <w:r>
        <w:rPr>
          <w:rFonts w:asciiTheme="minorEastAsia" w:hAnsiTheme="minorEastAsia" w:eastAsiaTheme="minorEastAsia"/>
          <w:szCs w:val="21"/>
        </w:rPr>
        <w:t>±</w:t>
      </w:r>
      <w:r>
        <w:rPr>
          <w:rFonts w:eastAsiaTheme="minorEastAsia"/>
          <w:szCs w:val="21"/>
        </w:rPr>
        <w:t>0.1Hz</w:t>
      </w:r>
      <w:r>
        <w:rPr>
          <w:rFonts w:hAnsiTheme="minorEastAsia" w:eastAsiaTheme="minorEastAsia"/>
          <w:szCs w:val="21"/>
        </w:rPr>
        <w:t>；</w:t>
      </w:r>
    </w:p>
    <w:p>
      <w:pPr>
        <w:pStyle w:val="346"/>
        <w:numPr>
          <w:ilvl w:val="0"/>
          <w:numId w:val="29"/>
        </w:numPr>
        <w:autoSpaceDE w:val="0"/>
        <w:autoSpaceDN w:val="0"/>
        <w:adjustRightInd w:val="0"/>
        <w:ind w:firstLineChars="0"/>
        <w:jc w:val="left"/>
        <w:rPr>
          <w:rFonts w:eastAsiaTheme="minorEastAsia"/>
          <w:szCs w:val="21"/>
        </w:rPr>
      </w:pPr>
      <w:r>
        <w:rPr>
          <w:rFonts w:hAnsiTheme="minorEastAsia" w:eastAsiaTheme="minorEastAsia"/>
          <w:szCs w:val="21"/>
        </w:rPr>
        <w:t>相位控制范围：</w:t>
      </w:r>
      <w:r>
        <w:rPr>
          <w:rFonts w:eastAsiaTheme="minorEastAsia"/>
          <w:szCs w:val="21"/>
        </w:rPr>
        <w:t>0°~ 360°</w:t>
      </w:r>
      <w:r>
        <w:rPr>
          <w:rFonts w:hAnsiTheme="minorEastAsia" w:eastAsiaTheme="minorEastAsia"/>
          <w:szCs w:val="21"/>
        </w:rPr>
        <w:t>；</w:t>
      </w:r>
    </w:p>
    <w:p>
      <w:pPr>
        <w:pStyle w:val="346"/>
        <w:numPr>
          <w:ilvl w:val="0"/>
          <w:numId w:val="29"/>
        </w:numPr>
        <w:autoSpaceDE w:val="0"/>
        <w:autoSpaceDN w:val="0"/>
        <w:adjustRightInd w:val="0"/>
        <w:ind w:firstLineChars="0"/>
        <w:jc w:val="left"/>
        <w:rPr>
          <w:rFonts w:eastAsiaTheme="minorEastAsia"/>
          <w:szCs w:val="21"/>
        </w:rPr>
      </w:pPr>
      <w:r>
        <w:rPr>
          <w:rFonts w:hAnsiTheme="minorEastAsia" w:eastAsiaTheme="minorEastAsia"/>
          <w:szCs w:val="21"/>
        </w:rPr>
        <w:t>各通道相位误差不大于</w:t>
      </w:r>
      <w:r>
        <w:rPr>
          <w:rFonts w:asciiTheme="minorEastAsia" w:hAnsiTheme="minorEastAsia" w:eastAsiaTheme="minorEastAsia"/>
          <w:szCs w:val="21"/>
        </w:rPr>
        <w:t>±</w:t>
      </w:r>
      <w:r>
        <w:rPr>
          <w:rFonts w:eastAsiaTheme="minorEastAsia"/>
          <w:szCs w:val="21"/>
        </w:rPr>
        <w:t>3°</w:t>
      </w:r>
      <w:r>
        <w:rPr>
          <w:rFonts w:hAnsiTheme="minorEastAsia" w:eastAsiaTheme="minorEastAsia"/>
          <w:szCs w:val="21"/>
        </w:rPr>
        <w:t>。</w:t>
      </w:r>
    </w:p>
    <w:p>
      <w:pPr>
        <w:pStyle w:val="239"/>
        <w:ind w:firstLine="0" w:firstLineChars="0"/>
        <w:rPr>
          <w:rFonts w:ascii="Times New Roman"/>
        </w:rPr>
      </w:pPr>
      <w:r>
        <w:rPr>
          <w:rFonts w:hint="eastAsia" w:ascii="黑体" w:hAnsi="黑体" w:eastAsia="黑体" w:cs="黑体"/>
        </w:rPr>
        <w:t xml:space="preserve">4.4.1.2 </w:t>
      </w:r>
      <w:r>
        <w:rPr>
          <w:rFonts w:ascii="Times New Roman"/>
        </w:rPr>
        <w:t>非同源向量检查装置交流电压输出</w:t>
      </w:r>
      <w:r>
        <w:rPr>
          <w:rFonts w:hint="eastAsia" w:ascii="Times New Roman"/>
        </w:rPr>
        <w:t>应</w:t>
      </w:r>
      <w:r>
        <w:rPr>
          <w:rFonts w:ascii="Times New Roman"/>
        </w:rPr>
        <w:t>满足以下要求：</w:t>
      </w:r>
    </w:p>
    <w:p>
      <w:pPr>
        <w:pStyle w:val="229"/>
        <w:ind w:firstLine="420" w:firstLineChars="200"/>
      </w:pPr>
      <w:r>
        <w:t>220kV及以下电压等级的非同源向量检查装置交流电压输出满足以下要求：</w:t>
      </w:r>
    </w:p>
    <w:p>
      <w:pPr>
        <w:pStyle w:val="346"/>
        <w:numPr>
          <w:ilvl w:val="0"/>
          <w:numId w:val="30"/>
        </w:numPr>
        <w:autoSpaceDE w:val="0"/>
        <w:autoSpaceDN w:val="0"/>
        <w:adjustRightInd w:val="0"/>
        <w:ind w:firstLineChars="0"/>
        <w:jc w:val="left"/>
        <w:rPr>
          <w:rFonts w:eastAsiaTheme="minorEastAsia"/>
          <w:szCs w:val="21"/>
        </w:rPr>
      </w:pPr>
      <w:r>
        <w:rPr>
          <w:rFonts w:hAnsiTheme="minorEastAsia" w:eastAsiaTheme="minorEastAsia"/>
          <w:szCs w:val="21"/>
        </w:rPr>
        <w:t>每相最大有效值不宜小于</w:t>
      </w:r>
      <w:r>
        <w:rPr>
          <w:rFonts w:eastAsiaTheme="minorEastAsia"/>
          <w:szCs w:val="21"/>
        </w:rPr>
        <w:t>2.2kV</w:t>
      </w:r>
      <w:r>
        <w:rPr>
          <w:rFonts w:hAnsiTheme="minorEastAsia" w:eastAsiaTheme="minorEastAsia"/>
          <w:szCs w:val="21"/>
        </w:rPr>
        <w:t>；</w:t>
      </w:r>
    </w:p>
    <w:p>
      <w:pPr>
        <w:pStyle w:val="346"/>
        <w:numPr>
          <w:ilvl w:val="0"/>
          <w:numId w:val="30"/>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0"/>
        </w:numPr>
        <w:autoSpaceDE w:val="0"/>
        <w:autoSpaceDN w:val="0"/>
        <w:adjustRightInd w:val="0"/>
        <w:ind w:firstLineChars="0"/>
        <w:jc w:val="left"/>
        <w:rPr>
          <w:rFonts w:eastAsiaTheme="minorEastAsia"/>
          <w:szCs w:val="21"/>
        </w:rPr>
      </w:pPr>
      <w:r>
        <w:rPr>
          <w:rFonts w:hAnsiTheme="minorEastAsia" w:eastAsiaTheme="minorEastAsia"/>
          <w:szCs w:val="21"/>
        </w:rPr>
        <w:t>频率</w:t>
      </w:r>
      <w:r>
        <w:rPr>
          <w:rFonts w:eastAsiaTheme="minorEastAsia"/>
          <w:szCs w:val="21"/>
        </w:rPr>
        <w:t>50Hz</w:t>
      </w:r>
      <w:r>
        <w:rPr>
          <w:rFonts w:hAnsiTheme="minorEastAsia" w:eastAsiaTheme="minorEastAsia"/>
          <w:szCs w:val="21"/>
        </w:rPr>
        <w:t>，偏差不大于</w:t>
      </w:r>
      <w:r>
        <w:rPr>
          <w:rFonts w:asciiTheme="minorEastAsia" w:hAnsiTheme="minorEastAsia" w:eastAsiaTheme="minorEastAsia"/>
          <w:szCs w:val="21"/>
        </w:rPr>
        <w:t>±</w:t>
      </w:r>
      <w:r>
        <w:rPr>
          <w:rFonts w:eastAsiaTheme="minorEastAsia"/>
          <w:szCs w:val="21"/>
        </w:rPr>
        <w:t>0.1Hz</w:t>
      </w:r>
      <w:r>
        <w:rPr>
          <w:rFonts w:hAnsiTheme="minorEastAsia" w:eastAsiaTheme="minorEastAsia"/>
          <w:szCs w:val="21"/>
        </w:rPr>
        <w:t>；</w:t>
      </w:r>
    </w:p>
    <w:p>
      <w:pPr>
        <w:pStyle w:val="346"/>
        <w:numPr>
          <w:ilvl w:val="0"/>
          <w:numId w:val="30"/>
        </w:numPr>
        <w:autoSpaceDE w:val="0"/>
        <w:autoSpaceDN w:val="0"/>
        <w:adjustRightInd w:val="0"/>
        <w:ind w:firstLineChars="0"/>
        <w:jc w:val="left"/>
        <w:rPr>
          <w:rFonts w:eastAsiaTheme="minorEastAsia"/>
          <w:szCs w:val="21"/>
        </w:rPr>
      </w:pPr>
      <w:r>
        <w:rPr>
          <w:rFonts w:hAnsiTheme="minorEastAsia" w:eastAsiaTheme="minorEastAsia"/>
          <w:szCs w:val="21"/>
        </w:rPr>
        <w:t>相位控制范围：</w:t>
      </w:r>
      <w:r>
        <w:rPr>
          <w:rFonts w:eastAsiaTheme="minorEastAsia"/>
          <w:szCs w:val="21"/>
        </w:rPr>
        <w:t>0°~ 360°</w:t>
      </w:r>
      <w:r>
        <w:rPr>
          <w:rFonts w:hAnsiTheme="minorEastAsia" w:eastAsiaTheme="minorEastAsia"/>
          <w:szCs w:val="21"/>
        </w:rPr>
        <w:t>；</w:t>
      </w:r>
    </w:p>
    <w:p>
      <w:pPr>
        <w:pStyle w:val="346"/>
        <w:numPr>
          <w:ilvl w:val="0"/>
          <w:numId w:val="30"/>
        </w:numPr>
        <w:autoSpaceDE w:val="0"/>
        <w:autoSpaceDN w:val="0"/>
        <w:adjustRightInd w:val="0"/>
        <w:ind w:firstLineChars="0"/>
        <w:jc w:val="left"/>
        <w:rPr>
          <w:rFonts w:eastAsiaTheme="minorEastAsia"/>
          <w:szCs w:val="21"/>
        </w:rPr>
      </w:pPr>
      <w:r>
        <w:rPr>
          <w:rFonts w:hint="eastAsia" w:asciiTheme="minorEastAsia" w:hAnsiTheme="minorEastAsia" w:eastAsiaTheme="minorEastAsia"/>
          <w:szCs w:val="21"/>
        </w:rPr>
        <w:t>——各通</w:t>
      </w:r>
      <w:r>
        <w:rPr>
          <w:rFonts w:hAnsiTheme="minorEastAsia" w:eastAsiaTheme="minorEastAsia"/>
          <w:szCs w:val="21"/>
        </w:rPr>
        <w:t>道相位误差不大于</w:t>
      </w:r>
      <w:r>
        <w:rPr>
          <w:rFonts w:asciiTheme="minorEastAsia" w:hAnsiTheme="minorEastAsia" w:eastAsiaTheme="minorEastAsia"/>
          <w:szCs w:val="21"/>
        </w:rPr>
        <w:t>±</w:t>
      </w:r>
      <w:r>
        <w:rPr>
          <w:rFonts w:eastAsiaTheme="minorEastAsia"/>
          <w:szCs w:val="21"/>
        </w:rPr>
        <w:t>3°</w:t>
      </w:r>
      <w:r>
        <w:rPr>
          <w:rFonts w:hAnsiTheme="minorEastAsia" w:eastAsiaTheme="minorEastAsia"/>
          <w:szCs w:val="21"/>
        </w:rPr>
        <w:t>。</w:t>
      </w:r>
    </w:p>
    <w:p>
      <w:pPr>
        <w:pStyle w:val="239"/>
        <w:ind w:firstLine="420"/>
        <w:rPr>
          <w:rFonts w:ascii="Times New Roman"/>
        </w:rPr>
      </w:pPr>
      <w:r>
        <w:rPr>
          <w:rFonts w:ascii="Times New Roman"/>
        </w:rPr>
        <w:t>220kV以上电压等级的非同源向量检查装置交流电压输出应满足以下要求：</w:t>
      </w:r>
    </w:p>
    <w:p>
      <w:pPr>
        <w:pStyle w:val="346"/>
        <w:numPr>
          <w:ilvl w:val="0"/>
          <w:numId w:val="31"/>
        </w:numPr>
        <w:autoSpaceDE w:val="0"/>
        <w:autoSpaceDN w:val="0"/>
        <w:adjustRightInd w:val="0"/>
        <w:ind w:firstLineChars="0"/>
        <w:jc w:val="left"/>
        <w:rPr>
          <w:rFonts w:eastAsiaTheme="minorEastAsia"/>
          <w:szCs w:val="21"/>
        </w:rPr>
      </w:pPr>
      <w:r>
        <w:rPr>
          <w:rFonts w:hAnsiTheme="minorEastAsia" w:eastAsiaTheme="minorEastAsia"/>
          <w:szCs w:val="21"/>
        </w:rPr>
        <w:t>每相最大有效值不宜小于</w:t>
      </w:r>
      <w:r>
        <w:rPr>
          <w:rFonts w:eastAsiaTheme="minorEastAsia"/>
          <w:szCs w:val="21"/>
        </w:rPr>
        <w:t>5kV</w:t>
      </w:r>
      <w:r>
        <w:rPr>
          <w:rFonts w:hAnsiTheme="minorEastAsia" w:eastAsiaTheme="minorEastAsia"/>
          <w:szCs w:val="21"/>
        </w:rPr>
        <w:t>；</w:t>
      </w:r>
    </w:p>
    <w:p>
      <w:pPr>
        <w:pStyle w:val="346"/>
        <w:numPr>
          <w:ilvl w:val="0"/>
          <w:numId w:val="31"/>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1"/>
        </w:numPr>
        <w:autoSpaceDE w:val="0"/>
        <w:autoSpaceDN w:val="0"/>
        <w:adjustRightInd w:val="0"/>
        <w:ind w:firstLineChars="0"/>
        <w:jc w:val="left"/>
        <w:rPr>
          <w:rFonts w:eastAsiaTheme="minorEastAsia"/>
          <w:szCs w:val="21"/>
        </w:rPr>
      </w:pPr>
      <w:r>
        <w:rPr>
          <w:rFonts w:hAnsiTheme="minorEastAsia" w:eastAsiaTheme="minorEastAsia"/>
          <w:szCs w:val="21"/>
        </w:rPr>
        <w:t>频率</w:t>
      </w:r>
      <w:r>
        <w:rPr>
          <w:rFonts w:eastAsiaTheme="minorEastAsia"/>
          <w:szCs w:val="21"/>
        </w:rPr>
        <w:t>50Hz</w:t>
      </w:r>
      <w:r>
        <w:rPr>
          <w:rFonts w:hAnsiTheme="minorEastAsia" w:eastAsiaTheme="minorEastAsia"/>
          <w:szCs w:val="21"/>
        </w:rPr>
        <w:t>，偏差不大于</w:t>
      </w:r>
      <w:r>
        <w:rPr>
          <w:rFonts w:asciiTheme="minorEastAsia" w:hAnsiTheme="minorEastAsia" w:eastAsiaTheme="minorEastAsia"/>
          <w:szCs w:val="21"/>
        </w:rPr>
        <w:t>±</w:t>
      </w:r>
      <w:r>
        <w:rPr>
          <w:rFonts w:eastAsiaTheme="minorEastAsia"/>
          <w:szCs w:val="21"/>
        </w:rPr>
        <w:t>0.1Hz</w:t>
      </w:r>
      <w:r>
        <w:rPr>
          <w:rFonts w:hAnsiTheme="minorEastAsia" w:eastAsiaTheme="minorEastAsia"/>
          <w:szCs w:val="21"/>
        </w:rPr>
        <w:t>；</w:t>
      </w:r>
    </w:p>
    <w:p>
      <w:pPr>
        <w:pStyle w:val="346"/>
        <w:numPr>
          <w:ilvl w:val="0"/>
          <w:numId w:val="31"/>
        </w:numPr>
        <w:autoSpaceDE w:val="0"/>
        <w:autoSpaceDN w:val="0"/>
        <w:adjustRightInd w:val="0"/>
        <w:ind w:firstLineChars="0"/>
        <w:jc w:val="left"/>
        <w:rPr>
          <w:rFonts w:eastAsiaTheme="minorEastAsia"/>
          <w:szCs w:val="21"/>
        </w:rPr>
      </w:pPr>
      <w:r>
        <w:rPr>
          <w:rFonts w:hAnsiTheme="minorEastAsia" w:eastAsiaTheme="minorEastAsia"/>
          <w:szCs w:val="21"/>
        </w:rPr>
        <w:t>相位控制范围：</w:t>
      </w:r>
      <w:r>
        <w:rPr>
          <w:rFonts w:eastAsiaTheme="minorEastAsia"/>
          <w:szCs w:val="21"/>
        </w:rPr>
        <w:t>0°~ 360°</w:t>
      </w:r>
      <w:r>
        <w:rPr>
          <w:rFonts w:hAnsiTheme="minorEastAsia" w:eastAsiaTheme="minorEastAsia"/>
          <w:szCs w:val="21"/>
        </w:rPr>
        <w:t>；</w:t>
      </w:r>
    </w:p>
    <w:p>
      <w:pPr>
        <w:pStyle w:val="346"/>
        <w:numPr>
          <w:ilvl w:val="0"/>
          <w:numId w:val="31"/>
        </w:numPr>
        <w:autoSpaceDE w:val="0"/>
        <w:autoSpaceDN w:val="0"/>
        <w:adjustRightInd w:val="0"/>
        <w:ind w:firstLineChars="0"/>
        <w:jc w:val="left"/>
        <w:rPr>
          <w:rFonts w:eastAsiaTheme="minorEastAsia"/>
          <w:szCs w:val="21"/>
        </w:rPr>
      </w:pPr>
      <w:r>
        <w:rPr>
          <w:rFonts w:hAnsiTheme="minorEastAsia" w:eastAsiaTheme="minorEastAsia"/>
          <w:szCs w:val="21"/>
        </w:rPr>
        <w:t>各通道相位误差不大于</w:t>
      </w:r>
      <w:r>
        <w:rPr>
          <w:rFonts w:asciiTheme="minorEastAsia" w:hAnsiTheme="minorEastAsia" w:eastAsiaTheme="minorEastAsia"/>
          <w:szCs w:val="21"/>
        </w:rPr>
        <w:t>±</w:t>
      </w:r>
      <w:r>
        <w:rPr>
          <w:rFonts w:eastAsiaTheme="minorEastAsia"/>
          <w:szCs w:val="21"/>
        </w:rPr>
        <w:t>3°</w:t>
      </w:r>
      <w:r>
        <w:rPr>
          <w:rFonts w:hAnsiTheme="minorEastAsia" w:eastAsiaTheme="minorEastAsia"/>
          <w:szCs w:val="21"/>
        </w:rPr>
        <w:t>。</w:t>
      </w:r>
    </w:p>
    <w:p>
      <w:pPr>
        <w:pStyle w:val="242"/>
        <w:spacing w:before="156" w:after="156"/>
        <w:outlineLvl w:val="2"/>
        <w:rPr>
          <w:rFonts w:ascii="Times New Roman"/>
        </w:rPr>
      </w:pPr>
      <w:bookmarkStart w:id="43" w:name="_Toc199104903"/>
      <w:r>
        <w:rPr>
          <w:rFonts w:ascii="Times New Roman"/>
        </w:rPr>
        <w:t>同源</w:t>
      </w:r>
      <w:r>
        <w:rPr>
          <w:rFonts w:hint="eastAsia" w:ascii="Times New Roman"/>
        </w:rPr>
        <w:t>交流</w:t>
      </w:r>
      <w:r>
        <w:rPr>
          <w:rFonts w:ascii="Times New Roman"/>
        </w:rPr>
        <w:t>向量检查装置</w:t>
      </w:r>
      <w:bookmarkEnd w:id="43"/>
    </w:p>
    <w:p>
      <w:pPr>
        <w:pStyle w:val="346"/>
        <w:ind w:firstLine="0" w:firstLineChars="0"/>
      </w:pPr>
      <w:r>
        <w:rPr>
          <w:rFonts w:hint="eastAsia" w:ascii="黑体" w:hAnsi="黑体" w:eastAsia="黑体" w:cs="黑体"/>
        </w:rPr>
        <w:t xml:space="preserve">4.4.2.1 </w:t>
      </w:r>
      <w:r>
        <w:t>220kV及以下电压等级的同源向量检查装置输出</w:t>
      </w:r>
      <w:r>
        <w:rPr>
          <w:rFonts w:hint="eastAsia"/>
        </w:rPr>
        <w:t>应</w:t>
      </w:r>
      <w:r>
        <w:t>满足以下要求：</w:t>
      </w:r>
    </w:p>
    <w:p>
      <w:pPr>
        <w:pStyle w:val="346"/>
        <w:numPr>
          <w:ilvl w:val="0"/>
          <w:numId w:val="32"/>
        </w:numPr>
        <w:autoSpaceDE w:val="0"/>
        <w:autoSpaceDN w:val="0"/>
        <w:adjustRightInd w:val="0"/>
        <w:ind w:firstLineChars="0"/>
        <w:jc w:val="left"/>
        <w:rPr>
          <w:rFonts w:eastAsiaTheme="minorEastAsia"/>
          <w:szCs w:val="21"/>
        </w:rPr>
      </w:pPr>
      <w:r>
        <w:rPr>
          <w:rFonts w:hint="eastAsia" w:asciiTheme="minorEastAsia" w:hAnsiTheme="minorEastAsia" w:eastAsiaTheme="minorEastAsia"/>
          <w:szCs w:val="21"/>
        </w:rPr>
        <w:t>每相电</w:t>
      </w:r>
      <w:r>
        <w:rPr>
          <w:rFonts w:hAnsiTheme="minorEastAsia" w:eastAsiaTheme="minorEastAsia"/>
          <w:szCs w:val="21"/>
        </w:rPr>
        <w:t>压最大有效值不宜小于</w:t>
      </w:r>
      <w:r>
        <w:rPr>
          <w:rFonts w:eastAsiaTheme="minorEastAsia"/>
          <w:szCs w:val="21"/>
        </w:rPr>
        <w:t>2.2kV</w:t>
      </w:r>
      <w:r>
        <w:rPr>
          <w:rFonts w:hAnsiTheme="minorEastAsia" w:eastAsiaTheme="minorEastAsia"/>
          <w:szCs w:val="21"/>
        </w:rPr>
        <w:t>，电流最大有效值不宜小于</w:t>
      </w:r>
      <w:r>
        <w:rPr>
          <w:rFonts w:eastAsiaTheme="minorEastAsia"/>
          <w:szCs w:val="21"/>
        </w:rPr>
        <w:t>100A</w:t>
      </w:r>
      <w:r>
        <w:rPr>
          <w:rFonts w:hAnsiTheme="minorEastAsia" w:eastAsiaTheme="minorEastAsia"/>
          <w:szCs w:val="21"/>
        </w:rPr>
        <w:t>；</w:t>
      </w:r>
    </w:p>
    <w:p>
      <w:pPr>
        <w:pStyle w:val="346"/>
        <w:numPr>
          <w:ilvl w:val="0"/>
          <w:numId w:val="32"/>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2"/>
        </w:numPr>
        <w:autoSpaceDE w:val="0"/>
        <w:autoSpaceDN w:val="0"/>
        <w:adjustRightInd w:val="0"/>
        <w:ind w:firstLineChars="0"/>
        <w:jc w:val="left"/>
        <w:rPr>
          <w:rFonts w:eastAsiaTheme="minorEastAsia"/>
          <w:szCs w:val="21"/>
        </w:rPr>
      </w:pPr>
      <w:r>
        <w:rPr>
          <w:rFonts w:hAnsiTheme="minorEastAsia" w:eastAsiaTheme="minorEastAsia"/>
          <w:szCs w:val="21"/>
        </w:rPr>
        <w:t>频率</w:t>
      </w:r>
      <w:r>
        <w:rPr>
          <w:rFonts w:eastAsiaTheme="minorEastAsia"/>
          <w:szCs w:val="21"/>
        </w:rPr>
        <w:t>50Hz</w:t>
      </w:r>
      <w:r>
        <w:rPr>
          <w:rFonts w:hAnsiTheme="minorEastAsia" w:eastAsiaTheme="minorEastAsia"/>
          <w:szCs w:val="21"/>
        </w:rPr>
        <w:t>，偏差不大于</w:t>
      </w:r>
      <w:r>
        <w:rPr>
          <w:rFonts w:asciiTheme="minorEastAsia" w:hAnsiTheme="minorEastAsia" w:eastAsiaTheme="minorEastAsia"/>
          <w:szCs w:val="21"/>
        </w:rPr>
        <w:t>±</w:t>
      </w:r>
      <w:r>
        <w:rPr>
          <w:rFonts w:eastAsiaTheme="minorEastAsia"/>
          <w:szCs w:val="21"/>
        </w:rPr>
        <w:t>0.1Hz</w:t>
      </w:r>
      <w:r>
        <w:rPr>
          <w:rFonts w:hAnsiTheme="minorEastAsia" w:eastAsiaTheme="minorEastAsia"/>
          <w:szCs w:val="21"/>
        </w:rPr>
        <w:t>；</w:t>
      </w:r>
    </w:p>
    <w:p>
      <w:pPr>
        <w:pStyle w:val="346"/>
        <w:numPr>
          <w:ilvl w:val="0"/>
          <w:numId w:val="32"/>
        </w:numPr>
        <w:autoSpaceDE w:val="0"/>
        <w:autoSpaceDN w:val="0"/>
        <w:adjustRightInd w:val="0"/>
        <w:ind w:firstLineChars="0"/>
        <w:jc w:val="left"/>
        <w:rPr>
          <w:rFonts w:eastAsiaTheme="minorEastAsia"/>
          <w:szCs w:val="21"/>
        </w:rPr>
      </w:pPr>
      <w:r>
        <w:rPr>
          <w:rFonts w:hAnsiTheme="minorEastAsia" w:eastAsiaTheme="minorEastAsia"/>
          <w:szCs w:val="21"/>
        </w:rPr>
        <w:t>各通道相位误差不大于</w:t>
      </w:r>
      <w:r>
        <w:rPr>
          <w:rFonts w:asciiTheme="minorEastAsia" w:hAnsiTheme="minorEastAsia" w:eastAsiaTheme="minorEastAsia"/>
          <w:szCs w:val="21"/>
        </w:rPr>
        <w:t>±</w:t>
      </w:r>
      <w:r>
        <w:rPr>
          <w:rFonts w:eastAsiaTheme="minorEastAsia"/>
          <w:szCs w:val="21"/>
        </w:rPr>
        <w:t>3°</w:t>
      </w:r>
      <w:r>
        <w:rPr>
          <w:rFonts w:hAnsiTheme="minorEastAsia" w:eastAsiaTheme="minorEastAsia"/>
          <w:szCs w:val="21"/>
        </w:rPr>
        <w:t>。</w:t>
      </w:r>
    </w:p>
    <w:p>
      <w:pPr>
        <w:pStyle w:val="346"/>
        <w:ind w:firstLine="0" w:firstLineChars="0"/>
      </w:pPr>
      <w:r>
        <w:rPr>
          <w:rFonts w:hint="eastAsia" w:ascii="黑体" w:hAnsi="黑体" w:eastAsia="黑体" w:cs="黑体"/>
        </w:rPr>
        <w:t xml:space="preserve">4.4.2.2 </w:t>
      </w:r>
      <w:r>
        <w:t>220kV以</w:t>
      </w:r>
      <w:r>
        <w:rPr>
          <w:rFonts w:hint="eastAsia"/>
        </w:rPr>
        <w:t>上</w:t>
      </w:r>
      <w:r>
        <w:t>电压等级的同源向量检查装置输出</w:t>
      </w:r>
      <w:r>
        <w:rPr>
          <w:rFonts w:hint="eastAsia"/>
        </w:rPr>
        <w:t>应</w:t>
      </w:r>
      <w:r>
        <w:t>满足以下要求：</w:t>
      </w:r>
    </w:p>
    <w:p>
      <w:pPr>
        <w:pStyle w:val="346"/>
        <w:numPr>
          <w:ilvl w:val="0"/>
          <w:numId w:val="33"/>
        </w:numPr>
        <w:autoSpaceDE w:val="0"/>
        <w:autoSpaceDN w:val="0"/>
        <w:adjustRightInd w:val="0"/>
        <w:ind w:firstLineChars="0"/>
        <w:jc w:val="left"/>
        <w:rPr>
          <w:rFonts w:eastAsiaTheme="minorEastAsia"/>
          <w:szCs w:val="21"/>
        </w:rPr>
      </w:pPr>
      <w:r>
        <w:rPr>
          <w:rFonts w:hAnsiTheme="minorEastAsia" w:eastAsiaTheme="minorEastAsia"/>
          <w:szCs w:val="21"/>
        </w:rPr>
        <w:t>每相电压最大有效值不宜小于</w:t>
      </w:r>
      <w:r>
        <w:rPr>
          <w:rFonts w:eastAsiaTheme="minorEastAsia"/>
          <w:szCs w:val="21"/>
        </w:rPr>
        <w:t>5kV</w:t>
      </w:r>
      <w:r>
        <w:rPr>
          <w:rFonts w:hAnsiTheme="minorEastAsia" w:eastAsiaTheme="minorEastAsia"/>
          <w:szCs w:val="21"/>
        </w:rPr>
        <w:t>，电流最大有效值不宜小于</w:t>
      </w:r>
      <w:r>
        <w:rPr>
          <w:rFonts w:eastAsiaTheme="minorEastAsia"/>
          <w:szCs w:val="21"/>
        </w:rPr>
        <w:t>200A</w:t>
      </w:r>
      <w:r>
        <w:rPr>
          <w:rFonts w:hAnsiTheme="minorEastAsia" w:eastAsiaTheme="minorEastAsia"/>
          <w:szCs w:val="21"/>
        </w:rPr>
        <w:t>；</w:t>
      </w:r>
    </w:p>
    <w:p>
      <w:pPr>
        <w:pStyle w:val="346"/>
        <w:numPr>
          <w:ilvl w:val="0"/>
          <w:numId w:val="33"/>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3"/>
        </w:numPr>
        <w:autoSpaceDE w:val="0"/>
        <w:autoSpaceDN w:val="0"/>
        <w:adjustRightInd w:val="0"/>
        <w:ind w:firstLineChars="0"/>
        <w:jc w:val="left"/>
        <w:rPr>
          <w:rFonts w:eastAsiaTheme="minorEastAsia"/>
          <w:szCs w:val="21"/>
        </w:rPr>
      </w:pPr>
      <w:r>
        <w:rPr>
          <w:rFonts w:hAnsiTheme="minorEastAsia" w:eastAsiaTheme="minorEastAsia"/>
          <w:szCs w:val="21"/>
        </w:rPr>
        <w:t>频率</w:t>
      </w:r>
      <w:r>
        <w:rPr>
          <w:rFonts w:eastAsiaTheme="minorEastAsia"/>
          <w:szCs w:val="21"/>
        </w:rPr>
        <w:t>50Hz</w:t>
      </w:r>
      <w:r>
        <w:rPr>
          <w:rFonts w:hAnsiTheme="minorEastAsia" w:eastAsiaTheme="minorEastAsia"/>
          <w:szCs w:val="21"/>
        </w:rPr>
        <w:t>，偏差不大于</w:t>
      </w:r>
      <w:r>
        <w:rPr>
          <w:rFonts w:asciiTheme="minorEastAsia" w:hAnsiTheme="minorEastAsia" w:eastAsiaTheme="minorEastAsia"/>
          <w:szCs w:val="21"/>
        </w:rPr>
        <w:t>±</w:t>
      </w:r>
      <w:r>
        <w:rPr>
          <w:rFonts w:eastAsiaTheme="minorEastAsia"/>
          <w:szCs w:val="21"/>
        </w:rPr>
        <w:t>0.1Hz</w:t>
      </w:r>
      <w:r>
        <w:rPr>
          <w:rFonts w:hAnsiTheme="minorEastAsia" w:eastAsiaTheme="minorEastAsia"/>
          <w:szCs w:val="21"/>
        </w:rPr>
        <w:t>；</w:t>
      </w:r>
    </w:p>
    <w:p>
      <w:pPr>
        <w:pStyle w:val="346"/>
        <w:numPr>
          <w:ilvl w:val="0"/>
          <w:numId w:val="33"/>
        </w:numPr>
        <w:autoSpaceDE w:val="0"/>
        <w:autoSpaceDN w:val="0"/>
        <w:adjustRightInd w:val="0"/>
        <w:ind w:firstLineChars="0"/>
        <w:jc w:val="left"/>
        <w:rPr>
          <w:rFonts w:eastAsiaTheme="minorEastAsia"/>
          <w:szCs w:val="21"/>
        </w:rPr>
      </w:pPr>
      <w:r>
        <w:rPr>
          <w:rFonts w:hAnsiTheme="minorEastAsia" w:eastAsiaTheme="minorEastAsia"/>
          <w:szCs w:val="21"/>
        </w:rPr>
        <w:t>各通道相位误差不大于</w:t>
      </w:r>
      <w:r>
        <w:rPr>
          <w:rFonts w:asciiTheme="minorEastAsia" w:hAnsiTheme="minorEastAsia" w:eastAsiaTheme="minorEastAsia"/>
          <w:szCs w:val="21"/>
        </w:rPr>
        <w:t>±</w:t>
      </w:r>
      <w:r>
        <w:rPr>
          <w:rFonts w:eastAsiaTheme="minorEastAsia"/>
          <w:szCs w:val="21"/>
        </w:rPr>
        <w:t>3°</w:t>
      </w:r>
      <w:r>
        <w:rPr>
          <w:rFonts w:hAnsiTheme="minorEastAsia" w:eastAsiaTheme="minorEastAsia"/>
          <w:szCs w:val="21"/>
        </w:rPr>
        <w:t>。</w:t>
      </w:r>
    </w:p>
    <w:p>
      <w:pPr>
        <w:pStyle w:val="242"/>
        <w:spacing w:before="156" w:after="156"/>
        <w:outlineLvl w:val="2"/>
        <w:rPr>
          <w:rFonts w:ascii="Times New Roman"/>
        </w:rPr>
      </w:pPr>
      <w:bookmarkStart w:id="44" w:name="_Toc199104904"/>
      <w:r>
        <w:rPr>
          <w:rFonts w:hint="eastAsia" w:ascii="Times New Roman"/>
        </w:rPr>
        <w:t>直流</w:t>
      </w:r>
      <w:r>
        <w:rPr>
          <w:rFonts w:ascii="Times New Roman"/>
        </w:rPr>
        <w:t>向量检查装置</w:t>
      </w:r>
      <w:bookmarkEnd w:id="44"/>
    </w:p>
    <w:p>
      <w:pPr>
        <w:pStyle w:val="239"/>
        <w:ind w:firstLine="0" w:firstLineChars="0"/>
        <w:rPr>
          <w:rFonts w:ascii="Times New Roman"/>
        </w:rPr>
      </w:pPr>
      <w:r>
        <w:rPr>
          <w:rFonts w:hint="eastAsia" w:ascii="黑体" w:hAnsi="黑体" w:eastAsia="黑体" w:cs="黑体"/>
        </w:rPr>
        <w:t xml:space="preserve">4.4.3.1 </w:t>
      </w:r>
      <w:r>
        <w:rPr>
          <w:rFonts w:ascii="Times New Roman"/>
        </w:rPr>
        <w:t>直流电流输出应满足以下要求：</w:t>
      </w:r>
    </w:p>
    <w:p>
      <w:pPr>
        <w:pStyle w:val="346"/>
        <w:numPr>
          <w:ilvl w:val="0"/>
          <w:numId w:val="34"/>
        </w:numPr>
        <w:autoSpaceDE w:val="0"/>
        <w:autoSpaceDN w:val="0"/>
        <w:adjustRightInd w:val="0"/>
        <w:ind w:firstLineChars="0"/>
        <w:jc w:val="left"/>
        <w:rPr>
          <w:rFonts w:eastAsiaTheme="minorEastAsia"/>
          <w:szCs w:val="21"/>
        </w:rPr>
      </w:pPr>
      <w:r>
        <w:rPr>
          <w:rFonts w:hAnsiTheme="minorEastAsia" w:eastAsiaTheme="minorEastAsia"/>
          <w:szCs w:val="21"/>
        </w:rPr>
        <w:t>最大值不宜小于</w:t>
      </w:r>
      <w:r>
        <w:rPr>
          <w:rFonts w:eastAsiaTheme="minorEastAsia"/>
          <w:szCs w:val="21"/>
        </w:rPr>
        <w:t>500A</w:t>
      </w:r>
      <w:r>
        <w:rPr>
          <w:rFonts w:hAnsiTheme="minorEastAsia" w:eastAsiaTheme="minorEastAsia"/>
          <w:szCs w:val="21"/>
        </w:rPr>
        <w:t>；</w:t>
      </w:r>
    </w:p>
    <w:p>
      <w:pPr>
        <w:pStyle w:val="346"/>
        <w:numPr>
          <w:ilvl w:val="0"/>
          <w:numId w:val="34"/>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4"/>
        </w:numPr>
        <w:autoSpaceDE w:val="0"/>
        <w:autoSpaceDN w:val="0"/>
        <w:adjustRightInd w:val="0"/>
        <w:ind w:firstLineChars="0"/>
        <w:jc w:val="left"/>
        <w:rPr>
          <w:rFonts w:eastAsiaTheme="minorEastAsia"/>
          <w:szCs w:val="21"/>
        </w:rPr>
      </w:pPr>
      <w:r>
        <w:rPr>
          <w:rFonts w:hAnsiTheme="minorEastAsia" w:eastAsiaTheme="minorEastAsia"/>
          <w:szCs w:val="21"/>
        </w:rPr>
        <w:t>纹波系数不大于</w:t>
      </w:r>
      <w:r>
        <w:rPr>
          <w:rFonts w:eastAsiaTheme="minorEastAsia"/>
          <w:szCs w:val="21"/>
        </w:rPr>
        <w:t>1%</w:t>
      </w:r>
      <w:r>
        <w:rPr>
          <w:rFonts w:hAnsiTheme="minorEastAsia" w:eastAsiaTheme="minorEastAsia"/>
          <w:szCs w:val="21"/>
        </w:rPr>
        <w:t>。</w:t>
      </w:r>
    </w:p>
    <w:p>
      <w:pPr>
        <w:pStyle w:val="239"/>
        <w:ind w:firstLine="0" w:firstLineChars="0"/>
        <w:rPr>
          <w:rFonts w:ascii="Times New Roman"/>
        </w:rPr>
      </w:pPr>
      <w:r>
        <w:rPr>
          <w:rFonts w:hint="eastAsia" w:ascii="黑体" w:hAnsi="黑体" w:eastAsia="黑体" w:cs="黑体"/>
        </w:rPr>
        <w:t xml:space="preserve">4.4.3.2 </w:t>
      </w:r>
      <w:r>
        <w:rPr>
          <w:rFonts w:ascii="Times New Roman"/>
        </w:rPr>
        <w:t>直流电压输出应满足以下要求：</w:t>
      </w:r>
    </w:p>
    <w:p>
      <w:pPr>
        <w:pStyle w:val="346"/>
        <w:numPr>
          <w:ilvl w:val="0"/>
          <w:numId w:val="35"/>
        </w:numPr>
        <w:autoSpaceDE w:val="0"/>
        <w:autoSpaceDN w:val="0"/>
        <w:adjustRightInd w:val="0"/>
        <w:ind w:firstLineChars="0"/>
        <w:jc w:val="left"/>
        <w:rPr>
          <w:rFonts w:eastAsiaTheme="minorEastAsia"/>
          <w:szCs w:val="21"/>
        </w:rPr>
      </w:pPr>
      <w:r>
        <w:rPr>
          <w:rFonts w:hAnsiTheme="minorEastAsia" w:eastAsiaTheme="minorEastAsia"/>
          <w:szCs w:val="21"/>
        </w:rPr>
        <w:t>最大值不宜小于</w:t>
      </w:r>
      <w:r>
        <w:rPr>
          <w:rFonts w:eastAsiaTheme="minorEastAsia"/>
          <w:szCs w:val="21"/>
        </w:rPr>
        <w:t>80kV</w:t>
      </w:r>
      <w:r>
        <w:rPr>
          <w:rFonts w:hAnsiTheme="minorEastAsia" w:eastAsiaTheme="minorEastAsia"/>
          <w:szCs w:val="21"/>
        </w:rPr>
        <w:t>；</w:t>
      </w:r>
    </w:p>
    <w:p>
      <w:pPr>
        <w:pStyle w:val="346"/>
        <w:numPr>
          <w:ilvl w:val="0"/>
          <w:numId w:val="35"/>
        </w:numPr>
        <w:autoSpaceDE w:val="0"/>
        <w:autoSpaceDN w:val="0"/>
        <w:adjustRightInd w:val="0"/>
        <w:ind w:firstLineChars="0"/>
        <w:jc w:val="left"/>
        <w:rPr>
          <w:rFonts w:eastAsiaTheme="minorEastAsia"/>
          <w:szCs w:val="21"/>
        </w:rPr>
      </w:pPr>
      <w:r>
        <w:rPr>
          <w:rFonts w:hAnsiTheme="minorEastAsia" w:eastAsiaTheme="minorEastAsia"/>
          <w:szCs w:val="21"/>
        </w:rPr>
        <w:t>幅值误差不大于</w:t>
      </w:r>
      <w:r>
        <w:rPr>
          <w:rFonts w:asciiTheme="minorEastAsia" w:hAnsiTheme="minorEastAsia" w:eastAsiaTheme="minorEastAsia"/>
          <w:szCs w:val="21"/>
        </w:rPr>
        <w:t>±</w:t>
      </w:r>
      <w:r>
        <w:rPr>
          <w:rFonts w:eastAsiaTheme="minorEastAsia"/>
          <w:szCs w:val="21"/>
        </w:rPr>
        <w:t>5%</w:t>
      </w:r>
      <w:r>
        <w:rPr>
          <w:rFonts w:hAnsiTheme="minorEastAsia" w:eastAsiaTheme="minorEastAsia"/>
          <w:szCs w:val="21"/>
        </w:rPr>
        <w:t>；</w:t>
      </w:r>
    </w:p>
    <w:p>
      <w:pPr>
        <w:pStyle w:val="346"/>
        <w:numPr>
          <w:ilvl w:val="0"/>
          <w:numId w:val="35"/>
        </w:numPr>
        <w:autoSpaceDE w:val="0"/>
        <w:autoSpaceDN w:val="0"/>
        <w:adjustRightInd w:val="0"/>
        <w:ind w:firstLineChars="0"/>
        <w:jc w:val="left"/>
        <w:rPr>
          <w:rFonts w:eastAsiaTheme="minorEastAsia"/>
          <w:szCs w:val="21"/>
        </w:rPr>
      </w:pPr>
      <w:r>
        <w:rPr>
          <w:rFonts w:hAnsiTheme="minorEastAsia" w:eastAsiaTheme="minorEastAsia"/>
          <w:szCs w:val="21"/>
        </w:rPr>
        <w:t>纹波系数不大于</w:t>
      </w:r>
      <w:r>
        <w:rPr>
          <w:rFonts w:eastAsiaTheme="minorEastAsia"/>
          <w:szCs w:val="21"/>
        </w:rPr>
        <w:t>1%</w:t>
      </w:r>
      <w:r>
        <w:rPr>
          <w:rFonts w:hAnsiTheme="minorEastAsia" w:eastAsiaTheme="minorEastAsia"/>
          <w:szCs w:val="21"/>
        </w:rPr>
        <w:t>。</w:t>
      </w:r>
    </w:p>
    <w:p>
      <w:pPr>
        <w:pStyle w:val="242"/>
        <w:spacing w:before="156" w:after="156"/>
        <w:outlineLvl w:val="2"/>
        <w:rPr>
          <w:rFonts w:ascii="Times New Roman"/>
        </w:rPr>
      </w:pPr>
      <w:bookmarkStart w:id="45" w:name="_Toc199104905"/>
      <w:r>
        <w:rPr>
          <w:rFonts w:hint="eastAsia" w:ascii="Times New Roman"/>
        </w:rPr>
        <w:t>同步性</w:t>
      </w:r>
      <w:bookmarkEnd w:id="45"/>
    </w:p>
    <w:p>
      <w:pPr>
        <w:ind w:firstLine="420" w:firstLineChars="200"/>
      </w:pPr>
      <w:r>
        <w:rPr>
          <w:rFonts w:hint="eastAsia" w:ascii="宋体" w:hAnsi="宋体"/>
        </w:rPr>
        <w:t>非同源向量检查装置</w:t>
      </w:r>
      <w:r>
        <w:rPr>
          <w:rFonts w:hint="eastAsia" w:ascii="宋体" w:hAnsi="宋体" w:cs="宋体"/>
        </w:rPr>
        <w:t>采用参考电压、卫星、无线或有线信号等方式</w:t>
      </w:r>
      <w:r>
        <w:rPr>
          <w:rFonts w:hint="eastAsia" w:ascii="宋体" w:hAnsi="宋体"/>
        </w:rPr>
        <w:t>同步时，各通道交流量输出相位误差不大于</w:t>
      </w:r>
      <w:r>
        <w:rPr>
          <w:rFonts w:hint="eastAsia" w:ascii="宋体" w:hAnsi="宋体" w:cs="宋体"/>
        </w:rPr>
        <w:t>±</w:t>
      </w:r>
      <w:r>
        <w:rPr>
          <w:rFonts w:hint="eastAsia"/>
        </w:rPr>
        <w:t>5</w:t>
      </w:r>
      <w:r>
        <w:t>°</w:t>
      </w:r>
      <w:r>
        <w:rPr>
          <w:rFonts w:hint="eastAsia" w:ascii="宋体" w:hAnsi="宋体"/>
        </w:rPr>
        <w:t>。若</w:t>
      </w:r>
      <w:r>
        <w:rPr>
          <w:rFonts w:hint="eastAsia" w:ascii="宋体" w:hAnsi="宋体" w:cs="宋体"/>
        </w:rPr>
        <w:t>采用无线信号控制多机输出同步时，</w:t>
      </w:r>
      <w:r>
        <w:rPr>
          <w:rFonts w:hint="eastAsia"/>
        </w:rPr>
        <w:t>在空旷无干扰地区，有效距离不小于500米。</w:t>
      </w:r>
    </w:p>
    <w:p>
      <w:pPr>
        <w:pStyle w:val="242"/>
        <w:spacing w:before="156" w:after="156"/>
        <w:outlineLvl w:val="2"/>
        <w:rPr>
          <w:rFonts w:ascii="Times New Roman"/>
        </w:rPr>
      </w:pPr>
      <w:bookmarkStart w:id="46" w:name="_Toc199104906"/>
      <w:r>
        <w:rPr>
          <w:rFonts w:hint="eastAsia" w:ascii="Times New Roman"/>
        </w:rPr>
        <w:t>稳定性</w:t>
      </w:r>
      <w:bookmarkEnd w:id="46"/>
    </w:p>
    <w:p>
      <w:pPr>
        <w:ind w:left="420" w:leftChars="200"/>
        <w:rPr>
          <w:rFonts w:ascii="宋体" w:hAnsi="宋体"/>
        </w:rPr>
      </w:pPr>
      <w:r>
        <w:rPr>
          <w:rFonts w:hint="eastAsia" w:ascii="宋体" w:hAnsi="宋体"/>
        </w:rPr>
        <w:t>向量检查装置持续输出稳定性满足以下要求：</w:t>
      </w:r>
    </w:p>
    <w:p>
      <w:pPr>
        <w:pStyle w:val="346"/>
        <w:numPr>
          <w:ilvl w:val="0"/>
          <w:numId w:val="36"/>
        </w:numPr>
        <w:ind w:firstLineChars="0"/>
      </w:pPr>
      <w:r>
        <w:rPr>
          <w:rFonts w:hint="eastAsia"/>
        </w:rPr>
        <w:t>满载条件下输出交流电流时，连续输出时间不小于30min；</w:t>
      </w:r>
    </w:p>
    <w:p>
      <w:pPr>
        <w:pStyle w:val="346"/>
        <w:numPr>
          <w:ilvl w:val="0"/>
          <w:numId w:val="36"/>
        </w:numPr>
        <w:ind w:firstLineChars="0"/>
      </w:pPr>
      <w:r>
        <w:rPr>
          <w:rFonts w:hint="eastAsia"/>
        </w:rPr>
        <w:t>满载条件下输出交流电压时，连续输出时间不小于60min；</w:t>
      </w:r>
    </w:p>
    <w:p>
      <w:pPr>
        <w:pStyle w:val="346"/>
        <w:numPr>
          <w:ilvl w:val="0"/>
          <w:numId w:val="36"/>
        </w:numPr>
        <w:ind w:firstLineChars="0"/>
      </w:pPr>
      <w:r>
        <w:rPr>
          <w:rFonts w:hint="eastAsia"/>
        </w:rPr>
        <w:t>满载条件下输出直流电流时，连续输出时间不小于10min；</w:t>
      </w:r>
    </w:p>
    <w:p>
      <w:pPr>
        <w:pStyle w:val="346"/>
        <w:numPr>
          <w:ilvl w:val="0"/>
          <w:numId w:val="36"/>
        </w:numPr>
        <w:ind w:firstLineChars="0"/>
      </w:pPr>
      <w:r>
        <w:rPr>
          <w:rFonts w:hint="eastAsia"/>
        </w:rPr>
        <w:t>满载条件下输出直流电压时，连续输出时间不小于10min。</w:t>
      </w:r>
    </w:p>
    <w:p>
      <w:pPr>
        <w:pStyle w:val="241"/>
        <w:spacing w:before="156" w:after="156"/>
        <w:outlineLvl w:val="1"/>
        <w:rPr>
          <w:rFonts w:ascii="Times New Roman"/>
        </w:rPr>
      </w:pPr>
      <w:bookmarkStart w:id="47" w:name="_Toc199104907"/>
      <w:bookmarkStart w:id="48" w:name="_Toc197938272"/>
      <w:r>
        <w:rPr>
          <w:rFonts w:hint="eastAsia" w:ascii="Times New Roman"/>
        </w:rPr>
        <w:t>电气安全性</w:t>
      </w:r>
      <w:bookmarkEnd w:id="47"/>
      <w:bookmarkEnd w:id="48"/>
    </w:p>
    <w:p>
      <w:pPr>
        <w:pStyle w:val="242"/>
        <w:spacing w:before="156" w:after="156"/>
        <w:outlineLvl w:val="2"/>
      </w:pPr>
      <w:bookmarkStart w:id="49" w:name="_Toc199104908"/>
      <w:r>
        <w:rPr>
          <w:rFonts w:hint="eastAsia"/>
        </w:rPr>
        <w:t>电击防护</w:t>
      </w:r>
      <w:bookmarkEnd w:id="49"/>
    </w:p>
    <w:p>
      <w:pPr>
        <w:pStyle w:val="239"/>
        <w:ind w:firstLine="420"/>
        <w:rPr>
          <w:rFonts w:ascii="Times New Roman"/>
          <w:szCs w:val="21"/>
        </w:rPr>
      </w:pPr>
      <w:r>
        <w:rPr>
          <w:rFonts w:ascii="Times New Roman"/>
          <w:szCs w:val="21"/>
        </w:rPr>
        <w:t>向量检查装置电气结构应遵守 GB/T 4793.1</w:t>
      </w:r>
      <w:r>
        <w:rPr>
          <w:rFonts w:hint="eastAsia" w:ascii="Times New Roman"/>
          <w:szCs w:val="21"/>
        </w:rPr>
        <w:t>-2007</w:t>
      </w:r>
      <w:r>
        <w:rPr>
          <w:rFonts w:ascii="Times New Roman"/>
          <w:szCs w:val="21"/>
        </w:rPr>
        <w:t>中第6章防电击相关规定：</w:t>
      </w:r>
    </w:p>
    <w:p>
      <w:pPr>
        <w:pStyle w:val="346"/>
        <w:numPr>
          <w:ilvl w:val="0"/>
          <w:numId w:val="37"/>
        </w:numPr>
        <w:ind w:firstLineChars="0"/>
      </w:pPr>
      <w:r>
        <w:t>向量检查装置应具备专用的接地端子，PE保护系统满足</w:t>
      </w:r>
      <w:r>
        <w:rPr>
          <w:szCs w:val="21"/>
        </w:rPr>
        <w:t>GB/T 4793.1</w:t>
      </w:r>
      <w:r>
        <w:rPr>
          <w:rFonts w:hint="eastAsia"/>
          <w:szCs w:val="21"/>
        </w:rPr>
        <w:t>-2007</w:t>
      </w:r>
      <w:r>
        <w:t>中 6.5 的故障条件下防护要求；</w:t>
      </w:r>
    </w:p>
    <w:p>
      <w:pPr>
        <w:pStyle w:val="346"/>
        <w:numPr>
          <w:ilvl w:val="0"/>
          <w:numId w:val="37"/>
        </w:numPr>
        <w:ind w:firstLineChars="0"/>
      </w:pPr>
      <w:r>
        <w:t>外部电气连接端子满足</w:t>
      </w:r>
      <w:r>
        <w:rPr>
          <w:szCs w:val="21"/>
        </w:rPr>
        <w:t>GB/T 4793.1</w:t>
      </w:r>
      <w:r>
        <w:rPr>
          <w:rFonts w:hint="eastAsia"/>
          <w:szCs w:val="21"/>
        </w:rPr>
        <w:t>-2007</w:t>
      </w:r>
      <w:r>
        <w:t>中 6.6 的防护要求；</w:t>
      </w:r>
    </w:p>
    <w:p>
      <w:pPr>
        <w:pStyle w:val="346"/>
        <w:numPr>
          <w:ilvl w:val="0"/>
          <w:numId w:val="37"/>
        </w:numPr>
        <w:ind w:firstLineChars="0"/>
      </w:pPr>
      <w:r>
        <w:t>交流电源及输出回路的电气间隙和爬电距离应按照</w:t>
      </w:r>
      <w:r>
        <w:rPr>
          <w:szCs w:val="21"/>
        </w:rPr>
        <w:t>GB/T 4793.1</w:t>
      </w:r>
      <w:r>
        <w:rPr>
          <w:rFonts w:hint="eastAsia"/>
          <w:szCs w:val="21"/>
        </w:rPr>
        <w:t>-2007</w:t>
      </w:r>
      <w:r>
        <w:rPr>
          <w:rFonts w:hint="eastAsia"/>
        </w:rPr>
        <w:t>中</w:t>
      </w:r>
      <w:r>
        <w:t>6.7的绝缘要求；</w:t>
      </w:r>
    </w:p>
    <w:p>
      <w:pPr>
        <w:pStyle w:val="346"/>
        <w:numPr>
          <w:ilvl w:val="0"/>
          <w:numId w:val="37"/>
        </w:numPr>
        <w:ind w:firstLineChars="0"/>
      </w:pPr>
      <w:r>
        <w:t>电源线和插头、连接器等满足</w:t>
      </w:r>
      <w:r>
        <w:rPr>
          <w:szCs w:val="21"/>
        </w:rPr>
        <w:t>GB/T 4793.1</w:t>
      </w:r>
      <w:r>
        <w:rPr>
          <w:rFonts w:hint="eastAsia"/>
          <w:szCs w:val="21"/>
        </w:rPr>
        <w:t>-2007</w:t>
      </w:r>
      <w:r>
        <w:t>中 6.10 规定的要求，对于金属外壳，PE线与外壳可靠连接；</w:t>
      </w:r>
    </w:p>
    <w:p>
      <w:pPr>
        <w:pStyle w:val="346"/>
        <w:numPr>
          <w:ilvl w:val="0"/>
          <w:numId w:val="37"/>
        </w:numPr>
        <w:ind w:firstLineChars="0"/>
      </w:pPr>
      <w:r>
        <w:t>供电电源的断开要求满足</w:t>
      </w:r>
      <w:r>
        <w:rPr>
          <w:szCs w:val="21"/>
        </w:rPr>
        <w:t>GB/T 4793.1</w:t>
      </w:r>
      <w:r>
        <w:rPr>
          <w:rFonts w:hint="eastAsia"/>
          <w:szCs w:val="21"/>
        </w:rPr>
        <w:t>-2007</w:t>
      </w:r>
      <w:r>
        <w:t>中 6.11 规定的要求。</w:t>
      </w:r>
    </w:p>
    <w:p>
      <w:pPr>
        <w:pStyle w:val="242"/>
        <w:spacing w:before="156" w:after="156"/>
        <w:outlineLvl w:val="2"/>
      </w:pPr>
      <w:bookmarkStart w:id="50" w:name="_Toc199104909"/>
      <w:r>
        <w:rPr>
          <w:rFonts w:hint="eastAsia"/>
        </w:rPr>
        <w:t>绝缘电阻</w:t>
      </w:r>
      <w:bookmarkEnd w:id="50"/>
    </w:p>
    <w:p>
      <w:pPr>
        <w:pStyle w:val="346"/>
        <w:ind w:left="420" w:firstLine="0" w:firstLineChars="0"/>
        <w:rPr>
          <w:szCs w:val="21"/>
        </w:rPr>
      </w:pPr>
      <w:r>
        <w:rPr>
          <w:szCs w:val="21"/>
        </w:rPr>
        <w:t>向量检查装置</w:t>
      </w:r>
      <w:r>
        <w:rPr>
          <w:rFonts w:hint="eastAsia"/>
          <w:szCs w:val="21"/>
        </w:rPr>
        <w:t>绝缘电阻需满足如下要求：</w:t>
      </w:r>
    </w:p>
    <w:p>
      <w:pPr>
        <w:pStyle w:val="346"/>
        <w:numPr>
          <w:ilvl w:val="0"/>
          <w:numId w:val="38"/>
        </w:numPr>
        <w:ind w:firstLineChars="0"/>
        <w:rPr>
          <w:szCs w:val="21"/>
        </w:rPr>
      </w:pPr>
      <w:r>
        <w:rPr>
          <w:szCs w:val="21"/>
        </w:rPr>
        <w:t>交流向量检查装置的绝缘电阻应满足DL/T 848.2-2018中5.4的要求。</w:t>
      </w:r>
    </w:p>
    <w:p>
      <w:pPr>
        <w:pStyle w:val="346"/>
        <w:numPr>
          <w:ilvl w:val="0"/>
          <w:numId w:val="38"/>
        </w:numPr>
        <w:ind w:firstLineChars="0"/>
        <w:rPr>
          <w:szCs w:val="21"/>
        </w:rPr>
      </w:pPr>
      <w:r>
        <w:rPr>
          <w:szCs w:val="21"/>
        </w:rPr>
        <w:t>直流向量检查装置的绝缘电阻应满足DL/T 848.1-2019中5.3.1的要求。</w:t>
      </w:r>
    </w:p>
    <w:p>
      <w:pPr>
        <w:pStyle w:val="242"/>
        <w:spacing w:before="156" w:after="156"/>
        <w:outlineLvl w:val="2"/>
      </w:pPr>
      <w:bookmarkStart w:id="51" w:name="_Toc199104910"/>
      <w:r>
        <w:rPr>
          <w:rFonts w:hint="eastAsia"/>
        </w:rPr>
        <w:t>介电强度</w:t>
      </w:r>
      <w:bookmarkEnd w:id="51"/>
    </w:p>
    <w:p>
      <w:pPr>
        <w:pStyle w:val="346"/>
        <w:ind w:left="420" w:firstLine="0" w:firstLineChars="0"/>
        <w:rPr>
          <w:szCs w:val="21"/>
        </w:rPr>
      </w:pPr>
      <w:r>
        <w:rPr>
          <w:szCs w:val="21"/>
        </w:rPr>
        <w:t>向量检查装置</w:t>
      </w:r>
      <w:r>
        <w:rPr>
          <w:rFonts w:hint="eastAsia"/>
          <w:szCs w:val="21"/>
        </w:rPr>
        <w:t>介质强度需满足如下要求：</w:t>
      </w:r>
    </w:p>
    <w:p>
      <w:pPr>
        <w:pStyle w:val="346"/>
        <w:numPr>
          <w:ilvl w:val="0"/>
          <w:numId w:val="39"/>
        </w:numPr>
        <w:ind w:firstLineChars="0"/>
        <w:rPr>
          <w:szCs w:val="21"/>
        </w:rPr>
      </w:pPr>
      <w:r>
        <w:rPr>
          <w:szCs w:val="21"/>
        </w:rPr>
        <w:t>交流向量检查装置的介电强度应满足DL/T 848.2-2018中5.4的要求。</w:t>
      </w:r>
    </w:p>
    <w:p>
      <w:pPr>
        <w:pStyle w:val="346"/>
        <w:numPr>
          <w:ilvl w:val="0"/>
          <w:numId w:val="39"/>
        </w:numPr>
        <w:ind w:firstLineChars="0"/>
        <w:rPr>
          <w:szCs w:val="21"/>
        </w:rPr>
      </w:pPr>
      <w:r>
        <w:rPr>
          <w:szCs w:val="21"/>
        </w:rPr>
        <w:t>直流向量检查装置的介电强度应满足DL/T 848.1-2019中5.3.2的要求。</w:t>
      </w:r>
    </w:p>
    <w:p>
      <w:pPr>
        <w:pStyle w:val="242"/>
        <w:spacing w:before="156" w:after="156"/>
        <w:outlineLvl w:val="2"/>
      </w:pPr>
      <w:bookmarkStart w:id="52" w:name="_Toc199104911"/>
      <w:r>
        <w:rPr>
          <w:rFonts w:hint="eastAsia"/>
        </w:rPr>
        <w:t>元件及组件安全性</w:t>
      </w:r>
      <w:bookmarkEnd w:id="52"/>
    </w:p>
    <w:p>
      <w:pPr>
        <w:pStyle w:val="239"/>
        <w:ind w:firstLine="420"/>
        <w:rPr>
          <w:rFonts w:ascii="Times New Roman"/>
          <w:szCs w:val="21"/>
        </w:rPr>
      </w:pPr>
      <w:r>
        <w:rPr>
          <w:rFonts w:ascii="Times New Roman"/>
        </w:rPr>
        <w:t>向量检查装置的元组件（保护组件、熔断器座、电源选择开关、印制电路板等）应遵守</w:t>
      </w:r>
      <w:r>
        <w:rPr>
          <w:rFonts w:ascii="Times New Roman"/>
          <w:szCs w:val="21"/>
        </w:rPr>
        <w:t>GB/T 4793.1</w:t>
      </w:r>
      <w:r>
        <w:rPr>
          <w:rFonts w:hint="eastAsia" w:ascii="Times New Roman"/>
          <w:szCs w:val="21"/>
        </w:rPr>
        <w:t>-2007</w:t>
      </w:r>
      <w:r>
        <w:rPr>
          <w:rFonts w:ascii="Times New Roman"/>
          <w:szCs w:val="21"/>
        </w:rPr>
        <w:t>第10章、第14章相关规定。</w:t>
      </w:r>
    </w:p>
    <w:p>
      <w:pPr>
        <w:pStyle w:val="242"/>
        <w:spacing w:before="156" w:after="156"/>
        <w:outlineLvl w:val="2"/>
      </w:pPr>
      <w:bookmarkStart w:id="53" w:name="_Toc199104912"/>
      <w:r>
        <w:rPr>
          <w:rFonts w:hint="eastAsia"/>
        </w:rPr>
        <w:t>设备温度限制及耐热</w:t>
      </w:r>
      <w:bookmarkEnd w:id="53"/>
    </w:p>
    <w:p>
      <w:pPr>
        <w:pStyle w:val="239"/>
        <w:ind w:firstLine="420"/>
        <w:rPr>
          <w:rFonts w:ascii="Times New Roman"/>
        </w:rPr>
      </w:pPr>
      <w:r>
        <w:rPr>
          <w:rFonts w:ascii="Times New Roman"/>
        </w:rPr>
        <w:t>向量检查装置温度限制及绝缘材料耐热应遵守</w:t>
      </w:r>
      <w:r>
        <w:rPr>
          <w:rFonts w:ascii="Times New Roman"/>
          <w:szCs w:val="21"/>
        </w:rPr>
        <w:t>GB/T 4793.1</w:t>
      </w:r>
      <w:r>
        <w:rPr>
          <w:rFonts w:hint="eastAsia" w:ascii="Times New Roman"/>
          <w:szCs w:val="21"/>
        </w:rPr>
        <w:t>-2007</w:t>
      </w:r>
      <w:r>
        <w:rPr>
          <w:rFonts w:ascii="Times New Roman"/>
          <w:szCs w:val="21"/>
        </w:rPr>
        <w:t>第10章相关规定。</w:t>
      </w:r>
    </w:p>
    <w:p>
      <w:pPr>
        <w:pStyle w:val="241"/>
        <w:spacing w:before="156" w:after="156"/>
        <w:outlineLvl w:val="1"/>
        <w:rPr>
          <w:rFonts w:ascii="Times New Roman"/>
        </w:rPr>
      </w:pPr>
      <w:bookmarkStart w:id="54" w:name="_Toc199104913"/>
      <w:bookmarkStart w:id="55" w:name="_Toc197938273"/>
      <w:r>
        <w:rPr>
          <w:rFonts w:hint="eastAsia" w:ascii="Times New Roman"/>
        </w:rPr>
        <w:t>温度影响</w:t>
      </w:r>
      <w:bookmarkEnd w:id="54"/>
    </w:p>
    <w:p>
      <w:pPr>
        <w:pStyle w:val="242"/>
        <w:spacing w:before="156" w:after="156"/>
        <w:outlineLvl w:val="2"/>
      </w:pPr>
      <w:bookmarkStart w:id="56" w:name="_Toc199104914"/>
      <w:r>
        <w:rPr>
          <w:rFonts w:hint="eastAsia"/>
        </w:rPr>
        <w:t>温度变化影响</w:t>
      </w:r>
      <w:bookmarkEnd w:id="56"/>
    </w:p>
    <w:p>
      <w:pPr>
        <w:pStyle w:val="239"/>
        <w:ind w:firstLine="420"/>
      </w:pPr>
      <w:r>
        <w:rPr>
          <w:rFonts w:hint="eastAsia"/>
        </w:rPr>
        <w:t>额定工作条件下，温度变化不应影响向</w:t>
      </w:r>
      <w:r>
        <w:rPr>
          <w:rFonts w:ascii="Times New Roman"/>
        </w:rPr>
        <w:t>量检查装置输出</w:t>
      </w:r>
      <w:r>
        <w:rPr>
          <w:rFonts w:hint="eastAsia" w:ascii="Times New Roman"/>
        </w:rPr>
        <w:t>幅值</w:t>
      </w:r>
      <w:r>
        <w:rPr>
          <w:rFonts w:ascii="Times New Roman"/>
        </w:rPr>
        <w:t>、相位、频率的技术指标。</w:t>
      </w:r>
    </w:p>
    <w:p>
      <w:pPr>
        <w:pStyle w:val="242"/>
        <w:spacing w:before="156" w:after="156"/>
        <w:outlineLvl w:val="2"/>
      </w:pPr>
      <w:bookmarkStart w:id="57" w:name="_Toc199104915"/>
      <w:r>
        <w:rPr>
          <w:rFonts w:hint="eastAsia"/>
        </w:rPr>
        <w:t>低温</w:t>
      </w:r>
      <w:bookmarkEnd w:id="57"/>
    </w:p>
    <w:p>
      <w:pPr>
        <w:pStyle w:val="239"/>
        <w:ind w:firstLine="420"/>
      </w:pPr>
      <w:r>
        <w:rPr>
          <w:rFonts w:hint="eastAsia" w:ascii="Times New Roman"/>
          <w:szCs w:val="22"/>
        </w:rPr>
        <w:t>应能承受GB/T 2423.1规定的低温试验。</w:t>
      </w:r>
    </w:p>
    <w:p>
      <w:pPr>
        <w:pStyle w:val="242"/>
        <w:spacing w:before="156" w:after="156"/>
        <w:outlineLvl w:val="2"/>
      </w:pPr>
      <w:bookmarkStart w:id="58" w:name="_Toc199104916"/>
      <w:r>
        <w:rPr>
          <w:rFonts w:hint="eastAsia"/>
        </w:rPr>
        <w:t>高温</w:t>
      </w:r>
      <w:bookmarkEnd w:id="58"/>
    </w:p>
    <w:p>
      <w:pPr>
        <w:pStyle w:val="239"/>
        <w:ind w:firstLine="420"/>
        <w:rPr>
          <w:rFonts w:ascii="Times New Roman"/>
          <w:szCs w:val="22"/>
        </w:rPr>
      </w:pPr>
      <w:r>
        <w:rPr>
          <w:rFonts w:hint="eastAsia" w:ascii="Times New Roman"/>
          <w:szCs w:val="22"/>
        </w:rPr>
        <w:t>应能承受GB/T 2423.2规定的高温试验。</w:t>
      </w:r>
    </w:p>
    <w:p>
      <w:pPr>
        <w:pStyle w:val="241"/>
        <w:spacing w:before="156" w:after="156"/>
        <w:outlineLvl w:val="1"/>
        <w:rPr>
          <w:rFonts w:ascii="Times New Roman"/>
        </w:rPr>
      </w:pPr>
      <w:bookmarkStart w:id="59" w:name="_Toc199104917"/>
      <w:r>
        <w:rPr>
          <w:rFonts w:hint="eastAsia" w:ascii="Times New Roman"/>
        </w:rPr>
        <w:t>耐湿热性能</w:t>
      </w:r>
      <w:bookmarkEnd w:id="59"/>
    </w:p>
    <w:p>
      <w:pPr>
        <w:pStyle w:val="242"/>
        <w:spacing w:before="156" w:after="156"/>
        <w:outlineLvl w:val="2"/>
      </w:pPr>
      <w:bookmarkStart w:id="60" w:name="_Toc199104918"/>
      <w:r>
        <w:rPr>
          <w:rFonts w:hint="eastAsia"/>
        </w:rPr>
        <w:t>恒定湿热</w:t>
      </w:r>
      <w:bookmarkEnd w:id="60"/>
    </w:p>
    <w:p>
      <w:pPr>
        <w:pStyle w:val="239"/>
        <w:ind w:firstLine="420"/>
        <w:rPr>
          <w:rFonts w:ascii="Times New Roman"/>
          <w:szCs w:val="22"/>
        </w:rPr>
      </w:pPr>
      <w:r>
        <w:rPr>
          <w:rFonts w:hint="eastAsia" w:ascii="Times New Roman"/>
          <w:szCs w:val="22"/>
        </w:rPr>
        <w:t>应能承受GB/T 2423.3规定的恒定湿热试验。</w:t>
      </w:r>
    </w:p>
    <w:p>
      <w:pPr>
        <w:pStyle w:val="242"/>
        <w:spacing w:before="156" w:after="156"/>
        <w:outlineLvl w:val="2"/>
      </w:pPr>
      <w:bookmarkStart w:id="61" w:name="_Toc199104919"/>
      <w:r>
        <w:rPr>
          <w:rFonts w:hint="eastAsia"/>
        </w:rPr>
        <w:t>交变湿热</w:t>
      </w:r>
      <w:bookmarkEnd w:id="61"/>
    </w:p>
    <w:p>
      <w:pPr>
        <w:pStyle w:val="239"/>
        <w:ind w:firstLine="420"/>
        <w:rPr>
          <w:rFonts w:ascii="Times New Roman"/>
          <w:szCs w:val="22"/>
        </w:rPr>
      </w:pPr>
      <w:r>
        <w:rPr>
          <w:rFonts w:hint="eastAsia" w:ascii="Times New Roman"/>
          <w:szCs w:val="22"/>
        </w:rPr>
        <w:t>应能承受GB/T 2423.4规定的恒定湿热试验。</w:t>
      </w:r>
    </w:p>
    <w:p>
      <w:pPr>
        <w:pStyle w:val="241"/>
        <w:spacing w:before="156" w:after="156"/>
        <w:outlineLvl w:val="1"/>
        <w:rPr>
          <w:rFonts w:ascii="Times New Roman"/>
        </w:rPr>
      </w:pPr>
      <w:bookmarkStart w:id="62" w:name="_Toc199104920"/>
      <w:r>
        <w:rPr>
          <w:rFonts w:hint="eastAsia"/>
          <w:color w:val="000000" w:themeColor="text1"/>
        </w:rPr>
        <w:t>机械性能</w:t>
      </w:r>
      <w:bookmarkEnd w:id="55"/>
      <w:bookmarkEnd w:id="62"/>
    </w:p>
    <w:p>
      <w:pPr>
        <w:pStyle w:val="242"/>
        <w:spacing w:before="156" w:after="156"/>
        <w:outlineLvl w:val="2"/>
      </w:pPr>
      <w:bookmarkStart w:id="63" w:name="_Toc199104921"/>
      <w:r>
        <w:t>外壳</w:t>
      </w:r>
      <w:bookmarkEnd w:id="63"/>
    </w:p>
    <w:p>
      <w:pPr>
        <w:pStyle w:val="346"/>
        <w:ind w:left="420" w:firstLine="0" w:firstLineChars="0"/>
      </w:pPr>
      <w:r>
        <w:rPr>
          <w:rFonts w:hint="eastAsia"/>
        </w:rPr>
        <w:t>外壳</w:t>
      </w:r>
      <w:r>
        <w:t>防护等级应遵守GB/T 4208中的规定，不宜小于</w:t>
      </w:r>
      <w:r>
        <w:rPr>
          <w:rFonts w:hint="eastAsia"/>
        </w:rPr>
        <w:t>IP34。</w:t>
      </w:r>
    </w:p>
    <w:p>
      <w:pPr>
        <w:pStyle w:val="242"/>
        <w:spacing w:before="156" w:after="156"/>
        <w:outlineLvl w:val="2"/>
      </w:pPr>
      <w:bookmarkStart w:id="64" w:name="_Toc199104922"/>
      <w:r>
        <w:rPr>
          <w:rFonts w:hint="eastAsia"/>
        </w:rPr>
        <w:t>结构</w:t>
      </w:r>
      <w:bookmarkEnd w:id="64"/>
    </w:p>
    <w:p>
      <w:pPr>
        <w:pStyle w:val="346"/>
        <w:ind w:left="420" w:firstLine="0" w:firstLineChars="0"/>
      </w:pPr>
      <w:r>
        <w:t>结构与设计的</w:t>
      </w:r>
      <w:r>
        <w:rPr>
          <w:rFonts w:hint="eastAsia"/>
        </w:rPr>
        <w:t>安全</w:t>
      </w:r>
      <w:r>
        <w:t>要求应遵守</w:t>
      </w:r>
      <w:r>
        <w:rPr>
          <w:szCs w:val="21"/>
        </w:rPr>
        <w:t>GB/T 4793.1</w:t>
      </w:r>
      <w:r>
        <w:rPr>
          <w:rFonts w:hint="eastAsia"/>
          <w:szCs w:val="21"/>
        </w:rPr>
        <w:t>-2007</w:t>
      </w:r>
      <w:r>
        <w:t>中的规定。</w:t>
      </w:r>
    </w:p>
    <w:p>
      <w:pPr>
        <w:pStyle w:val="242"/>
        <w:spacing w:before="156" w:after="156"/>
        <w:outlineLvl w:val="2"/>
      </w:pPr>
      <w:bookmarkStart w:id="65" w:name="_Toc199104923"/>
      <w:r>
        <w:rPr>
          <w:rFonts w:hint="eastAsia"/>
        </w:rPr>
        <w:t>输入输出端口/接口</w:t>
      </w:r>
      <w:bookmarkEnd w:id="65"/>
    </w:p>
    <w:p>
      <w:pPr>
        <w:pStyle w:val="239"/>
        <w:ind w:firstLine="420"/>
        <w:rPr>
          <w:rFonts w:ascii="Times New Roman"/>
        </w:rPr>
      </w:pPr>
      <w:r>
        <w:rPr>
          <w:rFonts w:hint="eastAsia" w:ascii="Times New Roman"/>
        </w:rPr>
        <w:t>端口/接口连接器应为标准件，满足相应产品标准要求。其形式宜采用嵌入（安装）式，并配置与连接器相适应的连接线、转换器等附件。</w:t>
      </w:r>
    </w:p>
    <w:p>
      <w:pPr>
        <w:pStyle w:val="242"/>
        <w:spacing w:before="156" w:after="156"/>
        <w:outlineLvl w:val="2"/>
      </w:pPr>
      <w:bookmarkStart w:id="66" w:name="_Toc199104924"/>
      <w:r>
        <w:rPr>
          <w:rFonts w:hint="eastAsia"/>
        </w:rPr>
        <w:t>操作面板</w:t>
      </w:r>
      <w:bookmarkEnd w:id="66"/>
    </w:p>
    <w:p>
      <w:pPr>
        <w:pStyle w:val="239"/>
        <w:ind w:firstLine="420"/>
      </w:pPr>
      <w:r>
        <w:rPr>
          <w:rFonts w:ascii="Times New Roman"/>
          <w:szCs w:val="21"/>
        </w:rPr>
        <w:t>向量检查装置</w:t>
      </w:r>
      <w:r>
        <w:rPr>
          <w:rFonts w:hint="eastAsia" w:ascii="Times New Roman"/>
          <w:szCs w:val="21"/>
        </w:rPr>
        <w:t>的操作面板应满足如下要求：</w:t>
      </w:r>
    </w:p>
    <w:p>
      <w:pPr>
        <w:pStyle w:val="346"/>
        <w:numPr>
          <w:ilvl w:val="0"/>
          <w:numId w:val="40"/>
        </w:numPr>
        <w:ind w:firstLineChars="0"/>
      </w:pPr>
      <w:r>
        <w:rPr>
          <w:rFonts w:hint="eastAsia"/>
        </w:rPr>
        <w:t>操作面板各类按键应满足相应产品标准要求，按键灵敏、可靠。</w:t>
      </w:r>
    </w:p>
    <w:p>
      <w:pPr>
        <w:pStyle w:val="346"/>
        <w:numPr>
          <w:ilvl w:val="0"/>
          <w:numId w:val="40"/>
        </w:numPr>
        <w:ind w:firstLineChars="0"/>
      </w:pPr>
      <w:r>
        <w:rPr>
          <w:rFonts w:hint="eastAsia"/>
        </w:rPr>
        <w:t>操作键盘应按以下类别分区：</w:t>
      </w:r>
    </w:p>
    <w:p>
      <w:pPr>
        <w:pStyle w:val="346"/>
        <w:numPr>
          <w:ilvl w:val="0"/>
          <w:numId w:val="41"/>
        </w:numPr>
        <w:ind w:left="1271" w:firstLineChars="0"/>
      </w:pPr>
      <w:r>
        <w:t>数值、字符类输入操作按键；</w:t>
      </w:r>
    </w:p>
    <w:p>
      <w:pPr>
        <w:pStyle w:val="346"/>
        <w:numPr>
          <w:ilvl w:val="0"/>
          <w:numId w:val="41"/>
        </w:numPr>
        <w:ind w:left="1271" w:firstLineChars="0"/>
      </w:pPr>
      <w:r>
        <w:t>定点、自定义输出功能类操作按键；</w:t>
      </w:r>
    </w:p>
    <w:p>
      <w:pPr>
        <w:pStyle w:val="346"/>
        <w:numPr>
          <w:ilvl w:val="0"/>
          <w:numId w:val="41"/>
        </w:numPr>
        <w:ind w:left="1271" w:firstLineChars="0"/>
      </w:pPr>
      <w:r>
        <w:t>功能切换类操作按键；</w:t>
      </w:r>
    </w:p>
    <w:p>
      <w:pPr>
        <w:pStyle w:val="346"/>
        <w:numPr>
          <w:ilvl w:val="0"/>
          <w:numId w:val="41"/>
        </w:numPr>
        <w:ind w:left="1271" w:firstLineChars="0"/>
      </w:pPr>
      <w:r>
        <w:t>待机确认、启动/复位、停止等系统操作类按键。</w:t>
      </w:r>
    </w:p>
    <w:p>
      <w:pPr>
        <w:pStyle w:val="242"/>
        <w:spacing w:before="156" w:after="156"/>
        <w:outlineLvl w:val="2"/>
      </w:pPr>
      <w:bookmarkStart w:id="67" w:name="_Toc199104925"/>
      <w:r>
        <w:rPr>
          <w:rFonts w:hint="eastAsia"/>
        </w:rPr>
        <w:t>承受振动耐久能力</w:t>
      </w:r>
      <w:bookmarkEnd w:id="67"/>
    </w:p>
    <w:p>
      <w:pPr>
        <w:pStyle w:val="239"/>
        <w:ind w:firstLine="420"/>
      </w:pPr>
      <w:r>
        <w:rPr>
          <w:rFonts w:hint="eastAsia" w:ascii="Times New Roman"/>
        </w:rPr>
        <w:t>应具有承受GB/T 2423.10规定的严酷等级的振动耐久能力。</w:t>
      </w:r>
    </w:p>
    <w:p>
      <w:pPr>
        <w:pStyle w:val="242"/>
        <w:spacing w:before="156" w:after="156"/>
        <w:outlineLvl w:val="2"/>
      </w:pPr>
      <w:bookmarkStart w:id="68" w:name="_Toc199104926"/>
      <w:r>
        <w:rPr>
          <w:rFonts w:hint="eastAsia"/>
        </w:rPr>
        <w:t>承受冲击耐久能力</w:t>
      </w:r>
      <w:bookmarkEnd w:id="68"/>
    </w:p>
    <w:p>
      <w:pPr>
        <w:pStyle w:val="239"/>
        <w:ind w:firstLine="420"/>
      </w:pPr>
      <w:r>
        <w:rPr>
          <w:rFonts w:hint="eastAsia" w:ascii="Times New Roman"/>
        </w:rPr>
        <w:t>应具有承受GB/T 2423.5规定的严酷度的冲击耐久能力。</w:t>
      </w:r>
    </w:p>
    <w:p>
      <w:pPr>
        <w:pStyle w:val="241"/>
        <w:spacing w:before="156" w:after="156"/>
        <w:outlineLvl w:val="1"/>
        <w:rPr>
          <w:color w:val="000000" w:themeColor="text1"/>
        </w:rPr>
      </w:pPr>
      <w:bookmarkStart w:id="69" w:name="_Toc197938274"/>
      <w:bookmarkStart w:id="70" w:name="_Toc199104927"/>
      <w:r>
        <w:rPr>
          <w:rFonts w:hint="eastAsia"/>
          <w:color w:val="000000" w:themeColor="text1"/>
        </w:rPr>
        <w:t>电磁兼容</w:t>
      </w:r>
      <w:bookmarkEnd w:id="69"/>
      <w:bookmarkEnd w:id="70"/>
    </w:p>
    <w:p>
      <w:pPr>
        <w:pStyle w:val="242"/>
        <w:spacing w:before="156" w:after="156"/>
        <w:outlineLvl w:val="2"/>
      </w:pPr>
      <w:bookmarkStart w:id="71" w:name="_Toc199104928"/>
      <w:r>
        <w:rPr>
          <w:rFonts w:hint="eastAsia"/>
        </w:rPr>
        <w:t>静电放</w:t>
      </w:r>
      <w:r>
        <w:t>电抗扰度</w:t>
      </w:r>
      <w:bookmarkEnd w:id="71"/>
    </w:p>
    <w:p>
      <w:pPr>
        <w:pStyle w:val="239"/>
        <w:ind w:firstLine="420"/>
        <w:rPr>
          <w:rFonts w:ascii="Times New Roman"/>
          <w:szCs w:val="21"/>
        </w:rPr>
      </w:pPr>
      <w:r>
        <w:rPr>
          <w:rFonts w:hint="eastAsia" w:ascii="Times New Roman"/>
          <w:szCs w:val="21"/>
        </w:rPr>
        <w:t>应能承受GB/T 17626.2规定的严酷等级为III级的静电放电抗扰度试验。</w:t>
      </w:r>
    </w:p>
    <w:p>
      <w:pPr>
        <w:pStyle w:val="242"/>
        <w:spacing w:before="156" w:after="156"/>
        <w:outlineLvl w:val="2"/>
      </w:pPr>
      <w:bookmarkStart w:id="72" w:name="_Toc199104929"/>
      <w:r>
        <w:rPr>
          <w:rFonts w:hint="eastAsia"/>
        </w:rPr>
        <w:t>射频电磁场辐射抗扰度</w:t>
      </w:r>
      <w:bookmarkEnd w:id="72"/>
    </w:p>
    <w:p>
      <w:pPr>
        <w:pStyle w:val="239"/>
        <w:ind w:firstLine="420"/>
        <w:rPr>
          <w:rFonts w:ascii="Times New Roman"/>
          <w:szCs w:val="21"/>
        </w:rPr>
      </w:pPr>
      <w:r>
        <w:rPr>
          <w:rFonts w:hint="eastAsia" w:ascii="Times New Roman"/>
          <w:szCs w:val="21"/>
        </w:rPr>
        <w:t>应能承受GB/T 17626.3规定的严酷等级为III级的射频电磁场辐射抗扰度试验。</w:t>
      </w:r>
    </w:p>
    <w:p>
      <w:pPr>
        <w:pStyle w:val="242"/>
        <w:spacing w:before="156" w:after="156"/>
        <w:outlineLvl w:val="2"/>
      </w:pPr>
      <w:bookmarkStart w:id="73" w:name="_Toc199104930"/>
      <w:r>
        <w:rPr>
          <w:rFonts w:hint="eastAsia"/>
        </w:rPr>
        <w:t>电快速瞬变脉冲群抗扰度</w:t>
      </w:r>
      <w:bookmarkEnd w:id="73"/>
    </w:p>
    <w:p>
      <w:pPr>
        <w:pStyle w:val="239"/>
        <w:ind w:firstLine="420"/>
        <w:rPr>
          <w:rFonts w:ascii="Times New Roman"/>
          <w:szCs w:val="21"/>
        </w:rPr>
      </w:pPr>
      <w:r>
        <w:rPr>
          <w:rFonts w:hint="eastAsia" w:ascii="Times New Roman"/>
          <w:szCs w:val="21"/>
        </w:rPr>
        <w:t>应能承受GB/T 17626.4规定的严酷等级为III级的电快速瞬变脉冲群抗扰度试验。</w:t>
      </w:r>
    </w:p>
    <w:p>
      <w:pPr>
        <w:pStyle w:val="242"/>
        <w:spacing w:before="156" w:after="156"/>
        <w:outlineLvl w:val="2"/>
      </w:pPr>
      <w:bookmarkStart w:id="74" w:name="_Toc199104931"/>
      <w:r>
        <w:rPr>
          <w:rFonts w:hint="eastAsia"/>
        </w:rPr>
        <w:t>射频场感应的传导骚扰抗扰度试验</w:t>
      </w:r>
      <w:bookmarkEnd w:id="74"/>
    </w:p>
    <w:p>
      <w:pPr>
        <w:pStyle w:val="239"/>
        <w:ind w:firstLine="420"/>
        <w:rPr>
          <w:rFonts w:ascii="Times New Roman"/>
          <w:szCs w:val="21"/>
        </w:rPr>
      </w:pPr>
      <w:r>
        <w:rPr>
          <w:rFonts w:hint="eastAsia" w:ascii="Times New Roman"/>
          <w:szCs w:val="21"/>
        </w:rPr>
        <w:t>应能承受GB/T 17626.6规定的严酷等级为III级的射频场感应的传导骚扰抗扰度试验。</w:t>
      </w:r>
    </w:p>
    <w:p>
      <w:pPr>
        <w:pStyle w:val="331"/>
        <w:rPr>
          <w:szCs w:val="21"/>
        </w:rPr>
      </w:pPr>
    </w:p>
    <w:p>
      <w:pPr>
        <w:pStyle w:val="240"/>
        <w:spacing w:before="312" w:after="312"/>
        <w:outlineLvl w:val="0"/>
        <w:rPr>
          <w:rFonts w:ascii="Times New Roman"/>
          <w:szCs w:val="21"/>
        </w:rPr>
      </w:pPr>
      <w:bookmarkStart w:id="75" w:name="_Toc199104932"/>
      <w:bookmarkStart w:id="76" w:name="_Toc197938275"/>
      <w:bookmarkStart w:id="77" w:name="_Toc63642877"/>
      <w:bookmarkStart w:id="78" w:name="_Toc62027352"/>
      <w:r>
        <w:rPr>
          <w:rFonts w:hint="eastAsia" w:ascii="Times New Roman"/>
          <w:szCs w:val="21"/>
        </w:rPr>
        <w:t>检验规则</w:t>
      </w:r>
      <w:bookmarkEnd w:id="75"/>
      <w:bookmarkEnd w:id="76"/>
    </w:p>
    <w:p>
      <w:pPr>
        <w:pStyle w:val="241"/>
        <w:spacing w:before="156" w:after="156"/>
        <w:outlineLvl w:val="1"/>
        <w:rPr>
          <w:color w:val="000000" w:themeColor="text1"/>
        </w:rPr>
      </w:pPr>
      <w:bookmarkStart w:id="79" w:name="_Toc199104933"/>
      <w:bookmarkStart w:id="80" w:name="_Toc197938276"/>
      <w:r>
        <w:rPr>
          <w:rFonts w:hint="eastAsia"/>
          <w:color w:val="000000" w:themeColor="text1"/>
        </w:rPr>
        <w:t>检验种类</w:t>
      </w:r>
      <w:bookmarkEnd w:id="79"/>
      <w:bookmarkEnd w:id="80"/>
    </w:p>
    <w:p>
      <w:pPr>
        <w:pStyle w:val="242"/>
        <w:spacing w:before="156" w:after="156"/>
        <w:outlineLvl w:val="2"/>
      </w:pPr>
      <w:bookmarkStart w:id="81" w:name="_Toc199104934"/>
      <w:r>
        <w:rPr>
          <w:rFonts w:hint="eastAsia"/>
        </w:rPr>
        <w:t>型式检验</w:t>
      </w:r>
      <w:bookmarkEnd w:id="81"/>
    </w:p>
    <w:p>
      <w:pPr>
        <w:pStyle w:val="239"/>
        <w:ind w:firstLine="420"/>
      </w:pPr>
      <w:r>
        <w:rPr>
          <w:rFonts w:hint="eastAsia"/>
        </w:rPr>
        <w:t xml:space="preserve">型式检验是用若干样品按本文件规定进行所有项目的检验，其目的在于判断产品是否满足该标准要求，通常又分为设计定型鉴定检验和生产定型鉴定检验。 </w:t>
      </w:r>
    </w:p>
    <w:p>
      <w:pPr>
        <w:pStyle w:val="239"/>
        <w:ind w:firstLine="420"/>
      </w:pPr>
      <w:r>
        <w:rPr>
          <w:rFonts w:hint="eastAsia"/>
        </w:rPr>
        <w:t>下列情况应进行型式检验：</w:t>
      </w:r>
    </w:p>
    <w:p>
      <w:pPr>
        <w:pStyle w:val="346"/>
        <w:numPr>
          <w:ilvl w:val="0"/>
          <w:numId w:val="42"/>
        </w:numPr>
        <w:ind w:firstLineChars="0"/>
      </w:pPr>
      <w:r>
        <w:rPr>
          <w:rFonts w:hint="eastAsia"/>
        </w:rPr>
        <w:t>新产品鉴定或定型前；</w:t>
      </w:r>
    </w:p>
    <w:p>
      <w:pPr>
        <w:pStyle w:val="346"/>
        <w:numPr>
          <w:ilvl w:val="0"/>
          <w:numId w:val="42"/>
        </w:numPr>
        <w:ind w:firstLineChars="0"/>
      </w:pPr>
      <w:r>
        <w:t>产品正式投产后，如遇设计、工艺、材料、元器件等有较大改变，可能影响产品性能时；</w:t>
      </w:r>
    </w:p>
    <w:p>
      <w:pPr>
        <w:pStyle w:val="346"/>
        <w:numPr>
          <w:ilvl w:val="0"/>
          <w:numId w:val="42"/>
        </w:numPr>
        <w:ind w:firstLineChars="0"/>
      </w:pPr>
      <w:r>
        <w:t>软、硬件变更（升级后），对产品的性能有影响时；</w:t>
      </w:r>
    </w:p>
    <w:p>
      <w:pPr>
        <w:pStyle w:val="346"/>
        <w:numPr>
          <w:ilvl w:val="0"/>
          <w:numId w:val="42"/>
        </w:numPr>
        <w:ind w:firstLineChars="0"/>
      </w:pPr>
      <w:r>
        <w:t>产品长期停产后，恢复生产时；</w:t>
      </w:r>
    </w:p>
    <w:p>
      <w:pPr>
        <w:pStyle w:val="346"/>
        <w:numPr>
          <w:ilvl w:val="0"/>
          <w:numId w:val="42"/>
        </w:numPr>
        <w:ind w:firstLineChars="0"/>
      </w:pPr>
      <w:r>
        <w:t>国家质量监督机构提出进行型式试验的要求时。</w:t>
      </w:r>
    </w:p>
    <w:p>
      <w:pPr>
        <w:pStyle w:val="239"/>
        <w:ind w:firstLine="420"/>
      </w:pPr>
      <w:r>
        <w:rPr>
          <w:rFonts w:ascii="Times New Roman"/>
        </w:rPr>
        <w:t>型式检验应在出厂检验合格批中随机抽取不少于2台，并按</w:t>
      </w:r>
      <w:r>
        <w:rPr>
          <w:rFonts w:hint="eastAsia" w:ascii="Times New Roman"/>
        </w:rPr>
        <w:t>本</w:t>
      </w:r>
      <w:r>
        <w:rPr>
          <w:rFonts w:ascii="Times New Roman"/>
        </w:rPr>
        <w:t>标准附表A.1进</w:t>
      </w:r>
      <w:r>
        <w:rPr>
          <w:rFonts w:hint="eastAsia"/>
        </w:rPr>
        <w:t>行检验。</w:t>
      </w:r>
    </w:p>
    <w:p>
      <w:pPr>
        <w:pStyle w:val="239"/>
        <w:ind w:firstLine="420"/>
      </w:pPr>
      <w:r>
        <w:rPr>
          <w:rFonts w:hint="eastAsia"/>
        </w:rPr>
        <w:t>检验项目中任一项不合格，则判断该样品不合格。</w:t>
      </w:r>
    </w:p>
    <w:p>
      <w:pPr>
        <w:pStyle w:val="239"/>
        <w:ind w:firstLine="420"/>
      </w:pPr>
      <w:r>
        <w:rPr>
          <w:rFonts w:hint="eastAsia"/>
        </w:rPr>
        <w:t>若在型式检验后，对被试设备进行部分性能调整，则只需对因调整而可能影响到的特性进行有限的检验。</w:t>
      </w:r>
    </w:p>
    <w:p>
      <w:pPr>
        <w:pStyle w:val="242"/>
        <w:spacing w:before="156" w:after="156"/>
        <w:outlineLvl w:val="2"/>
      </w:pPr>
      <w:bookmarkStart w:id="82" w:name="_Toc199104935"/>
      <w:r>
        <w:rPr>
          <w:rFonts w:hint="eastAsia"/>
        </w:rPr>
        <w:t>出厂检验</w:t>
      </w:r>
      <w:bookmarkEnd w:id="82"/>
    </w:p>
    <w:p>
      <w:pPr>
        <w:ind w:left="420"/>
        <w:rPr>
          <w:rFonts w:hint="eastAsia"/>
        </w:rPr>
      </w:pPr>
      <w:r>
        <w:rPr>
          <w:rFonts w:hint="eastAsia"/>
        </w:rPr>
        <w:t>向量检查装置出厂检验应按以下规则进行：</w:t>
      </w:r>
    </w:p>
    <w:p>
      <w:pPr>
        <w:pStyle w:val="346"/>
        <w:numPr>
          <w:ilvl w:val="0"/>
          <w:numId w:val="43"/>
        </w:numPr>
        <w:ind w:firstLineChars="0"/>
      </w:pPr>
      <w:r>
        <w:rPr>
          <w:rFonts w:hint="eastAsia"/>
        </w:rPr>
        <w:t>向量检查装置在出厂前应由制造商的质量检验部门检验合格，附有合格证，方可出厂。检验应在基准条件下进行，检验项目见</w:t>
      </w:r>
      <w:r>
        <w:t>附表A.1</w:t>
      </w:r>
      <w:r>
        <w:rPr>
          <w:rFonts w:hint="eastAsia"/>
        </w:rPr>
        <w:t>。</w:t>
      </w:r>
    </w:p>
    <w:p>
      <w:pPr>
        <w:pStyle w:val="346"/>
        <w:numPr>
          <w:ilvl w:val="0"/>
          <w:numId w:val="43"/>
        </w:numPr>
        <w:ind w:firstLineChars="0"/>
      </w:pPr>
      <w:r>
        <w:rPr>
          <w:rFonts w:hint="eastAsia"/>
        </w:rPr>
        <w:t>出厂检验中若有任一项目不符合要求的，必须消除其不符合要求的原因，并重新检验合格后，由制造商的质量检验部门出具合格证。</w:t>
      </w:r>
    </w:p>
    <w:p>
      <w:pPr>
        <w:pStyle w:val="242"/>
        <w:spacing w:before="156" w:after="156"/>
        <w:outlineLvl w:val="2"/>
      </w:pPr>
      <w:bookmarkStart w:id="83" w:name="_Toc199104936"/>
      <w:r>
        <w:rPr>
          <w:rFonts w:hint="eastAsia"/>
        </w:rPr>
        <w:t>定期检验</w:t>
      </w:r>
      <w:bookmarkEnd w:id="83"/>
    </w:p>
    <w:p>
      <w:pPr>
        <w:ind w:left="420"/>
        <w:rPr>
          <w:rFonts w:hint="eastAsia"/>
        </w:rPr>
      </w:pPr>
      <w:r>
        <w:rPr>
          <w:rFonts w:hint="eastAsia"/>
        </w:rPr>
        <w:t>向量检查装置定期检验应按以下规则进行：</w:t>
      </w:r>
    </w:p>
    <w:p>
      <w:pPr>
        <w:pStyle w:val="346"/>
        <w:numPr>
          <w:ilvl w:val="0"/>
          <w:numId w:val="44"/>
        </w:numPr>
        <w:ind w:firstLineChars="0"/>
      </w:pPr>
      <w:r>
        <w:rPr>
          <w:rFonts w:hint="eastAsia"/>
        </w:rPr>
        <w:t>在规定使用的时间内，使用部门应将向量检查装置送至检验部门定期检验，定期检验周期为两年。检验应在基准条件下进行，检验项目见</w:t>
      </w:r>
      <w:r>
        <w:t>附表A.1</w:t>
      </w:r>
      <w:r>
        <w:rPr>
          <w:rFonts w:hint="eastAsia"/>
        </w:rPr>
        <w:t>。</w:t>
      </w:r>
    </w:p>
    <w:p>
      <w:pPr>
        <w:pStyle w:val="346"/>
        <w:numPr>
          <w:ilvl w:val="0"/>
          <w:numId w:val="44"/>
        </w:numPr>
        <w:ind w:firstLineChars="0"/>
      </w:pPr>
      <w:r>
        <w:rPr>
          <w:rFonts w:hint="eastAsia"/>
        </w:rPr>
        <w:t>向量检查装置维修后，应进行检验。</w:t>
      </w:r>
    </w:p>
    <w:p>
      <w:pPr>
        <w:pStyle w:val="346"/>
        <w:numPr>
          <w:ilvl w:val="0"/>
          <w:numId w:val="44"/>
        </w:numPr>
        <w:ind w:firstLineChars="0"/>
      </w:pPr>
      <w:r>
        <w:rPr>
          <w:rFonts w:hint="eastAsia"/>
        </w:rPr>
        <w:t>经检验合格的产品，应由检验部门出具检验合格证书方能投入使用。</w:t>
      </w:r>
    </w:p>
    <w:p>
      <w:pPr>
        <w:pStyle w:val="241"/>
        <w:spacing w:before="156" w:after="156"/>
        <w:outlineLvl w:val="1"/>
        <w:rPr>
          <w:color w:val="000000" w:themeColor="text1"/>
        </w:rPr>
      </w:pPr>
      <w:bookmarkStart w:id="84" w:name="_Toc197938458"/>
      <w:bookmarkStart w:id="85" w:name="_Toc199104937"/>
      <w:r>
        <w:rPr>
          <w:rFonts w:hint="eastAsia"/>
          <w:color w:val="000000" w:themeColor="text1"/>
        </w:rPr>
        <w:t>检验条件</w:t>
      </w:r>
      <w:bookmarkEnd w:id="84"/>
      <w:bookmarkEnd w:id="85"/>
    </w:p>
    <w:p>
      <w:pPr>
        <w:pStyle w:val="239"/>
        <w:ind w:firstLine="420"/>
        <w:rPr>
          <w:rFonts w:ascii="Times New Roman"/>
        </w:rPr>
      </w:pPr>
      <w:r>
        <w:rPr>
          <w:rFonts w:ascii="Times New Roman"/>
        </w:rPr>
        <w:t>对</w:t>
      </w:r>
      <w:r>
        <w:rPr>
          <w:rFonts w:ascii="Times New Roman"/>
          <w:szCs w:val="21"/>
        </w:rPr>
        <w:t>向量检查装置</w:t>
      </w:r>
      <w:r>
        <w:rPr>
          <w:rFonts w:ascii="Times New Roman"/>
        </w:rPr>
        <w:t>进行质量检验时应按以下规则进行</w:t>
      </w:r>
      <w:r>
        <w:rPr>
          <w:rFonts w:hint="eastAsia" w:ascii="Times New Roman"/>
        </w:rPr>
        <w:t>：</w:t>
      </w:r>
    </w:p>
    <w:p>
      <w:pPr>
        <w:pStyle w:val="346"/>
        <w:numPr>
          <w:ilvl w:val="0"/>
          <w:numId w:val="45"/>
        </w:numPr>
        <w:ind w:firstLineChars="0"/>
      </w:pPr>
      <w:r>
        <w:rPr>
          <w:rFonts w:hint="eastAsia"/>
        </w:rPr>
        <w:t>检验应在基准工作条件下进行；</w:t>
      </w:r>
    </w:p>
    <w:p>
      <w:pPr>
        <w:pStyle w:val="346"/>
        <w:numPr>
          <w:ilvl w:val="0"/>
          <w:numId w:val="45"/>
        </w:numPr>
        <w:ind w:firstLineChars="0"/>
      </w:pPr>
      <w:r>
        <w:t>一般</w:t>
      </w:r>
      <w:r>
        <w:rPr>
          <w:rFonts w:hint="eastAsia"/>
        </w:rPr>
        <w:t>检查</w:t>
      </w:r>
      <w:r>
        <w:t>应在被试</w:t>
      </w:r>
      <w:r>
        <w:rPr>
          <w:rFonts w:hint="eastAsia"/>
        </w:rPr>
        <w:t>设备</w:t>
      </w:r>
      <w:r>
        <w:t>无损试验下进行</w:t>
      </w:r>
      <w:r>
        <w:rPr>
          <w:rFonts w:hint="eastAsia"/>
        </w:rPr>
        <w:t>；</w:t>
      </w:r>
    </w:p>
    <w:p>
      <w:pPr>
        <w:pStyle w:val="346"/>
        <w:numPr>
          <w:ilvl w:val="0"/>
          <w:numId w:val="45"/>
        </w:numPr>
        <w:ind w:firstLineChars="0"/>
      </w:pPr>
      <w:r>
        <w:t>对于严重缺陷或缺陷无法用文字叙述时</w:t>
      </w:r>
      <w:r>
        <w:rPr>
          <w:rFonts w:hint="eastAsia"/>
        </w:rPr>
        <w:t>，</w:t>
      </w:r>
      <w:r>
        <w:t>可以用相机拍照记录</w:t>
      </w:r>
      <w:r>
        <w:rPr>
          <w:rFonts w:hint="eastAsia"/>
        </w:rPr>
        <w:t>；</w:t>
      </w:r>
    </w:p>
    <w:p>
      <w:pPr>
        <w:pStyle w:val="346"/>
        <w:numPr>
          <w:ilvl w:val="0"/>
          <w:numId w:val="45"/>
        </w:numPr>
        <w:ind w:firstLineChars="0"/>
      </w:pPr>
      <w:r>
        <w:t>被试</w:t>
      </w:r>
      <w:r>
        <w:rPr>
          <w:rFonts w:hint="eastAsia"/>
        </w:rPr>
        <w:t>设备</w:t>
      </w:r>
      <w:r>
        <w:t>和测试仪表应良好接地，并考虑周围环境电磁干扰对测试结果的影响。</w:t>
      </w:r>
    </w:p>
    <w:p>
      <w:pPr>
        <w:pStyle w:val="241"/>
        <w:spacing w:before="156" w:after="156"/>
        <w:outlineLvl w:val="1"/>
        <w:rPr>
          <w:color w:val="000000" w:themeColor="text1"/>
        </w:rPr>
      </w:pPr>
      <w:bookmarkStart w:id="86" w:name="_Toc197938459"/>
      <w:bookmarkEnd w:id="86"/>
      <w:bookmarkStart w:id="87" w:name="_Toc197935089"/>
      <w:bookmarkEnd w:id="87"/>
      <w:bookmarkStart w:id="88" w:name="_Toc197934869"/>
      <w:bookmarkEnd w:id="88"/>
      <w:bookmarkStart w:id="89" w:name="_Toc199104938"/>
      <w:bookmarkEnd w:id="89"/>
      <w:bookmarkStart w:id="90" w:name="_Toc197936788"/>
      <w:bookmarkEnd w:id="90"/>
      <w:bookmarkStart w:id="91" w:name="_Toc199104940"/>
      <w:bookmarkStart w:id="92" w:name="_Toc197938461"/>
      <w:r>
        <w:rPr>
          <w:rFonts w:hint="eastAsia"/>
          <w:color w:val="000000" w:themeColor="text1"/>
        </w:rPr>
        <w:t>检验结果评判</w:t>
      </w:r>
      <w:bookmarkEnd w:id="91"/>
    </w:p>
    <w:p>
      <w:pPr>
        <w:ind w:firstLine="420" w:firstLineChars="200"/>
      </w:pPr>
      <w:r>
        <w:rPr>
          <w:rFonts w:hint="eastAsia"/>
        </w:rPr>
        <w:t>检验结果应满足第4章的相关要求。</w:t>
      </w:r>
    </w:p>
    <w:p>
      <w:pPr>
        <w:pStyle w:val="241"/>
        <w:spacing w:before="156" w:after="156"/>
        <w:outlineLvl w:val="1"/>
        <w:rPr>
          <w:color w:val="000000" w:themeColor="text1"/>
        </w:rPr>
      </w:pPr>
      <w:bookmarkStart w:id="93" w:name="_Toc199104941"/>
      <w:r>
        <w:rPr>
          <w:rFonts w:hint="eastAsia"/>
          <w:color w:val="000000" w:themeColor="text1"/>
        </w:rPr>
        <w:t>检验方法</w:t>
      </w:r>
      <w:bookmarkEnd w:id="92"/>
      <w:bookmarkEnd w:id="93"/>
    </w:p>
    <w:p>
      <w:pPr>
        <w:pStyle w:val="242"/>
        <w:spacing w:before="156" w:after="156"/>
        <w:outlineLvl w:val="2"/>
      </w:pPr>
      <w:bookmarkStart w:id="94" w:name="_Toc199104942"/>
      <w:r>
        <w:rPr>
          <w:rFonts w:hint="eastAsia"/>
        </w:rPr>
        <w:t>外观及结构检查</w:t>
      </w:r>
      <w:bookmarkEnd w:id="94"/>
    </w:p>
    <w:p>
      <w:pPr>
        <w:pStyle w:val="239"/>
        <w:ind w:firstLine="420"/>
      </w:pPr>
      <w:r>
        <w:rPr>
          <w:rFonts w:hint="eastAsia"/>
        </w:rPr>
        <w:t>外观及结构检查应按以下规则进行：</w:t>
      </w:r>
    </w:p>
    <w:p>
      <w:pPr>
        <w:pStyle w:val="239"/>
        <w:numPr>
          <w:ilvl w:val="0"/>
          <w:numId w:val="46"/>
        </w:numPr>
        <w:ind w:firstLineChars="0"/>
      </w:pPr>
      <w:r>
        <w:rPr>
          <w:rFonts w:hint="eastAsia"/>
        </w:rPr>
        <w:t>检查被试设备是否按产品标准规定对有关部位进行漆封。</w:t>
      </w:r>
    </w:p>
    <w:p>
      <w:pPr>
        <w:pStyle w:val="239"/>
        <w:numPr>
          <w:ilvl w:val="0"/>
          <w:numId w:val="46"/>
        </w:numPr>
        <w:ind w:firstLineChars="0"/>
      </w:pPr>
      <w:r>
        <w:rPr>
          <w:rFonts w:hint="eastAsia"/>
        </w:rPr>
        <w:t>目测被试设备表面的涂覆层的颜色是否均匀一致,有无明显的色差和眩光，检查涂覆层表面是否有砂粒、趋皱、流痕等缺陷。</w:t>
      </w:r>
    </w:p>
    <w:p>
      <w:pPr>
        <w:pStyle w:val="239"/>
        <w:numPr>
          <w:ilvl w:val="0"/>
          <w:numId w:val="46"/>
        </w:numPr>
        <w:ind w:firstLineChars="0"/>
      </w:pPr>
      <w:r>
        <w:rPr>
          <w:rFonts w:hint="eastAsia"/>
        </w:rPr>
        <w:t>检查被试设备连接导线的颜色、线径及连接方式等是否符合产品标准的规定。</w:t>
      </w:r>
    </w:p>
    <w:p>
      <w:pPr>
        <w:pStyle w:val="239"/>
        <w:numPr>
          <w:ilvl w:val="0"/>
          <w:numId w:val="46"/>
        </w:numPr>
        <w:ind w:firstLineChars="0"/>
      </w:pPr>
      <w:r>
        <w:rPr>
          <w:rFonts w:hint="eastAsia"/>
        </w:rPr>
        <w:t>检查被试设备铭牌标志和端子号是否符合标准的规定。</w:t>
      </w:r>
    </w:p>
    <w:p>
      <w:pPr>
        <w:pStyle w:val="239"/>
        <w:numPr>
          <w:ilvl w:val="0"/>
          <w:numId w:val="46"/>
        </w:numPr>
        <w:ind w:firstLineChars="0"/>
      </w:pPr>
      <w:r>
        <w:rPr>
          <w:rFonts w:hint="eastAsia"/>
        </w:rPr>
        <w:t>检查插拔式被试设备的接插件插拔的灵活性和互换性。</w:t>
      </w:r>
    </w:p>
    <w:p>
      <w:pPr>
        <w:pStyle w:val="239"/>
        <w:numPr>
          <w:ilvl w:val="0"/>
          <w:numId w:val="46"/>
        </w:numPr>
        <w:ind w:firstLineChars="0"/>
      </w:pPr>
      <w:r>
        <w:rPr>
          <w:rFonts w:hint="eastAsia"/>
        </w:rPr>
        <w:t>检查被试设备中电镀零件、喷漆零件、塑料零件的表面质量，例如有无划伤、碰伤和变形现象。</w:t>
      </w:r>
    </w:p>
    <w:p>
      <w:pPr>
        <w:pStyle w:val="239"/>
        <w:numPr>
          <w:ilvl w:val="0"/>
          <w:numId w:val="46"/>
        </w:numPr>
        <w:ind w:firstLineChars="0"/>
      </w:pPr>
      <w:r>
        <w:rPr>
          <w:rFonts w:hint="eastAsia"/>
        </w:rPr>
        <w:t>被试设备中是否存在引起电化学腐蚀的不同金属材料或电镀层的直接连接。</w:t>
      </w:r>
      <w:bookmarkStart w:id="95" w:name="_Toc386037006"/>
      <w:bookmarkStart w:id="96" w:name="_Toc390696460"/>
      <w:bookmarkStart w:id="97" w:name="_Toc389213571"/>
      <w:bookmarkStart w:id="98" w:name="_Toc371928836"/>
      <w:bookmarkStart w:id="99" w:name="_Toc396815057"/>
      <w:bookmarkStart w:id="100" w:name="_Toc1099"/>
      <w:bookmarkStart w:id="101" w:name="_Toc374351213"/>
      <w:bookmarkStart w:id="102" w:name="_Toc371928995"/>
    </w:p>
    <w:p>
      <w:pPr>
        <w:pStyle w:val="242"/>
        <w:spacing w:before="156" w:after="156"/>
        <w:outlineLvl w:val="2"/>
      </w:pPr>
      <w:bookmarkStart w:id="103" w:name="_Toc199104943"/>
      <w:r>
        <w:rPr>
          <w:rFonts w:hint="eastAsia"/>
        </w:rPr>
        <w:t>技术指标检验</w:t>
      </w:r>
      <w:bookmarkEnd w:id="95"/>
      <w:bookmarkEnd w:id="96"/>
      <w:bookmarkEnd w:id="97"/>
      <w:bookmarkEnd w:id="98"/>
      <w:bookmarkEnd w:id="99"/>
      <w:bookmarkEnd w:id="100"/>
      <w:bookmarkEnd w:id="101"/>
      <w:bookmarkEnd w:id="102"/>
      <w:bookmarkEnd w:id="103"/>
    </w:p>
    <w:p>
      <w:pPr>
        <w:pStyle w:val="239"/>
        <w:ind w:firstLine="0" w:firstLineChars="0"/>
      </w:pPr>
      <w:r>
        <w:rPr>
          <w:rFonts w:hint="eastAsia" w:ascii="黑体" w:hAnsi="黑体" w:eastAsia="黑体"/>
        </w:rPr>
        <w:t xml:space="preserve">5.4.2.1 </w:t>
      </w:r>
      <w:r>
        <w:rPr>
          <w:rFonts w:hint="eastAsia"/>
        </w:rPr>
        <w:t>非同源向量检查装置输出测试应按以下规则进行：</w:t>
      </w:r>
    </w:p>
    <w:p>
      <w:pPr>
        <w:pStyle w:val="239"/>
        <w:numPr>
          <w:ilvl w:val="0"/>
          <w:numId w:val="47"/>
        </w:numPr>
        <w:ind w:firstLineChars="0"/>
        <w:rPr>
          <w:rFonts w:ascii="Times New Roman"/>
        </w:rPr>
      </w:pPr>
      <w:bookmarkStart w:id="104" w:name="_Hlk194871362"/>
      <w:r>
        <w:rPr>
          <w:rFonts w:hint="eastAsia" w:ascii="Times New Roman"/>
        </w:rPr>
        <w:t>幅值</w:t>
      </w:r>
      <w:r>
        <w:rPr>
          <w:rFonts w:ascii="Times New Roman"/>
        </w:rPr>
        <w:t>试验点在电压/电流</w:t>
      </w:r>
      <w:r>
        <w:rPr>
          <w:rFonts w:hint="eastAsia" w:ascii="Times New Roman"/>
        </w:rPr>
        <w:t>最大有效值</w:t>
      </w:r>
      <w:r>
        <w:rPr>
          <w:rFonts w:ascii="Times New Roman"/>
        </w:rPr>
        <w:t>25%~100%选取，试验点至少涵盖25%、50%、100%；</w:t>
      </w:r>
    </w:p>
    <w:p>
      <w:pPr>
        <w:pStyle w:val="239"/>
        <w:numPr>
          <w:ilvl w:val="0"/>
          <w:numId w:val="47"/>
        </w:numPr>
        <w:ind w:firstLineChars="0"/>
        <w:rPr>
          <w:rFonts w:ascii="Times New Roman"/>
        </w:rPr>
      </w:pPr>
      <w:r>
        <w:rPr>
          <w:rFonts w:ascii="Times New Roman"/>
        </w:rPr>
        <w:t>相位试验</w:t>
      </w:r>
      <w:r>
        <w:rPr>
          <w:rFonts w:hint="eastAsia" w:ascii="Times New Roman"/>
        </w:rPr>
        <w:t>应</w:t>
      </w:r>
      <w:r>
        <w:rPr>
          <w:rFonts w:ascii="Times New Roman"/>
        </w:rPr>
        <w:t>在电压/电流输出最大有效值的</w:t>
      </w:r>
      <w:r>
        <w:rPr>
          <w:rFonts w:hint="eastAsia" w:ascii="Times New Roman"/>
        </w:rPr>
        <w:t>25%、50%、100%条件下</w:t>
      </w:r>
      <w:r>
        <w:rPr>
          <w:rFonts w:ascii="Times New Roman"/>
        </w:rPr>
        <w:t>，按相位输出范围选取试验点，至少涵盖与基准相位cos（±ϕ）为1、0.866、0.5相应的角度值；</w:t>
      </w:r>
    </w:p>
    <w:p>
      <w:pPr>
        <w:pStyle w:val="239"/>
        <w:numPr>
          <w:ilvl w:val="0"/>
          <w:numId w:val="47"/>
        </w:numPr>
        <w:ind w:firstLineChars="0"/>
        <w:rPr>
          <w:rFonts w:ascii="Times New Roman"/>
        </w:rPr>
      </w:pPr>
      <w:r>
        <w:rPr>
          <w:rFonts w:hint="eastAsia"/>
        </w:rPr>
        <w:t>频率试验在电</w:t>
      </w:r>
      <w:r>
        <w:rPr>
          <w:rFonts w:ascii="Times New Roman"/>
        </w:rPr>
        <w:t>压/电流输出最大有效值下，按50Hz进行试验；</w:t>
      </w:r>
    </w:p>
    <w:p>
      <w:pPr>
        <w:pStyle w:val="239"/>
        <w:ind w:left="420" w:firstLine="0" w:firstLineChars="0"/>
        <w:rPr>
          <w:rFonts w:ascii="Times New Roman"/>
          <w:b w:val="0"/>
          <w:bCs/>
        </w:rPr>
      </w:pPr>
      <w:r>
        <w:rPr>
          <w:rFonts w:ascii="Times New Roman"/>
          <w:b w:val="0"/>
          <w:bCs/>
        </w:rPr>
        <w:t>试验结果应满足4.</w:t>
      </w:r>
      <w:r>
        <w:rPr>
          <w:rFonts w:hint="eastAsia" w:ascii="Times New Roman"/>
          <w:b w:val="0"/>
          <w:bCs/>
        </w:rPr>
        <w:t>4</w:t>
      </w:r>
      <w:r>
        <w:rPr>
          <w:rFonts w:ascii="Times New Roman"/>
          <w:b w:val="0"/>
          <w:bCs/>
        </w:rPr>
        <w:t>.1的要求。</w:t>
      </w:r>
    </w:p>
    <w:bookmarkEnd w:id="104"/>
    <w:p>
      <w:pPr>
        <w:pStyle w:val="239"/>
        <w:ind w:firstLine="0" w:firstLineChars="0"/>
      </w:pPr>
      <w:r>
        <w:rPr>
          <w:rFonts w:hint="eastAsia" w:ascii="黑体" w:hAnsi="黑体" w:eastAsia="黑体"/>
        </w:rPr>
        <w:t xml:space="preserve">5.4.2.2 </w:t>
      </w:r>
      <w:r>
        <w:rPr>
          <w:rFonts w:hint="eastAsia"/>
        </w:rPr>
        <w:t>同源向量检查装置输出测试应按以下规则进行：</w:t>
      </w:r>
    </w:p>
    <w:p>
      <w:pPr>
        <w:pStyle w:val="239"/>
        <w:numPr>
          <w:ilvl w:val="0"/>
          <w:numId w:val="48"/>
        </w:numPr>
        <w:ind w:firstLineChars="0"/>
        <w:rPr>
          <w:rFonts w:ascii="Times New Roman"/>
        </w:rPr>
      </w:pPr>
      <w:bookmarkStart w:id="105" w:name="_Hlk194874990"/>
      <w:r>
        <w:rPr>
          <w:rFonts w:hint="eastAsia" w:ascii="Times New Roman"/>
        </w:rPr>
        <w:t>幅值</w:t>
      </w:r>
      <w:r>
        <w:rPr>
          <w:rFonts w:ascii="Times New Roman"/>
        </w:rPr>
        <w:t>试验点在电压</w:t>
      </w:r>
      <w:r>
        <w:rPr>
          <w:rFonts w:hint="eastAsia" w:ascii="Times New Roman"/>
        </w:rPr>
        <w:t>/电流最大</w:t>
      </w:r>
      <w:r>
        <w:rPr>
          <w:rFonts w:ascii="Times New Roman"/>
        </w:rPr>
        <w:t>有效值的25%~100%选取，试验点至少涵盖25%、50%、100%；</w:t>
      </w:r>
    </w:p>
    <w:p>
      <w:pPr>
        <w:pStyle w:val="239"/>
        <w:numPr>
          <w:ilvl w:val="0"/>
          <w:numId w:val="48"/>
        </w:numPr>
        <w:ind w:firstLineChars="0"/>
        <w:rPr>
          <w:rFonts w:ascii="Times New Roman"/>
        </w:rPr>
      </w:pPr>
      <w:r>
        <w:rPr>
          <w:rFonts w:ascii="Times New Roman"/>
        </w:rPr>
        <w:t>相位</w:t>
      </w:r>
      <w:r>
        <w:rPr>
          <w:rFonts w:hint="eastAsia" w:ascii="Times New Roman"/>
        </w:rPr>
        <w:t>试验</w:t>
      </w:r>
      <w:r>
        <w:rPr>
          <w:rFonts w:ascii="Times New Roman"/>
        </w:rPr>
        <w:t>在电压/电流输出最大有效值</w:t>
      </w:r>
      <w:r>
        <w:rPr>
          <w:rFonts w:hint="eastAsia" w:ascii="Times New Roman"/>
        </w:rPr>
        <w:t>的25%、50%、100%条件下</w:t>
      </w:r>
      <w:r>
        <w:rPr>
          <w:rFonts w:ascii="Times New Roman"/>
        </w:rPr>
        <w:t>，测量输出电流与电压之间相位；</w:t>
      </w:r>
    </w:p>
    <w:p>
      <w:pPr>
        <w:pStyle w:val="239"/>
        <w:numPr>
          <w:ilvl w:val="0"/>
          <w:numId w:val="48"/>
        </w:numPr>
        <w:ind w:firstLineChars="0"/>
        <w:rPr>
          <w:rFonts w:ascii="Times New Roman"/>
        </w:rPr>
      </w:pPr>
      <w:r>
        <w:rPr>
          <w:rFonts w:ascii="Times New Roman"/>
        </w:rPr>
        <w:t>频率试验在电压输出最大有效值下，按50Hz进行试验；</w:t>
      </w:r>
    </w:p>
    <w:p>
      <w:pPr>
        <w:pStyle w:val="239"/>
        <w:ind w:left="426" w:firstLine="0" w:firstLineChars="0"/>
        <w:rPr>
          <w:rFonts w:ascii="Times New Roman"/>
          <w:b w:val="0"/>
          <w:bCs/>
        </w:rPr>
      </w:pPr>
      <w:r>
        <w:rPr>
          <w:rFonts w:ascii="Times New Roman"/>
          <w:b w:val="0"/>
          <w:bCs/>
        </w:rPr>
        <w:t>试验结果应满足4.</w:t>
      </w:r>
      <w:r>
        <w:rPr>
          <w:rFonts w:hint="eastAsia" w:ascii="Times New Roman"/>
          <w:b w:val="0"/>
          <w:bCs/>
        </w:rPr>
        <w:t>4</w:t>
      </w:r>
      <w:r>
        <w:rPr>
          <w:rFonts w:ascii="Times New Roman"/>
          <w:b w:val="0"/>
          <w:bCs/>
        </w:rPr>
        <w:t>.2的要求。</w:t>
      </w:r>
    </w:p>
    <w:bookmarkEnd w:id="105"/>
    <w:p>
      <w:pPr>
        <w:pStyle w:val="239"/>
        <w:ind w:firstLine="0" w:firstLineChars="0"/>
      </w:pPr>
      <w:r>
        <w:rPr>
          <w:rFonts w:hint="eastAsia" w:ascii="黑体" w:hAnsi="黑体" w:eastAsia="黑体"/>
        </w:rPr>
        <w:t xml:space="preserve">5.4.2.3 </w:t>
      </w:r>
      <w:r>
        <w:rPr>
          <w:rFonts w:hint="eastAsia"/>
        </w:rPr>
        <w:t>直流向量检查装置输出测试应按以下规则进行：</w:t>
      </w:r>
    </w:p>
    <w:p>
      <w:pPr>
        <w:pStyle w:val="239"/>
        <w:numPr>
          <w:ilvl w:val="0"/>
          <w:numId w:val="49"/>
        </w:numPr>
        <w:ind w:firstLineChars="0"/>
        <w:rPr>
          <w:rFonts w:ascii="Times New Roman"/>
        </w:rPr>
      </w:pPr>
      <w:r>
        <w:rPr>
          <w:rFonts w:ascii="Times New Roman"/>
        </w:rPr>
        <w:t>幅值试验点在电压/电流额定量程25%~100%内选取，试验点至少涵盖25%、50%、100%；</w:t>
      </w:r>
    </w:p>
    <w:p>
      <w:pPr>
        <w:pStyle w:val="239"/>
        <w:numPr>
          <w:ilvl w:val="0"/>
          <w:numId w:val="49"/>
        </w:numPr>
        <w:ind w:firstLineChars="0"/>
        <w:rPr>
          <w:rFonts w:ascii="Times New Roman"/>
        </w:rPr>
      </w:pPr>
      <w:r>
        <w:rPr>
          <w:rFonts w:ascii="Times New Roman"/>
        </w:rPr>
        <w:t>带载能力测量在电压/电流输出最大幅值下，按额定容量进行试验；</w:t>
      </w:r>
    </w:p>
    <w:p>
      <w:pPr>
        <w:pStyle w:val="239"/>
        <w:ind w:left="420" w:firstLine="0" w:firstLineChars="0"/>
        <w:rPr>
          <w:rFonts w:ascii="Times New Roman"/>
          <w:b w:val="0"/>
          <w:bCs/>
        </w:rPr>
      </w:pPr>
      <w:r>
        <w:rPr>
          <w:rFonts w:ascii="Times New Roman"/>
          <w:b w:val="0"/>
          <w:bCs/>
        </w:rPr>
        <w:t>试验结果应满足4.</w:t>
      </w:r>
      <w:r>
        <w:rPr>
          <w:rFonts w:hint="eastAsia" w:ascii="Times New Roman"/>
          <w:b w:val="0"/>
          <w:bCs/>
        </w:rPr>
        <w:t>4</w:t>
      </w:r>
      <w:r>
        <w:rPr>
          <w:rFonts w:ascii="Times New Roman"/>
          <w:b w:val="0"/>
          <w:bCs/>
        </w:rPr>
        <w:t>.3的要求。</w:t>
      </w:r>
    </w:p>
    <w:p>
      <w:pPr>
        <w:pStyle w:val="242"/>
        <w:spacing w:before="156" w:after="156"/>
        <w:outlineLvl w:val="2"/>
      </w:pPr>
      <w:bookmarkStart w:id="106" w:name="_Toc199104944"/>
      <w:r>
        <w:rPr>
          <w:rFonts w:hint="eastAsia"/>
        </w:rPr>
        <w:t>同步性检验</w:t>
      </w:r>
      <w:bookmarkEnd w:id="106"/>
    </w:p>
    <w:p>
      <w:pPr>
        <w:pStyle w:val="239"/>
        <w:ind w:left="420" w:firstLine="0" w:firstLineChars="0"/>
        <w:rPr>
          <w:rFonts w:hint="eastAsia"/>
        </w:rPr>
      </w:pPr>
      <w:r>
        <w:rPr>
          <w:rFonts w:hint="eastAsia"/>
        </w:rPr>
        <w:t>同步性检验应按以下规则进行：</w:t>
      </w:r>
    </w:p>
    <w:p>
      <w:pPr>
        <w:pStyle w:val="239"/>
        <w:numPr>
          <w:ilvl w:val="0"/>
          <w:numId w:val="50"/>
        </w:numPr>
        <w:ind w:firstLineChars="0"/>
        <w:rPr>
          <w:rFonts w:ascii="Times New Roman"/>
        </w:rPr>
      </w:pPr>
      <w:r>
        <w:rPr>
          <w:rFonts w:hint="eastAsia" w:ascii="Times New Roman"/>
        </w:rPr>
        <w:t>试验应在非同源向量检查装置同步状态下进行。</w:t>
      </w:r>
    </w:p>
    <w:p>
      <w:pPr>
        <w:pStyle w:val="239"/>
        <w:numPr>
          <w:ilvl w:val="0"/>
          <w:numId w:val="50"/>
        </w:numPr>
        <w:ind w:firstLineChars="0"/>
        <w:rPr>
          <w:rFonts w:ascii="Times New Roman"/>
        </w:rPr>
      </w:pPr>
      <w:r>
        <w:rPr>
          <w:rFonts w:ascii="Times New Roman"/>
        </w:rPr>
        <w:t>至少选择一种同步方式进行验证；</w:t>
      </w:r>
    </w:p>
    <w:p>
      <w:pPr>
        <w:pStyle w:val="239"/>
        <w:numPr>
          <w:ilvl w:val="0"/>
          <w:numId w:val="50"/>
        </w:numPr>
        <w:ind w:firstLineChars="0"/>
        <w:rPr>
          <w:rFonts w:ascii="Times New Roman"/>
        </w:rPr>
      </w:pPr>
      <w:r>
        <w:rPr>
          <w:rFonts w:ascii="Times New Roman"/>
        </w:rPr>
        <w:t>相位试验在电流/电压输出最大有效值条件下，按相位输出范围选取，试验点至少涵盖与基准相位cos（±ϕ）为1、0.866、0</w:t>
      </w:r>
      <w:r>
        <w:rPr>
          <w:rFonts w:hint="eastAsia" w:ascii="Times New Roman"/>
        </w:rPr>
        <w:t>.5</w:t>
      </w:r>
      <w:r>
        <w:rPr>
          <w:rFonts w:ascii="Times New Roman"/>
        </w:rPr>
        <w:t>相应的角度值；</w:t>
      </w:r>
    </w:p>
    <w:p>
      <w:pPr>
        <w:pStyle w:val="239"/>
        <w:ind w:left="420" w:firstLine="0" w:firstLineChars="0"/>
        <w:rPr>
          <w:rFonts w:ascii="Times New Roman"/>
          <w:b w:val="0"/>
          <w:bCs/>
        </w:rPr>
      </w:pPr>
      <w:r>
        <w:rPr>
          <w:rFonts w:hint="eastAsia" w:ascii="Times New Roman"/>
          <w:b w:val="0"/>
          <w:bCs/>
        </w:rPr>
        <w:t>试验结果应满足4</w:t>
      </w:r>
      <w:r>
        <w:rPr>
          <w:rFonts w:ascii="Times New Roman"/>
          <w:b w:val="0"/>
          <w:bCs/>
        </w:rPr>
        <w:t>.4.4</w:t>
      </w:r>
      <w:r>
        <w:rPr>
          <w:rFonts w:hint="eastAsia" w:ascii="Times New Roman"/>
          <w:b w:val="0"/>
          <w:bCs/>
        </w:rPr>
        <w:t>要求。</w:t>
      </w:r>
    </w:p>
    <w:p>
      <w:pPr>
        <w:pStyle w:val="242"/>
        <w:spacing w:before="156" w:after="156"/>
        <w:outlineLvl w:val="2"/>
        <w:rPr>
          <w:rFonts w:ascii="Times New Roman"/>
        </w:rPr>
      </w:pPr>
      <w:bookmarkStart w:id="107" w:name="_Toc199104945"/>
      <w:r>
        <w:rPr>
          <w:rFonts w:hint="eastAsia" w:ascii="Times New Roman"/>
        </w:rPr>
        <w:t>输出稳定性检验</w:t>
      </w:r>
      <w:bookmarkEnd w:id="107"/>
    </w:p>
    <w:p>
      <w:pPr>
        <w:pStyle w:val="239"/>
        <w:ind w:left="420" w:firstLine="0" w:firstLineChars="0"/>
        <w:rPr>
          <w:rFonts w:hint="eastAsia"/>
        </w:rPr>
      </w:pPr>
      <w:r>
        <w:rPr>
          <w:rFonts w:hint="eastAsia"/>
        </w:rPr>
        <w:t>输出稳定性检验应按以下规则进行：</w:t>
      </w:r>
    </w:p>
    <w:p>
      <w:pPr>
        <w:pStyle w:val="239"/>
        <w:numPr>
          <w:ilvl w:val="0"/>
          <w:numId w:val="51"/>
        </w:numPr>
        <w:ind w:firstLineChars="0"/>
        <w:rPr>
          <w:rFonts w:ascii="Times New Roman"/>
        </w:rPr>
      </w:pPr>
      <w:r>
        <w:rPr>
          <w:rFonts w:hint="eastAsia" w:ascii="Times New Roman"/>
        </w:rPr>
        <w:t>试验应在满载输出状态下进行。</w:t>
      </w:r>
    </w:p>
    <w:p>
      <w:pPr>
        <w:pStyle w:val="239"/>
        <w:numPr>
          <w:ilvl w:val="0"/>
          <w:numId w:val="51"/>
        </w:numPr>
        <w:ind w:firstLineChars="0"/>
        <w:rPr>
          <w:rFonts w:hint="eastAsia" w:ascii="Times New Roman"/>
        </w:rPr>
      </w:pPr>
      <w:r>
        <w:rPr>
          <w:rFonts w:ascii="Times New Roman"/>
        </w:rPr>
        <w:t>按4.</w:t>
      </w:r>
      <w:r>
        <w:rPr>
          <w:rFonts w:hint="eastAsia" w:ascii="Times New Roman"/>
        </w:rPr>
        <w:t>4</w:t>
      </w:r>
      <w:r>
        <w:rPr>
          <w:rFonts w:ascii="Times New Roman"/>
        </w:rPr>
        <w:t>.5要求输出后，记录</w:t>
      </w:r>
      <w:r>
        <w:rPr>
          <w:rFonts w:hint="eastAsia" w:ascii="Times New Roman"/>
        </w:rPr>
        <w:t>向量检查装置输出幅值、相位、频率</w:t>
      </w:r>
      <w:r>
        <w:rPr>
          <w:rFonts w:ascii="Times New Roman"/>
        </w:rPr>
        <w:t>数据。</w:t>
      </w:r>
    </w:p>
    <w:p>
      <w:pPr>
        <w:pStyle w:val="239"/>
        <w:ind w:left="420" w:firstLine="0" w:firstLineChars="0"/>
        <w:rPr>
          <w:rFonts w:hint="eastAsia" w:ascii="Times New Roman"/>
          <w:b w:val="0"/>
          <w:bCs/>
        </w:rPr>
      </w:pPr>
      <w:r>
        <w:rPr>
          <w:rFonts w:ascii="Times New Roman"/>
          <w:b w:val="0"/>
          <w:bCs/>
        </w:rPr>
        <w:t>试验结果应满足4.4.1、4.4.2、4.4.3的要求。</w:t>
      </w:r>
    </w:p>
    <w:p>
      <w:pPr>
        <w:pStyle w:val="239"/>
        <w:ind w:left="420" w:firstLine="0" w:firstLineChars="0"/>
        <w:rPr>
          <w:rFonts w:ascii="Times New Roman"/>
          <w:sz w:val="20"/>
        </w:rPr>
      </w:pPr>
      <w:r>
        <w:rPr>
          <w:rFonts w:hint="eastAsia" w:ascii="黑体" w:hAnsi="黑体" w:eastAsia="黑体"/>
          <w:szCs w:val="21"/>
        </w:rPr>
        <w:t>注</w:t>
      </w:r>
      <w:r>
        <w:rPr>
          <w:rFonts w:hint="eastAsia" w:ascii="Times New Roman"/>
          <w:szCs w:val="21"/>
        </w:rPr>
        <w:t>：</w:t>
      </w:r>
      <w:r>
        <w:rPr>
          <w:rFonts w:hint="eastAsia"/>
          <w:sz w:val="18"/>
          <w:szCs w:val="18"/>
        </w:rPr>
        <w:t>直流向量检查装置不记录相位、频率。</w:t>
      </w:r>
    </w:p>
    <w:p>
      <w:pPr>
        <w:pStyle w:val="242"/>
        <w:spacing w:before="156" w:after="156"/>
        <w:outlineLvl w:val="2"/>
      </w:pPr>
      <w:bookmarkStart w:id="108" w:name="_Toc199104946"/>
      <w:bookmarkStart w:id="109" w:name="_Toc389213572"/>
      <w:bookmarkStart w:id="110" w:name="_Toc396815058"/>
      <w:bookmarkStart w:id="111" w:name="_Toc390696461"/>
      <w:bookmarkStart w:id="112" w:name="_Toc386037007"/>
      <w:bookmarkStart w:id="113" w:name="_Toc374351214"/>
      <w:bookmarkStart w:id="114" w:name="_Toc9855"/>
      <w:r>
        <w:rPr>
          <w:rFonts w:hint="eastAsia"/>
        </w:rPr>
        <w:t>电气安全性试验</w:t>
      </w:r>
      <w:bookmarkEnd w:id="108"/>
    </w:p>
    <w:p>
      <w:pPr>
        <w:pStyle w:val="239"/>
        <w:ind w:left="420" w:firstLine="0" w:firstLineChars="0"/>
        <w:rPr>
          <w:rFonts w:hint="eastAsia"/>
        </w:rPr>
      </w:pPr>
      <w:r>
        <w:rPr>
          <w:rFonts w:hint="eastAsia"/>
        </w:rPr>
        <w:t>电气安全性试验应按以下规则进行：</w:t>
      </w:r>
    </w:p>
    <w:p>
      <w:pPr>
        <w:numPr>
          <w:ilvl w:val="0"/>
          <w:numId w:val="52"/>
        </w:numPr>
      </w:pPr>
      <w:r>
        <w:rPr>
          <w:rFonts w:hint="eastAsia"/>
        </w:rPr>
        <w:t>电击防护功能检查及一般试验按</w:t>
      </w:r>
      <w:r>
        <w:rPr>
          <w:szCs w:val="21"/>
        </w:rPr>
        <w:t>GB/T 4793.1</w:t>
      </w:r>
      <w:r>
        <w:rPr>
          <w:rFonts w:hint="eastAsia"/>
          <w:szCs w:val="21"/>
        </w:rPr>
        <w:t>-2007</w:t>
      </w:r>
      <w:r>
        <w:rPr>
          <w:rFonts w:hint="eastAsia"/>
        </w:rPr>
        <w:t>中第6章的相关规定进行，通过目视或专用检测工具，分别对接线端子、电源线和插头及连接器、电源开关、熔丝插座、仪器调整开孔、风扇及散热孔护罩等部位或器件进行防电击检查。</w:t>
      </w:r>
    </w:p>
    <w:p>
      <w:pPr>
        <w:numPr>
          <w:ilvl w:val="0"/>
          <w:numId w:val="52"/>
        </w:numPr>
      </w:pPr>
      <w:r>
        <w:rPr>
          <w:rFonts w:hint="eastAsia"/>
        </w:rPr>
        <w:t>通过目视或专用检测工具，对交流电源及输出回路（端子）的电气间隙和爬电距离进行检查。</w:t>
      </w:r>
    </w:p>
    <w:p>
      <w:pPr>
        <w:numPr>
          <w:ilvl w:val="0"/>
          <w:numId w:val="52"/>
        </w:numPr>
      </w:pPr>
      <w:r>
        <w:rPr>
          <w:rFonts w:hint="eastAsia"/>
        </w:rPr>
        <w:t>安全功能元（组）件通过产品标识检查或功能试验进行验证。</w:t>
      </w:r>
    </w:p>
    <w:p>
      <w:pPr>
        <w:numPr>
          <w:ilvl w:val="0"/>
          <w:numId w:val="52"/>
        </w:numPr>
      </w:pPr>
      <w:r>
        <w:rPr>
          <w:rFonts w:hint="eastAsia"/>
        </w:rPr>
        <w:t>PE 保护系统连接的完整性试验按</w:t>
      </w:r>
      <w:r>
        <w:rPr>
          <w:szCs w:val="21"/>
        </w:rPr>
        <w:t>GB/T 4793.1</w:t>
      </w:r>
      <w:r>
        <w:rPr>
          <w:rFonts w:hint="eastAsia"/>
          <w:szCs w:val="21"/>
        </w:rPr>
        <w:t>-2007</w:t>
      </w:r>
      <w:r>
        <w:rPr>
          <w:rFonts w:hint="eastAsia"/>
        </w:rPr>
        <w:t>中6.5的规定进行。</w:t>
      </w:r>
    </w:p>
    <w:p>
      <w:pPr>
        <w:numPr>
          <w:ilvl w:val="0"/>
          <w:numId w:val="52"/>
        </w:numPr>
      </w:pPr>
      <w:r>
        <w:rPr>
          <w:rFonts w:hint="eastAsia"/>
        </w:rPr>
        <w:t>外壳温升及带电绝缘材料和非属外壳耐热试验按</w:t>
      </w:r>
      <w:r>
        <w:rPr>
          <w:szCs w:val="21"/>
        </w:rPr>
        <w:t>GB/T 4793.1</w:t>
      </w:r>
      <w:r>
        <w:rPr>
          <w:rFonts w:hint="eastAsia"/>
          <w:szCs w:val="21"/>
        </w:rPr>
        <w:t>-2007</w:t>
      </w:r>
      <w:r>
        <w:rPr>
          <w:rFonts w:hint="eastAsia"/>
        </w:rPr>
        <w:t>中第10章的相关规定进行。</w:t>
      </w:r>
    </w:p>
    <w:p>
      <w:pPr>
        <w:numPr>
          <w:ilvl w:val="0"/>
          <w:numId w:val="52"/>
        </w:numPr>
      </w:pPr>
      <w:r>
        <w:rPr>
          <w:rFonts w:hint="eastAsia"/>
        </w:rPr>
        <w:t>印制电路板可燃性等级试验按</w:t>
      </w:r>
      <w:r>
        <w:rPr>
          <w:szCs w:val="21"/>
        </w:rPr>
        <w:t>GB/T 4793.1</w:t>
      </w:r>
      <w:r>
        <w:rPr>
          <w:rFonts w:hint="eastAsia"/>
          <w:szCs w:val="21"/>
        </w:rPr>
        <w:t>-2007</w:t>
      </w:r>
      <w:r>
        <w:rPr>
          <w:rFonts w:hint="eastAsia"/>
        </w:rPr>
        <w:t>中14.8的规定进行。</w:t>
      </w:r>
    </w:p>
    <w:p>
      <w:pPr>
        <w:numPr>
          <w:ilvl w:val="0"/>
          <w:numId w:val="52"/>
        </w:numPr>
      </w:pPr>
      <w:r>
        <w:rPr>
          <w:rFonts w:hint="eastAsia"/>
        </w:rPr>
        <w:t>交流向量检查装置的绝缘电阻试验按照DL/T 848.2-2018中6.5.1的规定进行；直流向量检查装置的绝缘电阻试验按照DL/T 848.1-2019中6.4.1的规定进行。</w:t>
      </w:r>
    </w:p>
    <w:p>
      <w:pPr>
        <w:numPr>
          <w:ilvl w:val="0"/>
          <w:numId w:val="52"/>
        </w:numPr>
      </w:pPr>
      <w:r>
        <w:rPr>
          <w:rFonts w:hint="eastAsia"/>
        </w:rPr>
        <w:t>交流向量检查装置的介电强度试验按照DL/T 848.2-2018中6.5.2的规定进行；直流向量检查装置的介电强度试验按照DL/T 848.1-2019中6.4.2的规定进行。</w:t>
      </w:r>
    </w:p>
    <w:p>
      <w:pPr>
        <w:pStyle w:val="242"/>
        <w:spacing w:before="156" w:after="156"/>
        <w:outlineLvl w:val="2"/>
      </w:pPr>
      <w:bookmarkStart w:id="115" w:name="_Toc199104947"/>
      <w:r>
        <w:rPr>
          <w:rFonts w:hint="eastAsia"/>
        </w:rPr>
        <w:t>电源变化影响试验</w:t>
      </w:r>
      <w:bookmarkEnd w:id="109"/>
      <w:bookmarkEnd w:id="110"/>
      <w:bookmarkEnd w:id="111"/>
      <w:bookmarkEnd w:id="112"/>
      <w:bookmarkEnd w:id="113"/>
      <w:bookmarkEnd w:id="114"/>
      <w:bookmarkEnd w:id="115"/>
    </w:p>
    <w:p>
      <w:r>
        <w:rPr>
          <w:rFonts w:hint="eastAsia" w:ascii="黑体" w:hAnsi="黑体" w:eastAsia="黑体"/>
        </w:rPr>
        <w:t>5.4.6.1</w:t>
      </w:r>
      <w:r>
        <w:rPr>
          <w:rFonts w:hint="eastAsia"/>
        </w:rPr>
        <w:t xml:space="preserve"> 交流供电电压变化影响试验</w:t>
      </w:r>
    </w:p>
    <w:p>
      <w:pPr>
        <w:ind w:left="420"/>
      </w:pPr>
      <w:r>
        <w:rPr>
          <w:rFonts w:hint="eastAsia"/>
        </w:rPr>
        <w:t>试验应按照以下顺序进行：</w:t>
      </w:r>
    </w:p>
    <w:p>
      <w:pPr>
        <w:numPr>
          <w:ilvl w:val="0"/>
          <w:numId w:val="53"/>
        </w:numPr>
      </w:pPr>
      <w:r>
        <w:rPr>
          <w:rFonts w:hint="eastAsia"/>
        </w:rPr>
        <w:t>将向量检查装置的电源线接入可调交流稳压电源的输出端，将稳压电源的电压调整至向量检查装置供电电压的额定值，在向量检查装置的基本量程的满度值处进行试验，记录标准测量装置的读数值A</w:t>
      </w:r>
      <w:r>
        <w:rPr>
          <w:rFonts w:hint="eastAsia"/>
          <w:vertAlign w:val="subscript"/>
        </w:rPr>
        <w:t>1</w:t>
      </w:r>
      <w:r>
        <w:rPr>
          <w:rFonts w:hint="eastAsia"/>
        </w:rPr>
        <w:t>，保持被试向量检查装置的输出设定值不变；</w:t>
      </w:r>
    </w:p>
    <w:p>
      <w:pPr>
        <w:numPr>
          <w:ilvl w:val="0"/>
          <w:numId w:val="53"/>
        </w:numPr>
      </w:pPr>
      <w:r>
        <w:rPr>
          <w:rFonts w:hint="eastAsia"/>
        </w:rPr>
        <w:t>调整稳压电源的输出电压至被试向量检查装置供电电压的上限值，记录标准测量装置的读数值A</w:t>
      </w:r>
      <w:r>
        <w:rPr>
          <w:rFonts w:hint="eastAsia"/>
          <w:vertAlign w:val="subscript"/>
        </w:rPr>
        <w:t>2</w:t>
      </w:r>
      <w:r>
        <w:rPr>
          <w:rFonts w:hint="eastAsia"/>
        </w:rPr>
        <w:t>；</w:t>
      </w:r>
    </w:p>
    <w:p>
      <w:pPr>
        <w:numPr>
          <w:ilvl w:val="0"/>
          <w:numId w:val="53"/>
        </w:numPr>
      </w:pPr>
      <w:r>
        <w:rPr>
          <w:rFonts w:hint="eastAsia"/>
        </w:rPr>
        <w:t>调整稳压电源的输出电压至被试向量检查装置供电电压的下限值，记录标准测量装置读数值 A</w:t>
      </w:r>
      <w:r>
        <w:rPr>
          <w:rFonts w:hint="eastAsia"/>
          <w:vertAlign w:val="subscript"/>
        </w:rPr>
        <w:t>3</w:t>
      </w:r>
      <w:r>
        <w:rPr>
          <w:rFonts w:hint="eastAsia"/>
        </w:rPr>
        <w:t>；</w:t>
      </w:r>
    </w:p>
    <w:p>
      <w:pPr>
        <w:numPr>
          <w:ilvl w:val="0"/>
          <w:numId w:val="53"/>
        </w:numPr>
        <w:rPr>
          <w:rFonts w:hint="eastAsia"/>
        </w:rPr>
      </w:pPr>
      <w:r>
        <w:rPr>
          <w:rFonts w:hint="eastAsia"/>
        </w:rPr>
        <w:t>计算A</w:t>
      </w:r>
      <w:r>
        <w:rPr>
          <w:rFonts w:hint="eastAsia"/>
          <w:vertAlign w:val="subscript"/>
        </w:rPr>
        <w:t>2</w:t>
      </w:r>
      <w:r>
        <w:rPr>
          <w:rFonts w:hint="eastAsia"/>
        </w:rPr>
        <w:t>、A</w:t>
      </w:r>
      <w:r>
        <w:rPr>
          <w:rFonts w:hint="eastAsia"/>
          <w:vertAlign w:val="subscript"/>
        </w:rPr>
        <w:t>3</w:t>
      </w:r>
      <w:r>
        <w:rPr>
          <w:rFonts w:hint="eastAsia"/>
        </w:rPr>
        <w:t>与A</w:t>
      </w:r>
      <w:r>
        <w:rPr>
          <w:rFonts w:hint="eastAsia"/>
          <w:vertAlign w:val="subscript"/>
        </w:rPr>
        <w:t>1</w:t>
      </w:r>
      <w:r>
        <w:rPr>
          <w:rFonts w:hint="eastAsia"/>
        </w:rPr>
        <w:t>的差值，取其最大值作为供电电压影响变差值；</w:t>
      </w:r>
    </w:p>
    <w:p>
      <w:pPr>
        <w:ind w:left="420"/>
        <w:rPr>
          <w:b w:val="0"/>
          <w:bCs/>
        </w:rPr>
      </w:pPr>
      <w:r>
        <w:rPr>
          <w:rFonts w:hint="eastAsia"/>
          <w:b w:val="0"/>
          <w:bCs/>
        </w:rPr>
        <w:t>试验结果应满足4.4的要求。</w:t>
      </w:r>
    </w:p>
    <w:p>
      <w:pPr>
        <w:rPr>
          <w:color w:val="000000" w:themeColor="text1"/>
        </w:rPr>
      </w:pPr>
      <w:r>
        <w:rPr>
          <w:rFonts w:hint="eastAsia" w:ascii="黑体" w:hAnsi="黑体" w:eastAsia="黑体"/>
        </w:rPr>
        <w:t xml:space="preserve">5.4.6.2 </w:t>
      </w:r>
      <w:r>
        <w:rPr>
          <w:rFonts w:hint="eastAsia"/>
          <w:color w:val="000000" w:themeColor="text1"/>
        </w:rPr>
        <w:t>交流供电频率变化影响试验</w:t>
      </w:r>
    </w:p>
    <w:p>
      <w:pPr>
        <w:ind w:left="420"/>
      </w:pPr>
      <w:r>
        <w:rPr>
          <w:rFonts w:hint="eastAsia"/>
        </w:rPr>
        <w:t>试验应按照以下顺序进行：</w:t>
      </w:r>
    </w:p>
    <w:p>
      <w:pPr>
        <w:numPr>
          <w:ilvl w:val="0"/>
          <w:numId w:val="54"/>
        </w:numPr>
      </w:pPr>
      <w:r>
        <w:rPr>
          <w:rFonts w:hint="eastAsia"/>
        </w:rPr>
        <w:t>将向量检查装置的电源线接入频率可调的交流稳压电源的输出端，将稳压电源的频率调整至50Hz，在向量检查装置的基本量程的满度值处进行试验，记录标准测量装置的读数A</w:t>
      </w:r>
      <w:r>
        <w:rPr>
          <w:rFonts w:hint="eastAsia"/>
          <w:vertAlign w:val="subscript"/>
        </w:rPr>
        <w:t>1</w:t>
      </w:r>
      <w:r>
        <w:rPr>
          <w:rFonts w:hint="eastAsia"/>
        </w:rPr>
        <w:t>，保持输出设定值不变；</w:t>
      </w:r>
    </w:p>
    <w:p>
      <w:pPr>
        <w:numPr>
          <w:ilvl w:val="0"/>
          <w:numId w:val="54"/>
        </w:numPr>
      </w:pPr>
      <w:r>
        <w:rPr>
          <w:rFonts w:hint="eastAsia"/>
        </w:rPr>
        <w:t>调整稳压电源的输出电压频率至被试向量检查装置规定的上限值，记录标准测量装置的读数值 A</w:t>
      </w:r>
      <w:r>
        <w:rPr>
          <w:rFonts w:hint="eastAsia"/>
          <w:vertAlign w:val="subscript"/>
        </w:rPr>
        <w:t>2</w:t>
      </w:r>
      <w:r>
        <w:rPr>
          <w:rFonts w:hint="eastAsia"/>
        </w:rPr>
        <w:t>；</w:t>
      </w:r>
    </w:p>
    <w:p>
      <w:pPr>
        <w:numPr>
          <w:ilvl w:val="0"/>
          <w:numId w:val="54"/>
        </w:numPr>
      </w:pPr>
      <w:r>
        <w:rPr>
          <w:rFonts w:hint="eastAsia"/>
        </w:rPr>
        <w:t>调整稳压电源的输出电压频率至被试向量检查装置规定的下限值，记录标准测量装置读数值 A</w:t>
      </w:r>
      <w:r>
        <w:rPr>
          <w:rFonts w:hint="eastAsia"/>
          <w:vertAlign w:val="subscript"/>
        </w:rPr>
        <w:t>3</w:t>
      </w:r>
      <w:r>
        <w:rPr>
          <w:rFonts w:hint="eastAsia"/>
        </w:rPr>
        <w:t>；</w:t>
      </w:r>
    </w:p>
    <w:p>
      <w:pPr>
        <w:numPr>
          <w:ilvl w:val="0"/>
          <w:numId w:val="54"/>
        </w:numPr>
        <w:rPr>
          <w:rFonts w:hint="eastAsia"/>
        </w:rPr>
      </w:pPr>
      <w:r>
        <w:rPr>
          <w:rFonts w:hint="eastAsia"/>
        </w:rPr>
        <w:t>计算A</w:t>
      </w:r>
      <w:r>
        <w:rPr>
          <w:rFonts w:hint="eastAsia"/>
          <w:vertAlign w:val="subscript"/>
        </w:rPr>
        <w:t>2</w:t>
      </w:r>
      <w:r>
        <w:rPr>
          <w:rFonts w:hint="eastAsia"/>
        </w:rPr>
        <w:t>、A</w:t>
      </w:r>
      <w:r>
        <w:rPr>
          <w:rFonts w:hint="eastAsia"/>
          <w:vertAlign w:val="subscript"/>
        </w:rPr>
        <w:t>3</w:t>
      </w:r>
      <w:r>
        <w:rPr>
          <w:rFonts w:hint="eastAsia"/>
        </w:rPr>
        <w:t>与A</w:t>
      </w:r>
      <w:r>
        <w:rPr>
          <w:rFonts w:hint="eastAsia"/>
          <w:vertAlign w:val="subscript"/>
        </w:rPr>
        <w:t>1</w:t>
      </w:r>
      <w:r>
        <w:rPr>
          <w:rFonts w:hint="eastAsia"/>
        </w:rPr>
        <w:t>的差值，取其最大值作为供电电压频率影响变差值。</w:t>
      </w:r>
    </w:p>
    <w:p>
      <w:pPr>
        <w:ind w:left="420"/>
        <w:rPr>
          <w:b w:val="0"/>
          <w:bCs/>
        </w:rPr>
      </w:pPr>
      <w:r>
        <w:rPr>
          <w:rFonts w:hint="eastAsia"/>
          <w:b w:val="0"/>
          <w:bCs/>
        </w:rPr>
        <w:t>试验结果应满足4.4的要求。</w:t>
      </w:r>
    </w:p>
    <w:p>
      <w:pPr>
        <w:pStyle w:val="242"/>
        <w:spacing w:before="156" w:after="156"/>
        <w:outlineLvl w:val="2"/>
      </w:pPr>
      <w:bookmarkStart w:id="116" w:name="_Toc199104948"/>
      <w:bookmarkStart w:id="117" w:name="_Toc12382"/>
      <w:bookmarkStart w:id="118" w:name="_Toc17941"/>
      <w:r>
        <w:rPr>
          <w:rFonts w:hint="eastAsia"/>
        </w:rPr>
        <w:t>温度影响试验</w:t>
      </w:r>
      <w:bookmarkEnd w:id="116"/>
    </w:p>
    <w:p>
      <w:pPr>
        <w:rPr>
          <w:color w:val="000000" w:themeColor="text1"/>
        </w:rPr>
      </w:pPr>
      <w:r>
        <w:rPr>
          <w:rFonts w:hint="eastAsia" w:ascii="黑体" w:hAnsi="黑体" w:eastAsia="黑体"/>
        </w:rPr>
        <w:t xml:space="preserve">5.4.7.1 </w:t>
      </w:r>
      <w:r>
        <w:rPr>
          <w:rFonts w:hint="eastAsia"/>
          <w:color w:val="000000" w:themeColor="text1"/>
        </w:rPr>
        <w:t>温度变化影响（温度系数）试验</w:t>
      </w:r>
    </w:p>
    <w:p>
      <w:pPr>
        <w:pStyle w:val="229"/>
        <w:ind w:firstLine="500"/>
      </w:pPr>
      <w:r>
        <w:rPr>
          <w:rFonts w:hint="eastAsia"/>
        </w:rPr>
        <w:t>平均温度系数应在整个工作温度范围内测量，将其按20K宽区间进行划分，对该区间高低温点进行误差测试。试验温度不应超出规定的工作范围，但温度测量点应包括其上下限制。</w:t>
      </w:r>
    </w:p>
    <w:p>
      <w:pPr>
        <w:pStyle w:val="229"/>
        <w:ind w:firstLine="500"/>
      </w:pPr>
      <w:r>
        <w:rPr>
          <w:rFonts w:hint="eastAsia"/>
        </w:rPr>
        <w:t>试验时，被试向量检查装置应在以上各温度点2h，确保被试装置内部达到温度平衡时进行测量。</w:t>
      </w:r>
    </w:p>
    <w:p>
      <w:pPr>
        <w:rPr>
          <w:color w:val="000000" w:themeColor="text1"/>
        </w:rPr>
      </w:pPr>
      <w:r>
        <w:rPr>
          <w:rFonts w:hint="eastAsia" w:ascii="黑体" w:hAnsi="黑体" w:eastAsia="黑体"/>
        </w:rPr>
        <w:t xml:space="preserve">5.4.7.2 </w:t>
      </w:r>
      <w:r>
        <w:rPr>
          <w:rFonts w:hint="eastAsia"/>
          <w:color w:val="000000" w:themeColor="text1"/>
        </w:rPr>
        <w:t>低温试验</w:t>
      </w:r>
    </w:p>
    <w:p>
      <w:pPr>
        <w:ind w:left="420"/>
      </w:pPr>
      <w:r>
        <w:rPr>
          <w:rFonts w:hint="eastAsia"/>
        </w:rPr>
        <w:t>按照GB/T 2423.1并在下列条件下进行：</w:t>
      </w:r>
    </w:p>
    <w:p>
      <w:pPr>
        <w:numPr>
          <w:ilvl w:val="0"/>
          <w:numId w:val="55"/>
        </w:numPr>
      </w:pPr>
      <w:r>
        <w:rPr>
          <w:rFonts w:hint="eastAsia"/>
        </w:rPr>
        <w:t>向量检查装置在非工作状态；</w:t>
      </w:r>
    </w:p>
    <w:p>
      <w:pPr>
        <w:numPr>
          <w:ilvl w:val="0"/>
          <w:numId w:val="55"/>
        </w:numPr>
      </w:pPr>
      <w:r>
        <w:rPr>
          <w:rFonts w:hint="eastAsia"/>
        </w:rPr>
        <w:t>试验温度在</w:t>
      </w:r>
      <w:r>
        <w:t>-25℃</w:t>
      </w:r>
      <w:r>
        <w:rPr>
          <w:rFonts w:hint="eastAsia"/>
        </w:rPr>
        <w:t>±3</w:t>
      </w:r>
      <w:r>
        <w:t>℃</w:t>
      </w:r>
      <w:r>
        <w:rPr>
          <w:rFonts w:hint="eastAsia"/>
        </w:rPr>
        <w:t>；</w:t>
      </w:r>
    </w:p>
    <w:p>
      <w:pPr>
        <w:numPr>
          <w:ilvl w:val="0"/>
          <w:numId w:val="55"/>
        </w:numPr>
      </w:pPr>
      <w:r>
        <w:rPr>
          <w:rFonts w:hint="eastAsia"/>
        </w:rPr>
        <w:t>试验时间72h。</w:t>
      </w:r>
    </w:p>
    <w:p>
      <w:pPr>
        <w:numPr>
          <w:ilvl w:val="0"/>
          <w:numId w:val="55"/>
        </w:numPr>
      </w:pPr>
      <w:r>
        <w:rPr>
          <w:rFonts w:hint="eastAsia"/>
        </w:rPr>
        <w:t>试验后，被试向量检查装置的功能不应损坏，并进行相应输出量变差测试。</w:t>
      </w:r>
    </w:p>
    <w:p>
      <w:pPr>
        <w:rPr>
          <w:color w:val="000000" w:themeColor="text1"/>
        </w:rPr>
      </w:pPr>
      <w:r>
        <w:rPr>
          <w:rFonts w:hint="eastAsia" w:ascii="黑体" w:hAnsi="黑体" w:eastAsia="黑体"/>
        </w:rPr>
        <w:t xml:space="preserve">5.4.7.3 </w:t>
      </w:r>
      <w:r>
        <w:rPr>
          <w:rFonts w:hint="eastAsia"/>
          <w:color w:val="000000" w:themeColor="text1"/>
        </w:rPr>
        <w:t>高温试验</w:t>
      </w:r>
    </w:p>
    <w:p>
      <w:pPr>
        <w:ind w:left="420"/>
      </w:pPr>
      <w:r>
        <w:rPr>
          <w:rFonts w:hint="eastAsia"/>
        </w:rPr>
        <w:t>按照GB/T 2423.2并在下列条件下进行：</w:t>
      </w:r>
    </w:p>
    <w:p>
      <w:pPr>
        <w:numPr>
          <w:ilvl w:val="0"/>
          <w:numId w:val="56"/>
        </w:numPr>
      </w:pPr>
      <w:r>
        <w:rPr>
          <w:rFonts w:hint="eastAsia"/>
        </w:rPr>
        <w:t>向量检查装置在非工作状态；</w:t>
      </w:r>
    </w:p>
    <w:p>
      <w:pPr>
        <w:numPr>
          <w:ilvl w:val="0"/>
          <w:numId w:val="56"/>
        </w:numPr>
      </w:pPr>
      <w:r>
        <w:rPr>
          <w:rFonts w:hint="eastAsia"/>
        </w:rPr>
        <w:t>试验温度在5</w:t>
      </w:r>
      <w:r>
        <w:t>5℃</w:t>
      </w:r>
      <w:r>
        <w:rPr>
          <w:rFonts w:hint="eastAsia"/>
        </w:rPr>
        <w:t>±3</w:t>
      </w:r>
      <w:r>
        <w:t>℃</w:t>
      </w:r>
      <w:r>
        <w:rPr>
          <w:rFonts w:hint="eastAsia"/>
        </w:rPr>
        <w:t>；</w:t>
      </w:r>
    </w:p>
    <w:p>
      <w:pPr>
        <w:numPr>
          <w:ilvl w:val="0"/>
          <w:numId w:val="56"/>
        </w:numPr>
      </w:pPr>
      <w:r>
        <w:rPr>
          <w:rFonts w:hint="eastAsia"/>
        </w:rPr>
        <w:t>试验时间72h。</w:t>
      </w:r>
    </w:p>
    <w:p>
      <w:pPr>
        <w:numPr>
          <w:ilvl w:val="0"/>
          <w:numId w:val="56"/>
        </w:numPr>
      </w:pPr>
      <w:r>
        <w:rPr>
          <w:rFonts w:hint="eastAsia"/>
        </w:rPr>
        <w:t>试验后，被试向量检查装置的功能不应损坏，并进行相应输出量变差测试。</w:t>
      </w:r>
    </w:p>
    <w:p>
      <w:pPr>
        <w:pStyle w:val="242"/>
        <w:spacing w:before="156" w:after="156"/>
        <w:outlineLvl w:val="2"/>
      </w:pPr>
      <w:bookmarkStart w:id="119" w:name="_Toc199104949"/>
      <w:r>
        <w:rPr>
          <w:rFonts w:hint="eastAsia"/>
        </w:rPr>
        <w:t>耐湿热性能试验</w:t>
      </w:r>
      <w:bookmarkEnd w:id="119"/>
    </w:p>
    <w:p>
      <w:r>
        <w:rPr>
          <w:rFonts w:hint="eastAsia" w:ascii="黑体" w:hAnsi="黑体" w:eastAsia="黑体"/>
        </w:rPr>
        <w:t xml:space="preserve">5.4.8.1 </w:t>
      </w:r>
      <w:r>
        <w:rPr>
          <w:rFonts w:hint="eastAsia"/>
        </w:rPr>
        <w:t>恒定湿热试验</w:t>
      </w:r>
    </w:p>
    <w:p>
      <w:pPr>
        <w:pStyle w:val="239"/>
        <w:ind w:firstLine="420"/>
      </w:pPr>
      <w:r>
        <w:t>按</w:t>
      </w:r>
      <w:r>
        <w:rPr>
          <w:rFonts w:ascii="Times New Roman"/>
        </w:rPr>
        <w:t>照GB/T 2423.3并</w:t>
      </w:r>
      <w:r>
        <w:t>在下列条件下进行：</w:t>
      </w:r>
    </w:p>
    <w:p>
      <w:pPr>
        <w:numPr>
          <w:ilvl w:val="0"/>
          <w:numId w:val="57"/>
        </w:numPr>
      </w:pPr>
      <w:r>
        <w:t>试验温度</w:t>
      </w:r>
      <w:r>
        <w:rPr>
          <w:rFonts w:hint="eastAsia"/>
        </w:rPr>
        <w:t>：（40±</w:t>
      </w:r>
      <w:r>
        <w:t>2</w:t>
      </w:r>
      <w:r>
        <w:rPr>
          <w:rFonts w:hint="eastAsia"/>
        </w:rPr>
        <w:t>）</w:t>
      </w:r>
      <w:r>
        <w:t>℃；</w:t>
      </w:r>
    </w:p>
    <w:p>
      <w:pPr>
        <w:numPr>
          <w:ilvl w:val="0"/>
          <w:numId w:val="57"/>
        </w:numPr>
      </w:pPr>
      <w:r>
        <w:rPr>
          <w:rFonts w:hint="eastAsia"/>
        </w:rPr>
        <w:t>相对湿度：（93±3）%</w:t>
      </w:r>
    </w:p>
    <w:p>
      <w:pPr>
        <w:numPr>
          <w:ilvl w:val="0"/>
          <w:numId w:val="57"/>
        </w:numPr>
      </w:pPr>
      <w:r>
        <w:rPr>
          <w:rFonts w:hint="eastAsia"/>
        </w:rPr>
        <w:t>试验时间：48h，每一周期历时24h；</w:t>
      </w:r>
    </w:p>
    <w:p>
      <w:pPr>
        <w:numPr>
          <w:ilvl w:val="0"/>
          <w:numId w:val="57"/>
        </w:numPr>
      </w:pPr>
      <w:r>
        <w:rPr>
          <w:rFonts w:hint="eastAsia"/>
        </w:rPr>
        <w:t>试验结束前2h内，测量各外引带电部分对外露非带电金属部分及外壳之间，以及电气上无联系的各回路之间的绝缘电阻应符合4.5.1要求；</w:t>
      </w:r>
    </w:p>
    <w:p>
      <w:pPr>
        <w:numPr>
          <w:ilvl w:val="0"/>
          <w:numId w:val="57"/>
        </w:numPr>
      </w:pPr>
      <w:r>
        <w:t>试验后，被试向量检查装置的功能不应损坏，并进行相应输出量变差测试。</w:t>
      </w:r>
    </w:p>
    <w:p>
      <w:r>
        <w:rPr>
          <w:rFonts w:hint="eastAsia" w:ascii="黑体" w:hAnsi="黑体" w:eastAsia="黑体"/>
        </w:rPr>
        <w:t xml:space="preserve">5.4.8.2 </w:t>
      </w:r>
      <w:r>
        <w:rPr>
          <w:rFonts w:hint="eastAsia"/>
        </w:rPr>
        <w:t>交变湿热试验</w:t>
      </w:r>
    </w:p>
    <w:p>
      <w:pPr>
        <w:pStyle w:val="239"/>
        <w:ind w:firstLine="420"/>
      </w:pPr>
      <w:r>
        <w:t>按</w:t>
      </w:r>
      <w:r>
        <w:rPr>
          <w:rFonts w:ascii="Times New Roman"/>
        </w:rPr>
        <w:t>照GB/T 2423.4并</w:t>
      </w:r>
      <w:r>
        <w:t>在下列条件下进行：</w:t>
      </w:r>
    </w:p>
    <w:p>
      <w:pPr>
        <w:numPr>
          <w:ilvl w:val="0"/>
          <w:numId w:val="58"/>
        </w:numPr>
      </w:pPr>
      <w:r>
        <w:t>试验</w:t>
      </w:r>
      <w:r>
        <w:rPr>
          <w:rFonts w:hint="eastAsia"/>
        </w:rPr>
        <w:t>上限</w:t>
      </w:r>
      <w:r>
        <w:t>温度</w:t>
      </w:r>
      <w:r>
        <w:rPr>
          <w:rFonts w:hint="eastAsia"/>
        </w:rPr>
        <w:t>：</w:t>
      </w:r>
      <w:r>
        <w:t>55℃</w:t>
      </w:r>
      <w:r>
        <w:rPr>
          <w:rFonts w:hint="eastAsia"/>
        </w:rPr>
        <w:t>±</w:t>
      </w:r>
      <w:r>
        <w:t>2℃；</w:t>
      </w:r>
    </w:p>
    <w:p>
      <w:pPr>
        <w:numPr>
          <w:ilvl w:val="0"/>
          <w:numId w:val="58"/>
        </w:numPr>
      </w:pPr>
      <w:r>
        <w:rPr>
          <w:rFonts w:hint="eastAsia"/>
        </w:rPr>
        <w:t>降温方法：选用</w:t>
      </w:r>
      <w:r>
        <w:t>GB/T 2423.</w:t>
      </w:r>
      <w:r>
        <w:rPr>
          <w:rFonts w:hint="eastAsia"/>
        </w:rPr>
        <w:t>4附录A中方法1；</w:t>
      </w:r>
    </w:p>
    <w:p>
      <w:pPr>
        <w:numPr>
          <w:ilvl w:val="0"/>
          <w:numId w:val="58"/>
        </w:numPr>
      </w:pPr>
      <w:r>
        <w:rPr>
          <w:rFonts w:hint="eastAsia"/>
        </w:rPr>
        <w:t>不采取特殊的措施来排除表面潮气；</w:t>
      </w:r>
    </w:p>
    <w:p>
      <w:pPr>
        <w:numPr>
          <w:ilvl w:val="0"/>
          <w:numId w:val="58"/>
        </w:numPr>
      </w:pPr>
      <w:r>
        <w:t>试验</w:t>
      </w:r>
      <w:r>
        <w:rPr>
          <w:rFonts w:hint="eastAsia"/>
        </w:rPr>
        <w:t>持续</w:t>
      </w:r>
      <w:r>
        <w:t>时间</w:t>
      </w:r>
      <w:r>
        <w:rPr>
          <w:rFonts w:hint="eastAsia"/>
        </w:rPr>
        <w:t>2个周期；</w:t>
      </w:r>
    </w:p>
    <w:p>
      <w:pPr>
        <w:numPr>
          <w:ilvl w:val="0"/>
          <w:numId w:val="58"/>
        </w:numPr>
      </w:pPr>
      <w:r>
        <w:t>试验后，被试向量检查装置的功能不应损坏，并进行相应输出量变差测试。</w:t>
      </w:r>
      <w:r>
        <w:rPr>
          <w:rFonts w:hint="eastAsia"/>
        </w:rPr>
        <w:t>放置24h，绝缘试验满足4.5.1的要求，且不应出现影响其特性的腐蚀痕迹。</w:t>
      </w:r>
    </w:p>
    <w:p>
      <w:pPr>
        <w:pStyle w:val="242"/>
        <w:spacing w:before="156" w:after="156"/>
        <w:outlineLvl w:val="2"/>
      </w:pPr>
      <w:bookmarkStart w:id="120" w:name="_Toc199104950"/>
      <w:r>
        <w:rPr>
          <w:rFonts w:hint="eastAsia"/>
        </w:rPr>
        <w:t>机械性能试验</w:t>
      </w:r>
      <w:bookmarkEnd w:id="120"/>
    </w:p>
    <w:p>
      <w:pPr>
        <w:rPr>
          <w:rFonts w:hint="eastAsia"/>
          <w:color w:val="000000" w:themeColor="text1"/>
        </w:rPr>
      </w:pPr>
      <w:r>
        <w:rPr>
          <w:rFonts w:hint="eastAsia" w:ascii="黑体" w:hAnsi="黑体" w:eastAsia="黑体"/>
        </w:rPr>
        <w:t xml:space="preserve">5.4.9.1 </w:t>
      </w:r>
      <w:r>
        <w:rPr>
          <w:rFonts w:hint="eastAsia"/>
          <w:color w:val="000000" w:themeColor="text1"/>
        </w:rPr>
        <w:t>外壳和结构安全性试验</w:t>
      </w:r>
      <w:bookmarkEnd w:id="117"/>
    </w:p>
    <w:p>
      <w:pPr>
        <w:pStyle w:val="239"/>
        <w:ind w:firstLine="420"/>
        <w:rPr>
          <w:color w:val="000000" w:themeColor="text1"/>
        </w:rPr>
      </w:pPr>
      <w:r>
        <w:rPr>
          <w:rFonts w:hint="eastAsia"/>
          <w:color w:val="000000" w:themeColor="text1"/>
        </w:rPr>
        <w:t>外壳和结构安全性试验应按以下规则进行：</w:t>
      </w:r>
    </w:p>
    <w:p>
      <w:pPr>
        <w:numPr>
          <w:ilvl w:val="0"/>
          <w:numId w:val="59"/>
        </w:numPr>
      </w:pPr>
      <w:r>
        <w:rPr>
          <w:rFonts w:hint="eastAsia"/>
        </w:rPr>
        <w:t>以手动、目测检验的方法对外壳的外观、功能结构与设计、操作键盘及调节器进行符合性检查</w:t>
      </w:r>
      <w:r>
        <w:rPr>
          <w:rFonts w:hint="eastAsia"/>
          <w:lang w:eastAsia="zh-CN"/>
        </w:rPr>
        <w:t>；</w:t>
      </w:r>
    </w:p>
    <w:p>
      <w:pPr>
        <w:numPr>
          <w:ilvl w:val="0"/>
          <w:numId w:val="59"/>
        </w:numPr>
      </w:pPr>
      <w:r>
        <w:rPr>
          <w:rFonts w:hint="eastAsia"/>
        </w:rPr>
        <w:t>外壳防护性验证通过目视或按照</w:t>
      </w:r>
      <w:r>
        <w:t xml:space="preserve">GB/T </w:t>
      </w:r>
      <w:r>
        <w:rPr>
          <w:rFonts w:hint="eastAsia"/>
        </w:rPr>
        <w:t>4208中的试验方法进行</w:t>
      </w:r>
      <w:r>
        <w:rPr>
          <w:rFonts w:hint="eastAsia"/>
          <w:lang w:eastAsia="zh-CN"/>
        </w:rPr>
        <w:t>；</w:t>
      </w:r>
    </w:p>
    <w:p>
      <w:pPr>
        <w:numPr>
          <w:ilvl w:val="0"/>
          <w:numId w:val="59"/>
        </w:numPr>
      </w:pPr>
      <w:r>
        <w:t>结构与设计的</w:t>
      </w:r>
      <w:r>
        <w:rPr>
          <w:rFonts w:hint="eastAsia"/>
        </w:rPr>
        <w:t>安全</w:t>
      </w:r>
      <w:r>
        <w:t>要求</w:t>
      </w:r>
      <w:r>
        <w:rPr>
          <w:rFonts w:hint="eastAsia"/>
        </w:rPr>
        <w:t>试验按</w:t>
      </w:r>
      <w:r>
        <w:t>GB/T 4793.1</w:t>
      </w:r>
      <w:r>
        <w:rPr>
          <w:rFonts w:hint="eastAsia"/>
        </w:rPr>
        <w:t>-2007中相关规定进行。</w:t>
      </w:r>
    </w:p>
    <w:p>
      <w:pPr>
        <w:rPr>
          <w:color w:val="000000" w:themeColor="text1"/>
        </w:rPr>
      </w:pPr>
      <w:r>
        <w:rPr>
          <w:rFonts w:hint="eastAsia" w:ascii="黑体" w:hAnsi="黑体" w:eastAsia="黑体"/>
        </w:rPr>
        <w:t xml:space="preserve">5.4.9.2 </w:t>
      </w:r>
      <w:r>
        <w:rPr>
          <w:rFonts w:hint="eastAsia"/>
          <w:color w:val="000000" w:themeColor="text1"/>
        </w:rPr>
        <w:t>振动试验</w:t>
      </w:r>
      <w:bookmarkEnd w:id="118"/>
    </w:p>
    <w:p>
      <w:pPr>
        <w:pStyle w:val="239"/>
        <w:ind w:firstLine="420"/>
        <w:rPr>
          <w:rFonts w:ascii="Times New Roman"/>
        </w:rPr>
      </w:pPr>
      <w:r>
        <w:rPr>
          <w:rFonts w:hint="eastAsia" w:ascii="Times New Roman"/>
        </w:rPr>
        <w:t>试验应按GB/T 2423.10中第8章规定的方法和程序，并在下列条件下进行：</w:t>
      </w:r>
    </w:p>
    <w:p>
      <w:pPr>
        <w:numPr>
          <w:ilvl w:val="0"/>
          <w:numId w:val="60"/>
        </w:numPr>
      </w:pPr>
      <w:r>
        <w:rPr>
          <w:rFonts w:hint="eastAsia"/>
        </w:rPr>
        <w:t>被试向量检查装置在非工作状态；</w:t>
      </w:r>
    </w:p>
    <w:p>
      <w:pPr>
        <w:numPr>
          <w:ilvl w:val="0"/>
          <w:numId w:val="60"/>
        </w:numPr>
      </w:pPr>
      <w:r>
        <w:rPr>
          <w:rFonts w:hint="eastAsia"/>
        </w:rPr>
        <w:t>依次在三个相互垂直轴的方向上对被试向量检查装置进行试验；</w:t>
      </w:r>
    </w:p>
    <w:p>
      <w:pPr>
        <w:numPr>
          <w:ilvl w:val="0"/>
          <w:numId w:val="60"/>
        </w:numPr>
      </w:pPr>
      <w:r>
        <w:rPr>
          <w:rFonts w:hint="eastAsia"/>
        </w:rPr>
        <w:t>频率范围：</w:t>
      </w:r>
      <w:r>
        <w:t>5 Hz~ 55 Hz~ 5 Hz</w:t>
      </w:r>
      <w:r>
        <w:rPr>
          <w:rFonts w:hint="eastAsia"/>
        </w:rPr>
        <w:t>；</w:t>
      </w:r>
    </w:p>
    <w:p>
      <w:pPr>
        <w:numPr>
          <w:ilvl w:val="0"/>
          <w:numId w:val="60"/>
        </w:numPr>
      </w:pPr>
      <w:r>
        <w:rPr>
          <w:rFonts w:hint="eastAsia"/>
        </w:rPr>
        <w:t>试验强度：驱动振幅（单峰值）设定为 0.19mm，扫频速率设定为不大于频速1oct/min，在共振点上驱动振幅（单峰值）分别设定为1.59mm（5Hz≤</w:t>
      </w:r>
      <w:r>
        <w:t>ƒ</w:t>
      </w:r>
      <w:r>
        <w:rPr>
          <w:rFonts w:hint="eastAsia"/>
        </w:rPr>
        <w:t>≤10Hz），0.76mm（10Hz≤</w:t>
      </w:r>
      <w:r>
        <w:t>ƒ</w:t>
      </w:r>
      <w:r>
        <w:rPr>
          <w:rFonts w:hint="eastAsia"/>
        </w:rPr>
        <w:t>≤25Hz），1.59mm（25Hz≤</w:t>
      </w:r>
      <w:r>
        <w:t>ƒ</w:t>
      </w:r>
      <w:r>
        <w:rPr>
          <w:rFonts w:hint="eastAsia"/>
        </w:rPr>
        <w:t>≤55Hz）。振动方向依次按x、y、z方向进行；</w:t>
      </w:r>
    </w:p>
    <w:p>
      <w:pPr>
        <w:numPr>
          <w:ilvl w:val="0"/>
          <w:numId w:val="60"/>
        </w:numPr>
      </w:pPr>
      <w:r>
        <w:rPr>
          <w:rFonts w:hint="eastAsia"/>
        </w:rPr>
        <w:t>试验时间：在共振点上保持时间设定为20min；</w:t>
      </w:r>
    </w:p>
    <w:p>
      <w:pPr>
        <w:numPr>
          <w:ilvl w:val="0"/>
          <w:numId w:val="60"/>
        </w:numPr>
      </w:pPr>
      <w:r>
        <w:rPr>
          <w:rFonts w:hint="eastAsia"/>
        </w:rPr>
        <w:t>试验后，被试向量检查装置的功能不应损坏，并进行相应输出量变差测试。</w:t>
      </w:r>
    </w:p>
    <w:p>
      <w:r>
        <w:rPr>
          <w:rFonts w:hint="eastAsia" w:ascii="黑体" w:hAnsi="黑体" w:eastAsia="黑体"/>
        </w:rPr>
        <w:t xml:space="preserve">5.4.9.3 </w:t>
      </w:r>
      <w:r>
        <w:rPr>
          <w:rFonts w:hint="eastAsia"/>
        </w:rPr>
        <w:t>冲击试验</w:t>
      </w:r>
    </w:p>
    <w:p>
      <w:pPr>
        <w:pStyle w:val="239"/>
        <w:ind w:firstLine="420"/>
      </w:pPr>
      <w:r>
        <w:rPr>
          <w:rFonts w:hint="eastAsia"/>
        </w:rPr>
        <w:t>试验应</w:t>
      </w:r>
      <w:r>
        <w:rPr>
          <w:rFonts w:ascii="Times New Roman"/>
        </w:rPr>
        <w:t>按GB/T 2423.5</w:t>
      </w:r>
      <w:r>
        <w:rPr>
          <w:rFonts w:hint="eastAsia"/>
        </w:rPr>
        <w:t>并在下列条件下进行：</w:t>
      </w:r>
    </w:p>
    <w:p>
      <w:pPr>
        <w:numPr>
          <w:ilvl w:val="0"/>
          <w:numId w:val="61"/>
        </w:numPr>
      </w:pPr>
      <w:r>
        <w:rPr>
          <w:rFonts w:hint="eastAsia"/>
        </w:rPr>
        <w:t>被试向量检查装置在非工作状态：</w:t>
      </w:r>
    </w:p>
    <w:p>
      <w:pPr>
        <w:numPr>
          <w:ilvl w:val="0"/>
          <w:numId w:val="61"/>
        </w:numPr>
      </w:pPr>
      <w:r>
        <w:rPr>
          <w:rFonts w:hint="eastAsia"/>
        </w:rPr>
        <w:t>半正弦冲击脉冲：</w:t>
      </w:r>
    </w:p>
    <w:p>
      <w:pPr>
        <w:numPr>
          <w:ilvl w:val="0"/>
          <w:numId w:val="61"/>
        </w:numPr>
      </w:pPr>
      <w:r>
        <w:rPr>
          <w:rFonts w:hint="eastAsia"/>
        </w:rPr>
        <w:t>峰值加速度：100m/s2；</w:t>
      </w:r>
    </w:p>
    <w:p>
      <w:pPr>
        <w:numPr>
          <w:ilvl w:val="0"/>
          <w:numId w:val="61"/>
        </w:numPr>
      </w:pPr>
      <w:r>
        <w:rPr>
          <w:rFonts w:hint="eastAsia"/>
        </w:rPr>
        <w:t>脉冲持续时间：16 ms；</w:t>
      </w:r>
    </w:p>
    <w:p>
      <w:pPr>
        <w:numPr>
          <w:ilvl w:val="0"/>
          <w:numId w:val="61"/>
        </w:numPr>
      </w:pPr>
      <w:r>
        <w:rPr>
          <w:rFonts w:hint="eastAsia"/>
        </w:rPr>
        <w:t>脉冲重复频率：60次/min；</w:t>
      </w:r>
    </w:p>
    <w:p>
      <w:pPr>
        <w:numPr>
          <w:ilvl w:val="0"/>
          <w:numId w:val="61"/>
        </w:numPr>
      </w:pPr>
      <w:r>
        <w:rPr>
          <w:rFonts w:hint="eastAsia"/>
        </w:rPr>
        <w:t>冲击次数：按x、y、z方向依次进行，各做1000次；</w:t>
      </w:r>
    </w:p>
    <w:p>
      <w:pPr>
        <w:numPr>
          <w:ilvl w:val="0"/>
          <w:numId w:val="61"/>
        </w:numPr>
      </w:pPr>
      <w:r>
        <w:rPr>
          <w:rFonts w:hint="eastAsia"/>
        </w:rPr>
        <w:t>试验后，被试向量检查装置的功能不应损坏，并进行相应输出量变差测试。</w:t>
      </w:r>
    </w:p>
    <w:p>
      <w:pPr>
        <w:pStyle w:val="242"/>
        <w:spacing w:before="156" w:after="156"/>
        <w:outlineLvl w:val="2"/>
      </w:pPr>
      <w:bookmarkStart w:id="121" w:name="_Toc199104951"/>
      <w:bookmarkStart w:id="122" w:name="_Toc1727"/>
      <w:r>
        <w:rPr>
          <w:rFonts w:hint="eastAsia"/>
        </w:rPr>
        <w:t>电磁兼容试验</w:t>
      </w:r>
      <w:bookmarkEnd w:id="121"/>
      <w:bookmarkEnd w:id="122"/>
    </w:p>
    <w:p>
      <w:pPr>
        <w:rPr>
          <w:rFonts w:hint="default" w:eastAsia="黑体"/>
          <w:lang w:val="en-US" w:eastAsia="zh-CN"/>
        </w:rPr>
      </w:pPr>
      <w:r>
        <w:rPr>
          <w:rFonts w:hint="eastAsia" w:ascii="黑体" w:hAnsi="黑体" w:eastAsia="黑体"/>
        </w:rPr>
        <w:t xml:space="preserve">5.4.10.1 </w:t>
      </w:r>
      <w:r>
        <w:rPr>
          <w:rFonts w:hint="eastAsia" w:eastAsia="黑体"/>
          <w:lang w:val="en-US" w:eastAsia="zh-CN"/>
        </w:rPr>
        <w:t>一般规定</w:t>
      </w:r>
    </w:p>
    <w:p>
      <w:pPr>
        <w:pStyle w:val="239"/>
        <w:ind w:firstLine="420"/>
      </w:pPr>
      <w:r>
        <w:rPr>
          <w:rFonts w:hint="eastAsia"/>
        </w:rPr>
        <w:t>被试</w:t>
      </w:r>
      <w:r>
        <w:t>向量检查装置</w:t>
      </w:r>
      <w:r>
        <w:rPr>
          <w:rFonts w:hint="eastAsia"/>
        </w:rPr>
        <w:t>应经受以下两种形式的电磁骚扰现象：</w:t>
      </w:r>
    </w:p>
    <w:p>
      <w:pPr>
        <w:numPr>
          <w:ilvl w:val="0"/>
          <w:numId w:val="62"/>
        </w:numPr>
      </w:pPr>
      <w:r>
        <w:rPr>
          <w:rFonts w:hint="eastAsia"/>
        </w:rPr>
        <w:t>连续的或长持续时间的电磁骚扰现象，作为影响量，在被试</w:t>
      </w:r>
      <w:r>
        <w:t>向量检查装置</w:t>
      </w:r>
      <w:r>
        <w:rPr>
          <w:rFonts w:hint="eastAsia"/>
        </w:rPr>
        <w:t>所有输出通道有信号下测试，通过被试</w:t>
      </w:r>
      <w:r>
        <w:t>向量检查装置</w:t>
      </w:r>
      <w:r>
        <w:rPr>
          <w:rFonts w:hint="eastAsia"/>
        </w:rPr>
        <w:t>的准确度来完成</w:t>
      </w:r>
      <w:r>
        <w:rPr>
          <w:rFonts w:hint="eastAsia"/>
          <w:lang w:eastAsia="zh-CN"/>
        </w:rPr>
        <w:t>；</w:t>
      </w:r>
    </w:p>
    <w:p>
      <w:pPr>
        <w:numPr>
          <w:ilvl w:val="0"/>
          <w:numId w:val="62"/>
        </w:numPr>
      </w:pPr>
      <w:r>
        <w:rPr>
          <w:rFonts w:hint="eastAsia"/>
        </w:rPr>
        <w:t>短时的电磁骚扰现象，作为干扰，在被试</w:t>
      </w:r>
      <w:r>
        <w:t>向量检查装置</w:t>
      </w:r>
      <w:r>
        <w:rPr>
          <w:rFonts w:hint="eastAsia"/>
        </w:rPr>
        <w:t>工作状态下测试。</w:t>
      </w:r>
    </w:p>
    <w:p>
      <w:pPr>
        <w:ind w:left="420"/>
      </w:pPr>
      <w:r>
        <w:rPr>
          <w:rFonts w:hint="eastAsia"/>
        </w:rPr>
        <w:t>所有试验除非另有规定，被试</w:t>
      </w:r>
      <w:r>
        <w:t>向量检查装置</w:t>
      </w:r>
      <w:r>
        <w:rPr>
          <w:rFonts w:hint="eastAsia"/>
        </w:rPr>
        <w:t>应在其正常工作位置、箱盖合闭状态下，所有预定接地的部分应接地。</w:t>
      </w:r>
    </w:p>
    <w:p>
      <w:pPr>
        <w:pStyle w:val="239"/>
        <w:ind w:firstLine="420"/>
      </w:pPr>
      <w:r>
        <w:rPr>
          <w:rFonts w:hint="eastAsia"/>
        </w:rPr>
        <w:t>电磁骚扰抗扰度影响试验项目见表</w:t>
      </w:r>
      <w:r>
        <w:rPr>
          <w:rFonts w:ascii="Times New Roman"/>
        </w:rPr>
        <w:t>2</w:t>
      </w:r>
      <w:r>
        <w:rPr>
          <w:rFonts w:hint="eastAsia"/>
        </w:rPr>
        <w:t>，试验检测点见相应部分规定。</w:t>
      </w:r>
    </w:p>
    <w:p>
      <w:pPr>
        <w:spacing w:line="360" w:lineRule="auto"/>
        <w:jc w:val="center"/>
        <w:outlineLvl w:val="2"/>
        <w:rPr>
          <w:rFonts w:ascii="黑体" w:hAnsi="黑体" w:eastAsia="黑体"/>
          <w:kern w:val="0"/>
          <w:szCs w:val="21"/>
        </w:rPr>
      </w:pPr>
      <w:bookmarkStart w:id="123" w:name="_Toc199104952"/>
      <w:r>
        <w:rPr>
          <w:rFonts w:ascii="黑体" w:hAnsi="黑体" w:eastAsia="黑体"/>
          <w:kern w:val="0"/>
          <w:szCs w:val="21"/>
        </w:rPr>
        <w:t>表</w:t>
      </w:r>
      <w:r>
        <w:rPr>
          <w:rFonts w:hint="eastAsia" w:ascii="黑体" w:hAnsi="黑体" w:eastAsia="黑体"/>
          <w:kern w:val="0"/>
          <w:szCs w:val="21"/>
        </w:rPr>
        <w:t>2 电磁骚扰抗扰度试验项目</w:t>
      </w:r>
      <w:bookmarkEnd w:id="123"/>
    </w:p>
    <w:tbl>
      <w:tblPr>
        <w:tblStyle w:val="89"/>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5"/>
        <w:gridCol w:w="1469"/>
        <w:gridCol w:w="1200"/>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pPr>
              <w:pStyle w:val="239"/>
              <w:ind w:firstLine="0" w:firstLineChars="0"/>
              <w:jc w:val="center"/>
              <w:rPr>
                <w:rFonts w:ascii="Times New Roman"/>
                <w:b/>
                <w:bCs/>
                <w:sz w:val="18"/>
                <w:szCs w:val="18"/>
              </w:rPr>
            </w:pPr>
            <w:r>
              <w:rPr>
                <w:rFonts w:ascii="Times New Roman"/>
                <w:b/>
                <w:bCs/>
                <w:sz w:val="18"/>
                <w:szCs w:val="18"/>
              </w:rPr>
              <w:t>序号</w:t>
            </w:r>
          </w:p>
        </w:tc>
        <w:tc>
          <w:tcPr>
            <w:tcW w:w="2935" w:type="dxa"/>
            <w:vAlign w:val="center"/>
          </w:tcPr>
          <w:p>
            <w:pPr>
              <w:pStyle w:val="239"/>
              <w:ind w:firstLine="0" w:firstLineChars="0"/>
              <w:jc w:val="center"/>
              <w:rPr>
                <w:rFonts w:ascii="Times New Roman"/>
                <w:b/>
                <w:bCs/>
                <w:sz w:val="18"/>
                <w:szCs w:val="18"/>
              </w:rPr>
            </w:pPr>
            <w:r>
              <w:rPr>
                <w:rFonts w:ascii="Times New Roman"/>
                <w:b/>
                <w:bCs/>
                <w:sz w:val="18"/>
                <w:szCs w:val="18"/>
              </w:rPr>
              <w:t>试验项目</w:t>
            </w:r>
          </w:p>
        </w:tc>
        <w:tc>
          <w:tcPr>
            <w:tcW w:w="1469" w:type="dxa"/>
            <w:vAlign w:val="center"/>
          </w:tcPr>
          <w:p>
            <w:pPr>
              <w:pStyle w:val="239"/>
              <w:ind w:firstLine="0" w:firstLineChars="0"/>
              <w:jc w:val="center"/>
              <w:rPr>
                <w:rFonts w:ascii="Times New Roman"/>
                <w:b/>
                <w:bCs/>
                <w:sz w:val="18"/>
                <w:szCs w:val="18"/>
              </w:rPr>
            </w:pPr>
            <w:r>
              <w:rPr>
                <w:rFonts w:ascii="Times New Roman"/>
                <w:b/>
                <w:bCs/>
                <w:sz w:val="18"/>
                <w:szCs w:val="18"/>
              </w:rPr>
              <w:t>试验标准</w:t>
            </w:r>
          </w:p>
        </w:tc>
        <w:tc>
          <w:tcPr>
            <w:tcW w:w="1200" w:type="dxa"/>
            <w:vAlign w:val="center"/>
          </w:tcPr>
          <w:p>
            <w:pPr>
              <w:pStyle w:val="239"/>
              <w:ind w:firstLine="0" w:firstLineChars="0"/>
              <w:jc w:val="center"/>
              <w:rPr>
                <w:rFonts w:ascii="Times New Roman"/>
                <w:b/>
                <w:bCs/>
                <w:sz w:val="18"/>
                <w:szCs w:val="18"/>
              </w:rPr>
            </w:pPr>
            <w:r>
              <w:rPr>
                <w:rFonts w:ascii="Times New Roman"/>
                <w:b/>
                <w:bCs/>
                <w:sz w:val="18"/>
                <w:szCs w:val="18"/>
              </w:rPr>
              <w:t>试验等级</w:t>
            </w:r>
          </w:p>
        </w:tc>
        <w:tc>
          <w:tcPr>
            <w:tcW w:w="3364" w:type="dxa"/>
            <w:vAlign w:val="center"/>
          </w:tcPr>
          <w:p>
            <w:pPr>
              <w:pStyle w:val="239"/>
              <w:ind w:firstLine="0" w:firstLineChars="0"/>
              <w:jc w:val="center"/>
              <w:rPr>
                <w:rFonts w:ascii="Times New Roman"/>
                <w:b/>
                <w:bCs/>
                <w:sz w:val="18"/>
                <w:szCs w:val="18"/>
              </w:rPr>
            </w:pPr>
            <w:r>
              <w:rPr>
                <w:rFonts w:ascii="Times New Roman"/>
                <w:b/>
                <w:bCs/>
                <w:sz w:val="18"/>
                <w:szCs w:val="18"/>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04" w:type="dxa"/>
            <w:vAlign w:val="center"/>
          </w:tcPr>
          <w:p>
            <w:pPr>
              <w:pStyle w:val="239"/>
              <w:ind w:firstLine="0" w:firstLineChars="0"/>
              <w:jc w:val="center"/>
              <w:rPr>
                <w:rFonts w:ascii="Times New Roman"/>
                <w:sz w:val="18"/>
                <w:szCs w:val="18"/>
              </w:rPr>
            </w:pPr>
            <w:r>
              <w:rPr>
                <w:rFonts w:ascii="Times New Roman"/>
                <w:sz w:val="18"/>
                <w:szCs w:val="18"/>
              </w:rPr>
              <w:t>1</w:t>
            </w:r>
          </w:p>
        </w:tc>
        <w:tc>
          <w:tcPr>
            <w:tcW w:w="2935" w:type="dxa"/>
            <w:vAlign w:val="center"/>
          </w:tcPr>
          <w:p>
            <w:pPr>
              <w:pStyle w:val="239"/>
              <w:ind w:firstLine="0" w:firstLineChars="0"/>
              <w:jc w:val="center"/>
              <w:rPr>
                <w:rFonts w:ascii="Times New Roman"/>
                <w:sz w:val="18"/>
                <w:szCs w:val="18"/>
              </w:rPr>
            </w:pPr>
            <w:r>
              <w:rPr>
                <w:rFonts w:ascii="Times New Roman"/>
                <w:sz w:val="18"/>
                <w:szCs w:val="18"/>
              </w:rPr>
              <w:t>静电放电抗扰度试验</w:t>
            </w:r>
          </w:p>
        </w:tc>
        <w:tc>
          <w:tcPr>
            <w:tcW w:w="1469" w:type="dxa"/>
            <w:vAlign w:val="center"/>
          </w:tcPr>
          <w:p>
            <w:pPr>
              <w:pStyle w:val="239"/>
              <w:ind w:firstLine="0" w:firstLineChars="0"/>
              <w:jc w:val="center"/>
              <w:rPr>
                <w:rFonts w:ascii="Times New Roman"/>
                <w:sz w:val="18"/>
                <w:szCs w:val="18"/>
              </w:rPr>
            </w:pPr>
            <w:r>
              <w:rPr>
                <w:rFonts w:ascii="Times New Roman"/>
                <w:sz w:val="18"/>
                <w:szCs w:val="18"/>
              </w:rPr>
              <w:t>GB/T 17626.2</w:t>
            </w:r>
          </w:p>
        </w:tc>
        <w:tc>
          <w:tcPr>
            <w:tcW w:w="1200" w:type="dxa"/>
            <w:vAlign w:val="center"/>
          </w:tcPr>
          <w:p>
            <w:pPr>
              <w:pStyle w:val="239"/>
              <w:ind w:firstLine="0" w:firstLineChars="0"/>
              <w:jc w:val="center"/>
              <w:rPr>
                <w:rFonts w:ascii="Times New Roman"/>
                <w:sz w:val="18"/>
                <w:szCs w:val="18"/>
              </w:rPr>
            </w:pPr>
            <w:r>
              <w:rPr>
                <w:rFonts w:hint="eastAsia" w:ascii="Times New Roman"/>
                <w:sz w:val="18"/>
                <w:szCs w:val="18"/>
              </w:rPr>
              <w:t>3</w:t>
            </w:r>
            <w:r>
              <w:rPr>
                <w:rFonts w:ascii="Times New Roman"/>
                <w:sz w:val="18"/>
                <w:szCs w:val="18"/>
              </w:rPr>
              <w:t>级</w:t>
            </w:r>
          </w:p>
        </w:tc>
        <w:tc>
          <w:tcPr>
            <w:tcW w:w="3364" w:type="dxa"/>
            <w:vAlign w:val="center"/>
          </w:tcPr>
          <w:p>
            <w:pPr>
              <w:pStyle w:val="239"/>
              <w:ind w:firstLine="0" w:firstLineChars="0"/>
              <w:jc w:val="center"/>
              <w:rPr>
                <w:rFonts w:ascii="Times New Roman"/>
                <w:sz w:val="18"/>
                <w:szCs w:val="18"/>
              </w:rPr>
            </w:pPr>
            <w:r>
              <w:rPr>
                <w:rFonts w:ascii="Times New Roman"/>
                <w:sz w:val="18"/>
                <w:szCs w:val="18"/>
              </w:rPr>
              <w:t>工作</w:t>
            </w:r>
            <w:r>
              <w:rPr>
                <w:rFonts w:hint="eastAsia" w:ascii="Times New Roman"/>
                <w:sz w:val="18"/>
                <w:szCs w:val="18"/>
              </w:rPr>
              <w:t>放置</w:t>
            </w:r>
            <w:r>
              <w:rPr>
                <w:rFonts w:ascii="Times New Roman"/>
                <w:sz w:val="18"/>
                <w:szCs w:val="18"/>
              </w:rPr>
              <w:t>状态下每个可触及表面/金属体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pPr>
              <w:pStyle w:val="239"/>
              <w:ind w:firstLine="0" w:firstLineChars="0"/>
              <w:jc w:val="center"/>
              <w:rPr>
                <w:rFonts w:ascii="Times New Roman"/>
                <w:sz w:val="18"/>
                <w:szCs w:val="18"/>
              </w:rPr>
            </w:pPr>
            <w:r>
              <w:rPr>
                <w:rFonts w:ascii="Times New Roman"/>
                <w:sz w:val="18"/>
                <w:szCs w:val="18"/>
              </w:rPr>
              <w:t>2</w:t>
            </w:r>
          </w:p>
        </w:tc>
        <w:tc>
          <w:tcPr>
            <w:tcW w:w="2935" w:type="dxa"/>
            <w:vAlign w:val="center"/>
          </w:tcPr>
          <w:p>
            <w:pPr>
              <w:pStyle w:val="239"/>
              <w:ind w:firstLine="0" w:firstLineChars="0"/>
              <w:jc w:val="center"/>
              <w:rPr>
                <w:rFonts w:ascii="Times New Roman"/>
                <w:sz w:val="18"/>
                <w:szCs w:val="18"/>
              </w:rPr>
            </w:pPr>
            <w:r>
              <w:rPr>
                <w:rFonts w:ascii="Times New Roman"/>
                <w:sz w:val="18"/>
                <w:szCs w:val="18"/>
              </w:rPr>
              <w:t>射频电磁场辐射抗扰度试验</w:t>
            </w:r>
          </w:p>
        </w:tc>
        <w:tc>
          <w:tcPr>
            <w:tcW w:w="1469" w:type="dxa"/>
            <w:vAlign w:val="center"/>
          </w:tcPr>
          <w:p>
            <w:pPr>
              <w:pStyle w:val="239"/>
              <w:ind w:firstLine="0" w:firstLineChars="0"/>
              <w:jc w:val="center"/>
              <w:rPr>
                <w:rFonts w:ascii="Times New Roman"/>
                <w:sz w:val="18"/>
                <w:szCs w:val="18"/>
              </w:rPr>
            </w:pPr>
            <w:r>
              <w:rPr>
                <w:rFonts w:ascii="Times New Roman"/>
                <w:sz w:val="18"/>
                <w:szCs w:val="18"/>
              </w:rPr>
              <w:t>GB/T 17626.</w:t>
            </w:r>
            <w:r>
              <w:rPr>
                <w:rFonts w:hint="eastAsia" w:ascii="Times New Roman"/>
                <w:sz w:val="18"/>
                <w:szCs w:val="18"/>
              </w:rPr>
              <w:t>3</w:t>
            </w:r>
          </w:p>
        </w:tc>
        <w:tc>
          <w:tcPr>
            <w:tcW w:w="1200" w:type="dxa"/>
            <w:vAlign w:val="center"/>
          </w:tcPr>
          <w:p>
            <w:pPr>
              <w:pStyle w:val="239"/>
              <w:ind w:firstLine="0" w:firstLineChars="0"/>
              <w:jc w:val="center"/>
              <w:rPr>
                <w:rFonts w:ascii="Times New Roman"/>
                <w:sz w:val="18"/>
                <w:szCs w:val="18"/>
              </w:rPr>
            </w:pPr>
            <w:r>
              <w:rPr>
                <w:rFonts w:hint="eastAsia" w:ascii="Times New Roman"/>
                <w:sz w:val="18"/>
                <w:szCs w:val="18"/>
              </w:rPr>
              <w:t>3级</w:t>
            </w:r>
          </w:p>
        </w:tc>
        <w:tc>
          <w:tcPr>
            <w:tcW w:w="3364" w:type="dxa"/>
            <w:vAlign w:val="center"/>
          </w:tcPr>
          <w:p>
            <w:pPr>
              <w:pStyle w:val="239"/>
              <w:ind w:firstLine="0" w:firstLineChars="0"/>
              <w:jc w:val="center"/>
              <w:rPr>
                <w:rFonts w:ascii="Times New Roman"/>
                <w:sz w:val="18"/>
                <w:szCs w:val="18"/>
              </w:rPr>
            </w:pPr>
            <w:r>
              <w:rPr>
                <w:rFonts w:ascii="Times New Roman"/>
                <w:sz w:val="18"/>
                <w:szCs w:val="18"/>
              </w:rPr>
              <w:t>工作</w:t>
            </w:r>
            <w:r>
              <w:rPr>
                <w:rFonts w:hint="eastAsia" w:ascii="Times New Roman"/>
                <w:sz w:val="18"/>
                <w:szCs w:val="18"/>
              </w:rPr>
              <w:t>放置</w:t>
            </w:r>
            <w:r>
              <w:rPr>
                <w:rFonts w:ascii="Times New Roman"/>
                <w:sz w:val="18"/>
                <w:szCs w:val="18"/>
              </w:rPr>
              <w:t>状态下每个</w:t>
            </w:r>
            <w:r>
              <w:rPr>
                <w:rFonts w:hint="eastAsia" w:ascii="Times New Roman"/>
                <w:sz w:val="18"/>
                <w:szCs w:val="18"/>
              </w:rPr>
              <w:t>侧面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pPr>
              <w:pStyle w:val="239"/>
              <w:ind w:firstLine="0" w:firstLineChars="0"/>
              <w:jc w:val="center"/>
              <w:rPr>
                <w:rFonts w:ascii="Times New Roman"/>
                <w:sz w:val="18"/>
                <w:szCs w:val="18"/>
              </w:rPr>
            </w:pPr>
            <w:r>
              <w:rPr>
                <w:rFonts w:ascii="Times New Roman"/>
                <w:sz w:val="18"/>
                <w:szCs w:val="18"/>
              </w:rPr>
              <w:t>3</w:t>
            </w:r>
          </w:p>
        </w:tc>
        <w:tc>
          <w:tcPr>
            <w:tcW w:w="2935" w:type="dxa"/>
            <w:vAlign w:val="center"/>
          </w:tcPr>
          <w:p>
            <w:pPr>
              <w:pStyle w:val="239"/>
              <w:ind w:firstLine="0" w:firstLineChars="0"/>
              <w:jc w:val="center"/>
              <w:rPr>
                <w:rFonts w:ascii="Times New Roman"/>
                <w:sz w:val="18"/>
                <w:szCs w:val="18"/>
              </w:rPr>
            </w:pPr>
            <w:r>
              <w:rPr>
                <w:rFonts w:ascii="Times New Roman"/>
                <w:sz w:val="18"/>
                <w:szCs w:val="18"/>
              </w:rPr>
              <w:t>电快速瞬变脉冲群抗扰度</w:t>
            </w:r>
          </w:p>
        </w:tc>
        <w:tc>
          <w:tcPr>
            <w:tcW w:w="1469" w:type="dxa"/>
            <w:vAlign w:val="center"/>
          </w:tcPr>
          <w:p>
            <w:pPr>
              <w:pStyle w:val="239"/>
              <w:ind w:firstLine="0" w:firstLineChars="0"/>
              <w:jc w:val="center"/>
              <w:rPr>
                <w:rFonts w:ascii="Times New Roman"/>
                <w:sz w:val="18"/>
                <w:szCs w:val="18"/>
              </w:rPr>
            </w:pPr>
            <w:r>
              <w:rPr>
                <w:rFonts w:ascii="Times New Roman"/>
                <w:sz w:val="18"/>
                <w:szCs w:val="18"/>
              </w:rPr>
              <w:t>GB/T 17626.</w:t>
            </w:r>
            <w:r>
              <w:rPr>
                <w:rFonts w:hint="eastAsia" w:ascii="Times New Roman"/>
                <w:sz w:val="18"/>
                <w:szCs w:val="18"/>
              </w:rPr>
              <w:t>4</w:t>
            </w:r>
          </w:p>
        </w:tc>
        <w:tc>
          <w:tcPr>
            <w:tcW w:w="1200" w:type="dxa"/>
            <w:vAlign w:val="center"/>
          </w:tcPr>
          <w:p>
            <w:pPr>
              <w:pStyle w:val="239"/>
              <w:ind w:firstLine="0" w:firstLineChars="0"/>
              <w:jc w:val="center"/>
              <w:rPr>
                <w:rFonts w:ascii="Times New Roman"/>
                <w:sz w:val="18"/>
                <w:szCs w:val="18"/>
              </w:rPr>
            </w:pPr>
            <w:r>
              <w:rPr>
                <w:rFonts w:hint="eastAsia" w:ascii="Times New Roman"/>
                <w:sz w:val="18"/>
                <w:szCs w:val="18"/>
              </w:rPr>
              <w:t>3级</w:t>
            </w:r>
          </w:p>
        </w:tc>
        <w:tc>
          <w:tcPr>
            <w:tcW w:w="3364" w:type="dxa"/>
            <w:vAlign w:val="center"/>
          </w:tcPr>
          <w:p>
            <w:pPr>
              <w:pStyle w:val="239"/>
              <w:ind w:firstLine="0" w:firstLineChars="0"/>
              <w:jc w:val="center"/>
              <w:rPr>
                <w:rFonts w:ascii="Times New Roman"/>
                <w:sz w:val="18"/>
                <w:szCs w:val="18"/>
              </w:rPr>
            </w:pPr>
            <w:r>
              <w:rPr>
                <w:rFonts w:hint="eastAsia" w:ascii="Times New Roman"/>
                <w:sz w:val="18"/>
                <w:szCs w:val="18"/>
              </w:rPr>
              <w:t>电源端口，数据、脉冲类I/O端口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pPr>
              <w:pStyle w:val="239"/>
              <w:ind w:firstLine="0" w:firstLineChars="0"/>
              <w:jc w:val="center"/>
              <w:rPr>
                <w:rFonts w:ascii="Times New Roman"/>
                <w:sz w:val="18"/>
                <w:szCs w:val="18"/>
              </w:rPr>
            </w:pPr>
            <w:r>
              <w:rPr>
                <w:rFonts w:hint="eastAsia" w:ascii="Times New Roman"/>
                <w:sz w:val="18"/>
                <w:szCs w:val="18"/>
              </w:rPr>
              <w:t>4</w:t>
            </w:r>
          </w:p>
        </w:tc>
        <w:tc>
          <w:tcPr>
            <w:tcW w:w="2935" w:type="dxa"/>
            <w:vAlign w:val="center"/>
          </w:tcPr>
          <w:p>
            <w:pPr>
              <w:pStyle w:val="239"/>
              <w:ind w:firstLine="0" w:firstLineChars="0"/>
              <w:jc w:val="center"/>
              <w:rPr>
                <w:rFonts w:ascii="Times New Roman"/>
                <w:sz w:val="18"/>
                <w:szCs w:val="18"/>
              </w:rPr>
            </w:pPr>
            <w:r>
              <w:rPr>
                <w:rFonts w:hint="eastAsia" w:ascii="Times New Roman"/>
                <w:sz w:val="18"/>
                <w:szCs w:val="18"/>
              </w:rPr>
              <w:t>射频场感应的传导骚扰抗扰度试验</w:t>
            </w:r>
          </w:p>
        </w:tc>
        <w:tc>
          <w:tcPr>
            <w:tcW w:w="1469" w:type="dxa"/>
            <w:vAlign w:val="center"/>
          </w:tcPr>
          <w:p>
            <w:pPr>
              <w:pStyle w:val="239"/>
              <w:ind w:firstLine="0" w:firstLineChars="0"/>
              <w:jc w:val="center"/>
              <w:rPr>
                <w:rFonts w:ascii="Times New Roman"/>
                <w:sz w:val="18"/>
                <w:szCs w:val="18"/>
              </w:rPr>
            </w:pPr>
            <w:r>
              <w:rPr>
                <w:rFonts w:ascii="Times New Roman"/>
                <w:sz w:val="18"/>
                <w:szCs w:val="18"/>
              </w:rPr>
              <w:t>GB/T 17626.</w:t>
            </w:r>
            <w:r>
              <w:rPr>
                <w:rFonts w:hint="eastAsia" w:ascii="Times New Roman"/>
                <w:sz w:val="18"/>
                <w:szCs w:val="18"/>
              </w:rPr>
              <w:t>6</w:t>
            </w:r>
          </w:p>
        </w:tc>
        <w:tc>
          <w:tcPr>
            <w:tcW w:w="1200" w:type="dxa"/>
            <w:vAlign w:val="center"/>
          </w:tcPr>
          <w:p>
            <w:pPr>
              <w:pStyle w:val="239"/>
              <w:ind w:firstLine="0" w:firstLineChars="0"/>
              <w:jc w:val="center"/>
              <w:rPr>
                <w:rFonts w:ascii="Times New Roman"/>
                <w:sz w:val="18"/>
                <w:szCs w:val="18"/>
              </w:rPr>
            </w:pPr>
            <w:r>
              <w:rPr>
                <w:rFonts w:hint="eastAsia" w:ascii="Times New Roman"/>
                <w:sz w:val="18"/>
                <w:szCs w:val="18"/>
              </w:rPr>
              <w:t>3级</w:t>
            </w:r>
          </w:p>
        </w:tc>
        <w:tc>
          <w:tcPr>
            <w:tcW w:w="3364" w:type="dxa"/>
            <w:vAlign w:val="center"/>
          </w:tcPr>
          <w:p>
            <w:pPr>
              <w:pStyle w:val="239"/>
              <w:ind w:firstLine="0" w:firstLineChars="0"/>
              <w:jc w:val="center"/>
              <w:rPr>
                <w:rFonts w:ascii="Times New Roman"/>
                <w:sz w:val="18"/>
                <w:szCs w:val="18"/>
              </w:rPr>
            </w:pPr>
            <w:r>
              <w:rPr>
                <w:rFonts w:hint="eastAsia" w:ascii="Times New Roman"/>
                <w:sz w:val="18"/>
                <w:szCs w:val="18"/>
              </w:rPr>
              <w:t>电源端口，数据、脉冲类I/O端口</w:t>
            </w:r>
          </w:p>
        </w:tc>
      </w:tr>
    </w:tbl>
    <w:p>
      <w:bookmarkStart w:id="124" w:name="_Toc199104953"/>
      <w:r>
        <w:rPr>
          <w:rFonts w:hint="eastAsia" w:ascii="黑体" w:hAnsi="黑体" w:eastAsia="黑体"/>
        </w:rPr>
        <w:t>5.4.10.</w:t>
      </w:r>
      <w:r>
        <w:rPr>
          <w:rFonts w:hint="eastAsia" w:ascii="黑体" w:hAnsi="黑体" w:eastAsia="黑体"/>
          <w:lang w:val="en-US" w:eastAsia="zh-CN"/>
        </w:rPr>
        <w:t>2</w:t>
      </w:r>
      <w:r>
        <w:rPr>
          <w:rFonts w:hint="eastAsia" w:ascii="黑体" w:hAnsi="黑体" w:eastAsia="黑体"/>
        </w:rPr>
        <w:t xml:space="preserve"> </w:t>
      </w:r>
      <w:r>
        <w:rPr>
          <w:rFonts w:hint="eastAsia"/>
        </w:rPr>
        <w:t>静电放电抗扰度</w:t>
      </w:r>
      <w:bookmarkEnd w:id="124"/>
    </w:p>
    <w:p>
      <w:pPr>
        <w:pStyle w:val="239"/>
        <w:ind w:firstLine="420"/>
        <w:rPr>
          <w:rFonts w:ascii="Times New Roman" w:hAnsiTheme="minorEastAsia" w:eastAsiaTheme="minorEastAsia"/>
        </w:rPr>
      </w:pPr>
      <w:r>
        <w:rPr>
          <w:rFonts w:hint="eastAsia" w:ascii="Times New Roman" w:hAnsiTheme="minorEastAsia" w:eastAsiaTheme="minorEastAsia"/>
        </w:rPr>
        <w:t>试验应</w:t>
      </w:r>
      <w:r>
        <w:rPr>
          <w:rFonts w:ascii="Times New Roman" w:hAnsiTheme="minorEastAsia" w:eastAsiaTheme="minorEastAsia"/>
        </w:rPr>
        <w:t>按</w:t>
      </w:r>
      <w:r>
        <w:rPr>
          <w:rFonts w:ascii="Times New Roman" w:eastAsiaTheme="minorEastAsia"/>
        </w:rPr>
        <w:t>GB/T</w:t>
      </w:r>
      <w:r>
        <w:rPr>
          <w:rFonts w:hint="eastAsia" w:ascii="Times New Roman" w:eastAsiaTheme="minorEastAsia"/>
        </w:rPr>
        <w:t xml:space="preserve"> </w:t>
      </w:r>
      <w:r>
        <w:rPr>
          <w:rFonts w:ascii="Times New Roman" w:eastAsiaTheme="minorEastAsia"/>
        </w:rPr>
        <w:t>17626.2</w:t>
      </w:r>
      <w:r>
        <w:rPr>
          <w:rFonts w:hint="eastAsia" w:ascii="Times New Roman" w:hAnsiTheme="minorEastAsia" w:eastAsiaTheme="minorEastAsia"/>
        </w:rPr>
        <w:t>的规定</w:t>
      </w:r>
      <w:r>
        <w:rPr>
          <w:rFonts w:ascii="Times New Roman" w:hAnsiTheme="minorEastAsia" w:eastAsiaTheme="minorEastAsia"/>
        </w:rPr>
        <w:t>，</w:t>
      </w:r>
      <w:r>
        <w:rPr>
          <w:rFonts w:hint="eastAsia" w:ascii="Times New Roman" w:hAnsiTheme="minorEastAsia" w:eastAsiaTheme="minorEastAsia"/>
        </w:rPr>
        <w:t>并在下列条件下进行：</w:t>
      </w:r>
    </w:p>
    <w:p>
      <w:pPr>
        <w:numPr>
          <w:ilvl w:val="0"/>
          <w:numId w:val="63"/>
        </w:numPr>
      </w:pPr>
      <w:r>
        <w:rPr>
          <w:rFonts w:hint="eastAsia"/>
        </w:rPr>
        <w:t>作为台式设备试验；</w:t>
      </w:r>
    </w:p>
    <w:p>
      <w:pPr>
        <w:numPr>
          <w:ilvl w:val="0"/>
          <w:numId w:val="63"/>
        </w:numPr>
      </w:pPr>
      <w:r>
        <w:rPr>
          <w:rFonts w:hint="eastAsia"/>
        </w:rPr>
        <w:t>被试</w:t>
      </w:r>
      <w:r>
        <w:t>向量检查装置</w:t>
      </w:r>
      <w:r>
        <w:rPr>
          <w:rFonts w:hint="eastAsia"/>
        </w:rPr>
        <w:t>在工作状态；</w:t>
      </w:r>
    </w:p>
    <w:p>
      <w:pPr>
        <w:numPr>
          <w:ilvl w:val="0"/>
          <w:numId w:val="63"/>
        </w:numPr>
      </w:pPr>
      <w:r>
        <w:rPr>
          <w:rFonts w:hint="eastAsia"/>
        </w:rPr>
        <w:t>试验应施加在测量仪工作放置状态下每个可触及表面/金属体；</w:t>
      </w:r>
    </w:p>
    <w:p>
      <w:pPr>
        <w:numPr>
          <w:ilvl w:val="0"/>
          <w:numId w:val="63"/>
        </w:numPr>
      </w:pPr>
      <w:r>
        <w:rPr>
          <w:rFonts w:hint="eastAsia"/>
        </w:rPr>
        <w:t>接触放电电压</w:t>
      </w:r>
      <w:r>
        <w:t>6</w:t>
      </w:r>
      <w:r>
        <w:rPr>
          <w:rFonts w:hint="eastAsia"/>
        </w:rPr>
        <w:t>kV，放电次数10次（在最敏感的极性），相邻间隔1s；</w:t>
      </w:r>
    </w:p>
    <w:p>
      <w:pPr>
        <w:numPr>
          <w:ilvl w:val="0"/>
          <w:numId w:val="63"/>
        </w:numPr>
      </w:pPr>
      <w:r>
        <w:rPr>
          <w:rFonts w:hint="eastAsia"/>
        </w:rPr>
        <w:t>如无外露金属零部件而不能进行接触放电，则以</w:t>
      </w:r>
      <w:r>
        <w:t>8</w:t>
      </w:r>
      <w:r>
        <w:rPr>
          <w:rFonts w:hint="eastAsia"/>
        </w:rPr>
        <w:t>kV 试验电压进行空气放电</w:t>
      </w:r>
      <w:r>
        <w:t>。</w:t>
      </w:r>
    </w:p>
    <w:p>
      <w:bookmarkStart w:id="125" w:name="_Toc199104954"/>
      <w:r>
        <w:rPr>
          <w:rFonts w:hint="eastAsia" w:ascii="黑体" w:hAnsi="黑体" w:eastAsia="黑体"/>
        </w:rPr>
        <w:t>5.4.10.</w:t>
      </w:r>
      <w:r>
        <w:rPr>
          <w:rFonts w:hint="eastAsia" w:ascii="黑体" w:hAnsi="黑体" w:eastAsia="黑体"/>
          <w:lang w:val="en-US" w:eastAsia="zh-CN"/>
        </w:rPr>
        <w:t>3</w:t>
      </w:r>
      <w:r>
        <w:rPr>
          <w:rFonts w:hint="eastAsia" w:ascii="黑体" w:hAnsi="黑体" w:eastAsia="黑体"/>
        </w:rPr>
        <w:t xml:space="preserve"> </w:t>
      </w:r>
      <w:r>
        <w:rPr>
          <w:rFonts w:hint="eastAsia"/>
        </w:rPr>
        <w:t>射频电磁场辐射抗扰度试验</w:t>
      </w:r>
      <w:bookmarkEnd w:id="125"/>
    </w:p>
    <w:p>
      <w:pPr>
        <w:pStyle w:val="239"/>
        <w:ind w:firstLine="420"/>
        <w:rPr>
          <w:rFonts w:ascii="Times New Roman" w:hAnsiTheme="minorEastAsia" w:eastAsiaTheme="minorEastAsia"/>
        </w:rPr>
      </w:pPr>
      <w:r>
        <w:rPr>
          <w:rFonts w:hint="eastAsia" w:ascii="Times New Roman" w:hAnsiTheme="minorEastAsia" w:eastAsiaTheme="minorEastAsia"/>
        </w:rPr>
        <w:t>试验应按GB/T 17626.3的规定，并在下列条件下进行：</w:t>
      </w:r>
    </w:p>
    <w:p>
      <w:pPr>
        <w:numPr>
          <w:ilvl w:val="0"/>
          <w:numId w:val="64"/>
        </w:numPr>
      </w:pPr>
      <w:r>
        <w:rPr>
          <w:rFonts w:hint="eastAsia"/>
        </w:rPr>
        <w:t>作为台式设备试验；</w:t>
      </w:r>
    </w:p>
    <w:p>
      <w:pPr>
        <w:numPr>
          <w:ilvl w:val="0"/>
          <w:numId w:val="64"/>
        </w:numPr>
      </w:pPr>
      <w:r>
        <w:rPr>
          <w:rFonts w:hint="eastAsia"/>
        </w:rPr>
        <w:t>被试</w:t>
      </w:r>
      <w:r>
        <w:t>向量检查装置</w:t>
      </w:r>
      <w:r>
        <w:rPr>
          <w:rFonts w:hint="eastAsia"/>
        </w:rPr>
        <w:t>在工作状态、基本量程（规定的输出点）下测试，标准测量装置不应受射频场影响；</w:t>
      </w:r>
    </w:p>
    <w:p>
      <w:pPr>
        <w:numPr>
          <w:ilvl w:val="0"/>
          <w:numId w:val="64"/>
        </w:numPr>
      </w:pPr>
      <w:r>
        <w:rPr>
          <w:rFonts w:hint="eastAsia"/>
        </w:rPr>
        <w:t>试验应施加在工作放置状态下每个侧面；</w:t>
      </w:r>
    </w:p>
    <w:p>
      <w:pPr>
        <w:numPr>
          <w:ilvl w:val="0"/>
          <w:numId w:val="64"/>
        </w:numPr>
      </w:pPr>
      <w:r>
        <w:rPr>
          <w:rFonts w:hint="eastAsia"/>
        </w:rPr>
        <w:t>暴露于电磁场中的电缆长度：1m；</w:t>
      </w:r>
    </w:p>
    <w:p>
      <w:pPr>
        <w:numPr>
          <w:ilvl w:val="0"/>
          <w:numId w:val="64"/>
        </w:numPr>
      </w:pPr>
      <w:r>
        <w:rPr>
          <w:rFonts w:hint="eastAsia"/>
        </w:rPr>
        <w:t>频率范围：80MHz~6GHz；</w:t>
      </w:r>
    </w:p>
    <w:p>
      <w:pPr>
        <w:numPr>
          <w:ilvl w:val="0"/>
          <w:numId w:val="64"/>
        </w:numPr>
      </w:pPr>
      <w:r>
        <w:rPr>
          <w:rFonts w:hint="eastAsia"/>
        </w:rPr>
        <w:t>以1kHz正弦波对信号进行80%调幅载波调制；</w:t>
      </w:r>
    </w:p>
    <w:p>
      <w:pPr>
        <w:numPr>
          <w:ilvl w:val="0"/>
          <w:numId w:val="64"/>
        </w:numPr>
      </w:pPr>
      <w:r>
        <w:rPr>
          <w:rFonts w:hint="eastAsia"/>
        </w:rPr>
        <w:t>频率增加的步长：1%；</w:t>
      </w:r>
    </w:p>
    <w:p>
      <w:pPr>
        <w:numPr>
          <w:ilvl w:val="0"/>
          <w:numId w:val="64"/>
        </w:numPr>
      </w:pPr>
      <w:r>
        <w:rPr>
          <w:rFonts w:hint="eastAsia"/>
        </w:rPr>
        <w:t>电场强度：10V/m；</w:t>
      </w:r>
    </w:p>
    <w:p>
      <w:pPr>
        <w:numPr>
          <w:ilvl w:val="0"/>
          <w:numId w:val="64"/>
        </w:numPr>
      </w:pPr>
      <w:r>
        <w:rPr>
          <w:rFonts w:hint="eastAsia"/>
        </w:rPr>
        <w:t>载波频率间隔不小于3s。</w:t>
      </w:r>
    </w:p>
    <w:p>
      <w:bookmarkStart w:id="126" w:name="_Toc199104955"/>
      <w:r>
        <w:rPr>
          <w:rFonts w:hint="eastAsia" w:ascii="黑体" w:hAnsi="黑体" w:eastAsia="黑体"/>
        </w:rPr>
        <w:t>5.4.10.</w:t>
      </w:r>
      <w:r>
        <w:rPr>
          <w:rFonts w:hint="eastAsia" w:ascii="黑体" w:hAnsi="黑体" w:eastAsia="黑体"/>
          <w:lang w:val="en-US" w:eastAsia="zh-CN"/>
        </w:rPr>
        <w:t>4</w:t>
      </w:r>
      <w:r>
        <w:rPr>
          <w:rFonts w:hint="eastAsia" w:ascii="黑体" w:hAnsi="黑体" w:eastAsia="黑体"/>
        </w:rPr>
        <w:t xml:space="preserve"> </w:t>
      </w:r>
      <w:r>
        <w:rPr>
          <w:rFonts w:hint="eastAsia"/>
        </w:rPr>
        <w:t>电快速瞬变脉冲群抗扰度</w:t>
      </w:r>
      <w:bookmarkEnd w:id="126"/>
    </w:p>
    <w:p>
      <w:pPr>
        <w:pStyle w:val="239"/>
        <w:ind w:firstLine="420"/>
        <w:rPr>
          <w:rFonts w:ascii="Times New Roman"/>
        </w:rPr>
      </w:pPr>
      <w:r>
        <w:rPr>
          <w:rFonts w:hint="eastAsia" w:ascii="Times New Roman"/>
        </w:rPr>
        <w:t>试验应按GB/T 17626.4的规定，并在下列条件下进行：</w:t>
      </w:r>
    </w:p>
    <w:p>
      <w:pPr>
        <w:numPr>
          <w:ilvl w:val="0"/>
          <w:numId w:val="65"/>
        </w:numPr>
      </w:pPr>
      <w:r>
        <w:rPr>
          <w:rFonts w:hint="eastAsia"/>
        </w:rPr>
        <w:t>作为台式设备试验；</w:t>
      </w:r>
    </w:p>
    <w:p>
      <w:pPr>
        <w:numPr>
          <w:ilvl w:val="0"/>
          <w:numId w:val="65"/>
        </w:numPr>
      </w:pPr>
      <w:r>
        <w:rPr>
          <w:rFonts w:hint="eastAsia"/>
        </w:rPr>
        <w:t>被试</w:t>
      </w:r>
      <w:r>
        <w:t>向量检查装置</w:t>
      </w:r>
      <w:r>
        <w:rPr>
          <w:rFonts w:hint="eastAsia"/>
        </w:rPr>
        <w:t>在工作状态、基本量程（规定的输出点）下测试，标准测量装置不应受射频场影响；</w:t>
      </w:r>
    </w:p>
    <w:p>
      <w:pPr>
        <w:numPr>
          <w:ilvl w:val="0"/>
          <w:numId w:val="65"/>
        </w:numPr>
      </w:pPr>
      <w:r>
        <w:rPr>
          <w:rFonts w:hint="eastAsia"/>
        </w:rPr>
        <w:t>耦合器与被试设备之间的电缆长度不超过1m；</w:t>
      </w:r>
    </w:p>
    <w:p>
      <w:pPr>
        <w:ind w:left="420" w:leftChars="200" w:firstLine="420" w:firstLineChars="200"/>
      </w:pPr>
      <w:r>
        <w:rPr>
          <w:rFonts w:hint="eastAsia"/>
        </w:rPr>
        <w:t>·电源端口和接地端口，试验电压：2</w:t>
      </w:r>
      <w:r>
        <w:t>kV</w:t>
      </w:r>
      <w:r>
        <w:rPr>
          <w:rFonts w:hint="eastAsia"/>
        </w:rPr>
        <w:t>；</w:t>
      </w:r>
    </w:p>
    <w:p>
      <w:pPr>
        <w:ind w:left="420" w:leftChars="200" w:firstLine="420" w:firstLineChars="200"/>
      </w:pPr>
      <w:r>
        <w:rPr>
          <w:rFonts w:hint="eastAsia"/>
        </w:rPr>
        <w:t>·数据、脉冲类I/O端口，试验电</w:t>
      </w:r>
      <w:r>
        <w:t>压</w:t>
      </w:r>
      <w:r>
        <w:rPr>
          <w:rFonts w:hint="eastAsia"/>
        </w:rPr>
        <w:t>1</w:t>
      </w:r>
      <w:r>
        <w:t>k</w:t>
      </w:r>
      <w:r>
        <w:rPr>
          <w:rFonts w:hint="eastAsia"/>
        </w:rPr>
        <w:t>V；</w:t>
      </w:r>
    </w:p>
    <w:p>
      <w:pPr>
        <w:numPr>
          <w:ilvl w:val="0"/>
          <w:numId w:val="65"/>
        </w:numPr>
      </w:pPr>
      <w:r>
        <w:rPr>
          <w:rFonts w:hint="eastAsia"/>
        </w:rPr>
        <w:t>试验时间：每一极性60s。</w:t>
      </w:r>
    </w:p>
    <w:p>
      <w:pPr>
        <w:numPr>
          <w:ilvl w:val="0"/>
          <w:numId w:val="65"/>
        </w:numPr>
      </w:pPr>
      <w:r>
        <w:rPr>
          <w:rFonts w:hint="eastAsia"/>
        </w:rPr>
        <w:t>重复频率：5kHz。</w:t>
      </w:r>
    </w:p>
    <w:p>
      <w:bookmarkStart w:id="127" w:name="_Toc199104956"/>
      <w:r>
        <w:rPr>
          <w:rFonts w:hint="eastAsia" w:ascii="黑体" w:hAnsi="黑体" w:eastAsia="黑体"/>
        </w:rPr>
        <w:t>5.4.10.</w:t>
      </w:r>
      <w:r>
        <w:rPr>
          <w:rFonts w:hint="eastAsia" w:ascii="黑体" w:hAnsi="黑体" w:eastAsia="黑体"/>
          <w:lang w:val="en-US" w:eastAsia="zh-CN"/>
        </w:rPr>
        <w:t>5</w:t>
      </w:r>
      <w:r>
        <w:rPr>
          <w:rFonts w:hint="eastAsia" w:ascii="黑体" w:hAnsi="黑体" w:eastAsia="黑体"/>
        </w:rPr>
        <w:t xml:space="preserve"> </w:t>
      </w:r>
      <w:r>
        <w:rPr>
          <w:rFonts w:hint="eastAsia"/>
        </w:rPr>
        <w:t>射频场感应的传导骚扰抗扰度试验</w:t>
      </w:r>
      <w:bookmarkEnd w:id="127"/>
    </w:p>
    <w:p>
      <w:pPr>
        <w:pStyle w:val="239"/>
        <w:ind w:firstLine="420"/>
        <w:rPr>
          <w:rFonts w:ascii="Times New Roman" w:hAnsiTheme="minorEastAsia" w:eastAsiaTheme="minorEastAsia"/>
        </w:rPr>
      </w:pPr>
      <w:r>
        <w:rPr>
          <w:rFonts w:hint="eastAsia" w:ascii="Times New Roman" w:hAnsiTheme="minorEastAsia" w:eastAsiaTheme="minorEastAsia"/>
        </w:rPr>
        <w:t>试验应按GB/T 17626.6的规定，并在下列条件下进行：</w:t>
      </w:r>
    </w:p>
    <w:p>
      <w:pPr>
        <w:numPr>
          <w:ilvl w:val="0"/>
          <w:numId w:val="66"/>
        </w:numPr>
      </w:pPr>
      <w:r>
        <w:rPr>
          <w:rFonts w:hint="eastAsia"/>
        </w:rPr>
        <w:t>作为台式设备试验；</w:t>
      </w:r>
    </w:p>
    <w:p>
      <w:pPr>
        <w:numPr>
          <w:ilvl w:val="0"/>
          <w:numId w:val="66"/>
        </w:numPr>
      </w:pPr>
      <w:r>
        <w:rPr>
          <w:rFonts w:hint="eastAsia"/>
        </w:rPr>
        <w:t>被试</w:t>
      </w:r>
      <w:r>
        <w:t>向量检查装置</w:t>
      </w:r>
      <w:r>
        <w:rPr>
          <w:rFonts w:hint="eastAsia"/>
        </w:rPr>
        <w:t>在工作状态、基本量程（规定的输出点）下测试，标准测量装置不应受射频场影响；</w:t>
      </w:r>
    </w:p>
    <w:p>
      <w:pPr>
        <w:numPr>
          <w:ilvl w:val="0"/>
          <w:numId w:val="66"/>
        </w:numPr>
      </w:pPr>
      <w:r>
        <w:rPr>
          <w:rFonts w:hint="eastAsia"/>
        </w:rPr>
        <w:t>试验应施加在被试</w:t>
      </w:r>
      <w:r>
        <w:t>向量检查装置</w:t>
      </w:r>
      <w:r>
        <w:rPr>
          <w:rFonts w:hint="eastAsia"/>
        </w:rPr>
        <w:t>的电源端口，数据、脉冲类I/O口端口；</w:t>
      </w:r>
    </w:p>
    <w:p>
      <w:pPr>
        <w:numPr>
          <w:ilvl w:val="0"/>
          <w:numId w:val="66"/>
        </w:numPr>
      </w:pPr>
      <w:r>
        <w:rPr>
          <w:rFonts w:hint="eastAsia"/>
        </w:rPr>
        <w:t>频率范围：150kHz~80MHz；</w:t>
      </w:r>
    </w:p>
    <w:p>
      <w:pPr>
        <w:numPr>
          <w:ilvl w:val="0"/>
          <w:numId w:val="66"/>
        </w:numPr>
      </w:pPr>
      <w:r>
        <w:rPr>
          <w:rFonts w:hint="eastAsia"/>
        </w:rPr>
        <w:t>以1kHz正弦波对信号进行80%调幅载波调制；</w:t>
      </w:r>
    </w:p>
    <w:p>
      <w:pPr>
        <w:numPr>
          <w:ilvl w:val="0"/>
          <w:numId w:val="66"/>
        </w:numPr>
      </w:pPr>
      <w:r>
        <w:rPr>
          <w:rFonts w:hint="eastAsia"/>
        </w:rPr>
        <w:t>电压水平：10V；</w:t>
      </w:r>
    </w:p>
    <w:p>
      <w:pPr>
        <w:numPr>
          <w:ilvl w:val="0"/>
          <w:numId w:val="66"/>
        </w:numPr>
      </w:pPr>
      <w:r>
        <w:rPr>
          <w:rFonts w:hint="eastAsia"/>
        </w:rPr>
        <w:t>载波频率间隔不小于3s。</w:t>
      </w:r>
    </w:p>
    <w:bookmarkEnd w:id="77"/>
    <w:bookmarkEnd w:id="78"/>
    <w:p>
      <w:pPr>
        <w:pStyle w:val="240"/>
        <w:spacing w:before="312" w:after="312"/>
        <w:outlineLvl w:val="0"/>
        <w:rPr>
          <w:rFonts w:ascii="Times New Roman"/>
          <w:color w:val="5B9BD5" w:themeColor="accent1"/>
          <w:szCs w:val="21"/>
        </w:rPr>
      </w:pPr>
      <w:bookmarkStart w:id="128" w:name="_Toc197938462"/>
      <w:bookmarkStart w:id="129" w:name="_Toc199104957"/>
      <w:r>
        <w:rPr>
          <w:rFonts w:hint="eastAsia" w:ascii="Times New Roman"/>
          <w:szCs w:val="21"/>
        </w:rPr>
        <w:t>标志、包装、运输、贮存</w:t>
      </w:r>
      <w:bookmarkEnd w:id="128"/>
      <w:bookmarkEnd w:id="129"/>
    </w:p>
    <w:p>
      <w:pPr>
        <w:pStyle w:val="241"/>
        <w:spacing w:before="156" w:after="156"/>
        <w:outlineLvl w:val="1"/>
      </w:pPr>
      <w:bookmarkStart w:id="130" w:name="_Toc199104958"/>
      <w:bookmarkStart w:id="131" w:name="_Toc197938463"/>
      <w:r>
        <w:rPr>
          <w:rFonts w:hint="eastAsia"/>
        </w:rPr>
        <w:t>标志</w:t>
      </w:r>
      <w:bookmarkEnd w:id="130"/>
      <w:bookmarkEnd w:id="131"/>
    </w:p>
    <w:p>
      <w:pPr>
        <w:pStyle w:val="242"/>
        <w:spacing w:beforeLines="0" w:afterLines="0"/>
        <w:rPr>
          <w:rFonts w:asciiTheme="majorEastAsia" w:hAnsiTheme="majorEastAsia" w:eastAsiaTheme="majorEastAsia" w:cstheme="majorEastAsia"/>
        </w:rPr>
      </w:pPr>
      <w:r>
        <w:rPr>
          <w:rFonts w:hint="eastAsia" w:asciiTheme="majorEastAsia" w:hAnsiTheme="majorEastAsia" w:eastAsiaTheme="majorEastAsia" w:cstheme="majorEastAsia"/>
        </w:rPr>
        <w:t>产品应有不易脱落的铭牌或相当于铭牌的标志，内容包括：</w:t>
      </w:r>
    </w:p>
    <w:p>
      <w:pPr>
        <w:numPr>
          <w:ilvl w:val="0"/>
          <w:numId w:val="67"/>
        </w:numPr>
      </w:pPr>
      <w:bookmarkStart w:id="132" w:name="_Toc199104959"/>
      <w:r>
        <w:rPr>
          <w:rFonts w:hint="eastAsia"/>
        </w:rPr>
        <w:t>制造厂名称和商标；</w:t>
      </w:r>
      <w:bookmarkEnd w:id="132"/>
    </w:p>
    <w:p>
      <w:pPr>
        <w:numPr>
          <w:ilvl w:val="0"/>
          <w:numId w:val="67"/>
        </w:numPr>
      </w:pPr>
      <w:bookmarkStart w:id="133" w:name="_Toc199104960"/>
      <w:r>
        <w:rPr>
          <w:rFonts w:hint="eastAsia"/>
        </w:rPr>
        <w:t>产品型号和名称；</w:t>
      </w:r>
      <w:bookmarkEnd w:id="133"/>
    </w:p>
    <w:p>
      <w:pPr>
        <w:numPr>
          <w:ilvl w:val="0"/>
          <w:numId w:val="67"/>
        </w:numPr>
      </w:pPr>
      <w:bookmarkStart w:id="134" w:name="_Toc199104961"/>
      <w:r>
        <w:rPr>
          <w:rFonts w:hint="eastAsia"/>
        </w:rPr>
        <w:t>规格号（需要时）；</w:t>
      </w:r>
      <w:bookmarkEnd w:id="134"/>
    </w:p>
    <w:p>
      <w:pPr>
        <w:numPr>
          <w:ilvl w:val="0"/>
          <w:numId w:val="67"/>
        </w:numPr>
      </w:pPr>
      <w:bookmarkStart w:id="135" w:name="_Toc199104962"/>
      <w:r>
        <w:rPr>
          <w:rFonts w:hint="eastAsia"/>
        </w:rPr>
        <w:t>额定容量、一次输出电流/电压额定值、频率；</w:t>
      </w:r>
      <w:bookmarkEnd w:id="135"/>
    </w:p>
    <w:p>
      <w:pPr>
        <w:numPr>
          <w:ilvl w:val="0"/>
          <w:numId w:val="67"/>
        </w:numPr>
      </w:pPr>
      <w:bookmarkStart w:id="136" w:name="_Toc199104963"/>
      <w:r>
        <w:rPr>
          <w:rFonts w:hint="eastAsia"/>
        </w:rPr>
        <w:t>产品制造年、月；</w:t>
      </w:r>
      <w:bookmarkEnd w:id="136"/>
    </w:p>
    <w:p>
      <w:pPr>
        <w:numPr>
          <w:ilvl w:val="0"/>
          <w:numId w:val="67"/>
        </w:numPr>
      </w:pPr>
      <w:bookmarkStart w:id="137" w:name="_Toc199104964"/>
      <w:r>
        <w:rPr>
          <w:rFonts w:hint="eastAsia"/>
        </w:rPr>
        <w:t>产品的编号；</w:t>
      </w:r>
      <w:bookmarkEnd w:id="137"/>
    </w:p>
    <w:p>
      <w:pPr>
        <w:numPr>
          <w:ilvl w:val="0"/>
          <w:numId w:val="67"/>
        </w:numPr>
      </w:pPr>
      <w:bookmarkStart w:id="138" w:name="_Toc199104965"/>
      <w:r>
        <w:rPr>
          <w:rFonts w:hint="eastAsia"/>
        </w:rPr>
        <w:t>输入、输出端应用明显的色彩或字符标示。</w:t>
      </w:r>
      <w:bookmarkEnd w:id="138"/>
    </w:p>
    <w:p>
      <w:pPr>
        <w:pStyle w:val="242"/>
        <w:spacing w:beforeLines="0" w:afterLines="0"/>
        <w:rPr>
          <w:rFonts w:asciiTheme="majorEastAsia" w:hAnsiTheme="majorEastAsia" w:eastAsiaTheme="majorEastAsia" w:cstheme="majorEastAsia"/>
        </w:rPr>
      </w:pPr>
      <w:r>
        <w:rPr>
          <w:rFonts w:hint="eastAsia" w:asciiTheme="majorEastAsia" w:hAnsiTheme="majorEastAsia" w:eastAsiaTheme="majorEastAsia" w:cstheme="majorEastAsia"/>
        </w:rPr>
        <w:t>产品外包装上应有收发货、包装、贮存、及</w:t>
      </w:r>
      <w:r>
        <w:rPr>
          <w:rFonts w:ascii="Times New Roman" w:hAnsi="宋体" w:eastAsia="宋体"/>
        </w:rPr>
        <w:t>按</w:t>
      </w:r>
      <w:r>
        <w:rPr>
          <w:rFonts w:ascii="Times New Roman" w:hAnsi="Times New Roman" w:eastAsia="宋体"/>
        </w:rPr>
        <w:t>GB/T</w:t>
      </w:r>
      <w:r>
        <w:rPr>
          <w:rFonts w:hint="eastAsia" w:ascii="Times New Roman" w:hAnsi="Times New Roman" w:eastAsia="宋体"/>
        </w:rPr>
        <w:t xml:space="preserve"> </w:t>
      </w:r>
      <w:r>
        <w:rPr>
          <w:rFonts w:ascii="Times New Roman" w:hAnsi="Times New Roman" w:eastAsia="宋体"/>
        </w:rPr>
        <w:t>191</w:t>
      </w:r>
      <w:r>
        <w:rPr>
          <w:rFonts w:ascii="Times New Roman" w:hAnsiTheme="majorEastAsia" w:eastAsiaTheme="majorEastAsia"/>
        </w:rPr>
        <w:t>规</w:t>
      </w:r>
      <w:r>
        <w:rPr>
          <w:rFonts w:hint="eastAsia" w:asciiTheme="majorEastAsia" w:hAnsiTheme="majorEastAsia" w:eastAsiaTheme="majorEastAsia" w:cstheme="majorEastAsia"/>
        </w:rPr>
        <w:t>定的运输图示标志等必需的标志和标签。</w:t>
      </w:r>
    </w:p>
    <w:p>
      <w:pPr>
        <w:pStyle w:val="241"/>
        <w:spacing w:before="156" w:after="156"/>
        <w:outlineLvl w:val="1"/>
      </w:pPr>
      <w:bookmarkStart w:id="139" w:name="_Toc197938464"/>
      <w:bookmarkStart w:id="140" w:name="_Toc199104966"/>
      <w:r>
        <w:rPr>
          <w:rFonts w:hint="eastAsia"/>
        </w:rPr>
        <w:t>包装</w:t>
      </w:r>
      <w:bookmarkEnd w:id="139"/>
      <w:bookmarkEnd w:id="140"/>
    </w:p>
    <w:p>
      <w:pPr>
        <w:pStyle w:val="242"/>
        <w:spacing w:beforeLines="0" w:afterLines="0"/>
        <w:outlineLvl w:val="2"/>
        <w:rPr>
          <w:rFonts w:asciiTheme="majorEastAsia" w:hAnsiTheme="majorEastAsia" w:eastAsiaTheme="majorEastAsia" w:cstheme="majorEastAsia"/>
        </w:rPr>
      </w:pPr>
      <w:bookmarkStart w:id="141" w:name="_Toc199104967"/>
      <w:bookmarkStart w:id="142" w:name="_Toc197938465"/>
      <w:r>
        <w:rPr>
          <w:rFonts w:hint="eastAsia" w:asciiTheme="majorEastAsia" w:hAnsiTheme="majorEastAsia" w:eastAsiaTheme="majorEastAsia" w:cstheme="majorEastAsia"/>
        </w:rPr>
        <w:t>产品包装要求按</w:t>
      </w:r>
      <w:r>
        <w:rPr>
          <w:rFonts w:ascii="Times New Roman" w:hAnsi="Times New Roman" w:eastAsiaTheme="majorEastAsia"/>
        </w:rPr>
        <w:t>GB/T</w:t>
      </w:r>
      <w:r>
        <w:rPr>
          <w:rFonts w:hint="eastAsia" w:ascii="Times New Roman" w:hAnsi="Times New Roman" w:eastAsiaTheme="majorEastAsia"/>
        </w:rPr>
        <w:t xml:space="preserve"> </w:t>
      </w:r>
      <w:r>
        <w:rPr>
          <w:rFonts w:ascii="Times New Roman" w:hAnsi="Times New Roman" w:eastAsiaTheme="majorEastAsia"/>
        </w:rPr>
        <w:t>13384</w:t>
      </w:r>
      <w:r>
        <w:rPr>
          <w:rFonts w:ascii="Times New Roman" w:hAnsiTheme="majorEastAsia" w:eastAsiaTheme="majorEastAsia"/>
        </w:rPr>
        <w:t>的规定</w:t>
      </w:r>
      <w:r>
        <w:rPr>
          <w:rFonts w:hint="eastAsia" w:asciiTheme="majorEastAsia" w:hAnsiTheme="majorEastAsia" w:eastAsiaTheme="majorEastAsia" w:cstheme="majorEastAsia"/>
        </w:rPr>
        <w:t>，包装箱内应附有使用说明书、出厂报告、附件、装箱清单以及产品合格证。</w:t>
      </w:r>
    </w:p>
    <w:p>
      <w:pPr>
        <w:pStyle w:val="242"/>
        <w:spacing w:beforeLines="0" w:afterLines="0"/>
        <w:outlineLvl w:val="2"/>
        <w:rPr>
          <w:rFonts w:asciiTheme="majorEastAsia" w:hAnsiTheme="majorEastAsia" w:eastAsiaTheme="majorEastAsia" w:cstheme="majorEastAsia"/>
        </w:rPr>
      </w:pPr>
      <w:r>
        <w:rPr>
          <w:rFonts w:hint="eastAsia" w:asciiTheme="majorEastAsia" w:hAnsiTheme="majorEastAsia" w:eastAsiaTheme="majorEastAsia" w:cstheme="majorEastAsia"/>
        </w:rPr>
        <w:t>产品应按相关标准及运输部门有关包装的规定和设计图纸规定的包装方法进行包装，也可按照合同（协议）规定进行包装，产品应有良好的内、外包装，并具备防尘、防雨、防潮、防震等措施。</w:t>
      </w:r>
    </w:p>
    <w:p>
      <w:pPr>
        <w:pStyle w:val="241"/>
        <w:spacing w:before="156" w:after="156"/>
        <w:outlineLvl w:val="1"/>
      </w:pPr>
      <w:r>
        <w:rPr>
          <w:rFonts w:hint="eastAsia"/>
        </w:rPr>
        <w:t>运输</w:t>
      </w:r>
      <w:bookmarkEnd w:id="141"/>
      <w:bookmarkEnd w:id="142"/>
    </w:p>
    <w:p>
      <w:pPr>
        <w:pStyle w:val="242"/>
        <w:spacing w:beforeLines="0" w:afterLines="0"/>
        <w:outlineLvl w:val="2"/>
        <w:rPr>
          <w:rFonts w:asciiTheme="majorEastAsia" w:hAnsiTheme="majorEastAsia" w:eastAsiaTheme="majorEastAsia" w:cstheme="majorEastAsia"/>
        </w:rPr>
      </w:pPr>
      <w:bookmarkStart w:id="143" w:name="_Toc199104968"/>
      <w:bookmarkStart w:id="144" w:name="_Toc197938466"/>
      <w:r>
        <w:rPr>
          <w:rFonts w:hint="eastAsia" w:asciiTheme="majorEastAsia" w:hAnsiTheme="majorEastAsia" w:eastAsiaTheme="majorEastAsia" w:cstheme="majorEastAsia"/>
        </w:rPr>
        <w:t>产品应适于陆运、空运、水运（海运）。</w:t>
      </w:r>
    </w:p>
    <w:p>
      <w:pPr>
        <w:pStyle w:val="242"/>
        <w:spacing w:beforeLines="0" w:afterLines="0"/>
        <w:outlineLvl w:val="2"/>
        <w:rPr>
          <w:rFonts w:ascii="Times New Roman" w:hAnsi="Times New Roman" w:eastAsiaTheme="majorEastAsia"/>
        </w:rPr>
      </w:pPr>
      <w:r>
        <w:rPr>
          <w:rFonts w:hint="eastAsia" w:asciiTheme="majorEastAsia" w:hAnsiTheme="majorEastAsia" w:eastAsiaTheme="majorEastAsia" w:cstheme="majorEastAsia"/>
        </w:rPr>
        <w:t>产品的运输和装卸应严格按照包装箱上标志的规定及国家运输标准的有关规定执行，在运输过程中不应剧烈震动、冲击、挤</w:t>
      </w:r>
      <w:r>
        <w:rPr>
          <w:rFonts w:ascii="Times New Roman" w:hAnsiTheme="majorEastAsia" w:eastAsiaTheme="majorEastAsia"/>
        </w:rPr>
        <w:t>压、暴晒、雨淋和倾倒放置。</w:t>
      </w:r>
    </w:p>
    <w:p>
      <w:pPr>
        <w:pStyle w:val="242"/>
        <w:spacing w:beforeLines="0" w:afterLines="0"/>
        <w:outlineLvl w:val="2"/>
        <w:rPr>
          <w:rFonts w:ascii="Times New Roman" w:hAnsi="Times New Roman" w:eastAsiaTheme="majorEastAsia"/>
        </w:rPr>
      </w:pPr>
      <w:r>
        <w:rPr>
          <w:rFonts w:ascii="Times New Roman" w:hAnsiTheme="majorEastAsia" w:eastAsiaTheme="majorEastAsia"/>
        </w:rPr>
        <w:t>包装好的产品在运输过程中的贮存温度为</w:t>
      </w:r>
      <w:r>
        <w:rPr>
          <w:rFonts w:hint="eastAsia" w:ascii="宋体" w:hAnsi="宋体" w:eastAsia="宋体"/>
        </w:rPr>
        <w:t>-</w:t>
      </w:r>
      <w:r>
        <w:rPr>
          <w:rFonts w:ascii="Times New Roman" w:hAnsi="Times New Roman" w:eastAsiaTheme="majorEastAsia"/>
        </w:rPr>
        <w:t>25℃</w:t>
      </w:r>
      <w:r>
        <w:rPr>
          <w:rFonts w:ascii="Times New Roman" w:hAnsiTheme="majorEastAsia" w:eastAsiaTheme="majorEastAsia"/>
        </w:rPr>
        <w:t>～</w:t>
      </w:r>
      <w:r>
        <w:rPr>
          <w:rFonts w:ascii="宋体" w:hAnsi="宋体" w:eastAsia="宋体"/>
        </w:rPr>
        <w:t>+</w:t>
      </w:r>
      <w:r>
        <w:rPr>
          <w:rFonts w:ascii="Times New Roman" w:hAnsi="Times New Roman" w:eastAsiaTheme="majorEastAsia"/>
        </w:rPr>
        <w:t>55℃</w:t>
      </w:r>
      <w:r>
        <w:rPr>
          <w:rFonts w:ascii="Times New Roman" w:hAnsiTheme="majorEastAsia" w:eastAsiaTheme="majorEastAsia"/>
        </w:rPr>
        <w:t>，运输的极限环境温度为</w:t>
      </w:r>
      <w:r>
        <w:rPr>
          <w:rFonts w:ascii="宋体" w:hAnsi="宋体" w:eastAsia="宋体"/>
        </w:rPr>
        <w:t>-</w:t>
      </w:r>
      <w:r>
        <w:rPr>
          <w:rFonts w:ascii="Times New Roman" w:hAnsi="Times New Roman" w:eastAsiaTheme="majorEastAsia"/>
        </w:rPr>
        <w:t>40℃</w:t>
      </w:r>
      <w:r>
        <w:rPr>
          <w:rFonts w:ascii="Times New Roman" w:hAnsiTheme="majorEastAsia" w:eastAsiaTheme="majorEastAsia"/>
        </w:rPr>
        <w:t>和</w:t>
      </w:r>
      <w:r>
        <w:rPr>
          <w:rFonts w:ascii="宋体" w:hAnsi="宋体" w:eastAsia="宋体"/>
        </w:rPr>
        <w:t>+</w:t>
      </w:r>
      <w:r>
        <w:rPr>
          <w:rFonts w:ascii="Times New Roman" w:hAnsi="Times New Roman" w:eastAsiaTheme="majorEastAsia"/>
        </w:rPr>
        <w:t>70℃</w:t>
      </w:r>
      <w:r>
        <w:rPr>
          <w:rFonts w:ascii="Times New Roman" w:hAnsiTheme="majorEastAsia" w:eastAsiaTheme="majorEastAsia"/>
        </w:rPr>
        <w:t>，相对湿度不大于</w:t>
      </w:r>
      <w:r>
        <w:rPr>
          <w:rFonts w:ascii="Times New Roman" w:hAnsi="Times New Roman" w:eastAsiaTheme="majorEastAsia"/>
        </w:rPr>
        <w:t>90%</w:t>
      </w:r>
      <w:r>
        <w:rPr>
          <w:rFonts w:ascii="Times New Roman" w:hAnsiTheme="majorEastAsia" w:eastAsiaTheme="majorEastAsia"/>
        </w:rPr>
        <w:t>。产品应能承受在此环境中的短时贮存。</w:t>
      </w:r>
    </w:p>
    <w:p>
      <w:pPr>
        <w:pStyle w:val="241"/>
        <w:spacing w:before="156" w:after="156"/>
        <w:outlineLvl w:val="1"/>
      </w:pPr>
      <w:r>
        <w:rPr>
          <w:rFonts w:hint="eastAsia"/>
        </w:rPr>
        <w:t>贮存</w:t>
      </w:r>
      <w:bookmarkEnd w:id="143"/>
      <w:bookmarkEnd w:id="144"/>
    </w:p>
    <w:p>
      <w:pPr>
        <w:pStyle w:val="242"/>
        <w:spacing w:beforeLines="0" w:afterLines="0"/>
        <w:outlineLvl w:val="2"/>
        <w:rPr>
          <w:rFonts w:asciiTheme="majorEastAsia" w:hAnsiTheme="majorEastAsia" w:eastAsiaTheme="majorEastAsia" w:cstheme="majorEastAsia"/>
        </w:rPr>
      </w:pPr>
      <w:bookmarkStart w:id="145" w:name="_Toc197938467"/>
      <w:bookmarkStart w:id="146" w:name="_Toc199104969"/>
      <w:r>
        <w:rPr>
          <w:rFonts w:hint="eastAsia" w:asciiTheme="majorEastAsia" w:hAnsiTheme="majorEastAsia" w:eastAsiaTheme="majorEastAsia" w:cstheme="majorEastAsia"/>
        </w:rPr>
        <w:t>包装好的产品应贮存在环境温度为-</w:t>
      </w:r>
      <w:r>
        <w:rPr>
          <w:rFonts w:ascii="Times New Roman" w:hAnsi="Times New Roman" w:eastAsiaTheme="majorEastAsia"/>
        </w:rPr>
        <w:t>20℃</w:t>
      </w:r>
      <w:r>
        <w:rPr>
          <w:rFonts w:hint="eastAsia" w:asciiTheme="majorEastAsia" w:hAnsiTheme="majorEastAsia" w:eastAsiaTheme="majorEastAsia" w:cstheme="majorEastAsia"/>
        </w:rPr>
        <w:t>～+</w:t>
      </w:r>
      <w:r>
        <w:rPr>
          <w:rFonts w:ascii="Times New Roman" w:hAnsi="Times New Roman" w:eastAsiaTheme="majorEastAsia"/>
        </w:rPr>
        <w:t>70℃</w:t>
      </w:r>
      <w:r>
        <w:rPr>
          <w:rFonts w:hint="eastAsia" w:asciiTheme="majorEastAsia" w:hAnsiTheme="majorEastAsia" w:eastAsiaTheme="majorEastAsia" w:cstheme="majorEastAsia"/>
        </w:rPr>
        <w:t>，相对湿度不大于</w:t>
      </w:r>
      <w:r>
        <w:rPr>
          <w:rFonts w:ascii="Times New Roman" w:hAnsi="Times New Roman" w:eastAsiaTheme="majorEastAsia"/>
        </w:rPr>
        <w:t>90%</w:t>
      </w:r>
      <w:r>
        <w:rPr>
          <w:rFonts w:hint="eastAsia" w:asciiTheme="majorEastAsia" w:hAnsiTheme="majorEastAsia" w:eastAsiaTheme="majorEastAsia" w:cstheme="majorEastAsia"/>
        </w:rPr>
        <w:t>的库房中。</w:t>
      </w:r>
    </w:p>
    <w:p>
      <w:pPr>
        <w:pStyle w:val="242"/>
        <w:spacing w:beforeLines="0" w:afterLines="0"/>
        <w:outlineLvl w:val="2"/>
        <w:rPr>
          <w:rFonts w:asciiTheme="majorEastAsia" w:hAnsiTheme="majorEastAsia" w:eastAsiaTheme="majorEastAsia" w:cstheme="majorEastAsia"/>
        </w:rPr>
      </w:pPr>
      <w:r>
        <w:rPr>
          <w:rFonts w:hint="eastAsia" w:asciiTheme="majorEastAsia" w:hAnsiTheme="majorEastAsia" w:eastAsiaTheme="majorEastAsia" w:cstheme="majorEastAsia"/>
        </w:rPr>
        <w:t>贮存产品的库房应干燥、清洁、空气流通，室内无酸、碱、盐，无腐蚀性、爆炸性气体和灰尘，不受雨、雪的侵蚀，长期不用的产品应保留原包装。</w:t>
      </w:r>
    </w:p>
    <w:p>
      <w:pPr>
        <w:pStyle w:val="240"/>
        <w:spacing w:before="312" w:after="312"/>
        <w:outlineLvl w:val="0"/>
        <w:rPr>
          <w:rFonts w:ascii="Times New Roman"/>
          <w:szCs w:val="21"/>
        </w:rPr>
      </w:pPr>
      <w:r>
        <w:rPr>
          <w:rFonts w:hint="eastAsia" w:ascii="Times New Roman"/>
          <w:szCs w:val="21"/>
        </w:rPr>
        <w:t>质量保证期限</w:t>
      </w:r>
      <w:bookmarkEnd w:id="145"/>
      <w:bookmarkEnd w:id="146"/>
    </w:p>
    <w:p>
      <w:pPr>
        <w:pStyle w:val="239"/>
        <w:ind w:firstLine="420"/>
      </w:pPr>
      <w:r>
        <w:rPr>
          <w:rFonts w:hint="eastAsia"/>
        </w:rPr>
        <w:t>除另有规定外，在用户完全遵守本文件及产品说明书所规定的运输、贮存、使用条件下，向量检查装置自出厂之日起不超过两年，如发现向量检查装置和配套件非人为损坏，制造商应负责免费维修或更换。</w:t>
      </w:r>
    </w:p>
    <w:p>
      <w:pPr>
        <w:pStyle w:val="255"/>
        <w:numPr>
          <w:ilvl w:val="0"/>
          <w:numId w:val="0"/>
        </w:numPr>
        <w:outlineLvl w:val="9"/>
        <w:rPr>
          <w:rFonts w:ascii="Times New Roman"/>
        </w:rPr>
        <w:sectPr>
          <w:headerReference r:id="rId9" w:type="default"/>
          <w:footerReference r:id="rId10" w:type="default"/>
          <w:pgSz w:w="11907" w:h="16839"/>
          <w:pgMar w:top="1417" w:right="1134" w:bottom="1134" w:left="1417" w:header="1417" w:footer="1134" w:gutter="0"/>
          <w:cols w:space="425" w:num="1"/>
          <w:docGrid w:type="lines" w:linePitch="312" w:charSpace="0"/>
        </w:sectPr>
      </w:pPr>
    </w:p>
    <w:p>
      <w:pPr>
        <w:pStyle w:val="331"/>
      </w:pPr>
    </w:p>
    <w:p>
      <w:pPr>
        <w:pStyle w:val="255"/>
        <w:rPr>
          <w:rFonts w:ascii="Times New Roman"/>
        </w:rPr>
      </w:pPr>
      <w:r>
        <w:rPr>
          <w:rFonts w:ascii="Times New Roman"/>
        </w:rPr>
        <w:br w:type="textWrapping"/>
      </w:r>
      <w:bookmarkStart w:id="147" w:name="_Toc197938468"/>
      <w:bookmarkStart w:id="148" w:name="_Toc199104970"/>
      <w:r>
        <w:rPr>
          <w:rFonts w:ascii="Times New Roman"/>
        </w:rPr>
        <w:t>（规范性）</w:t>
      </w:r>
      <w:r>
        <w:rPr>
          <w:rFonts w:ascii="Times New Roman"/>
        </w:rPr>
        <w:br w:type="textWrapping"/>
      </w:r>
      <w:r>
        <w:rPr>
          <w:rFonts w:hint="eastAsia" w:ascii="Times New Roman"/>
        </w:rPr>
        <w:t>向量检查装置试验项目</w:t>
      </w:r>
      <w:bookmarkEnd w:id="147"/>
      <w:bookmarkEnd w:id="148"/>
    </w:p>
    <w:p>
      <w:pPr>
        <w:pStyle w:val="257"/>
        <w:wordWrap/>
        <w:spacing w:beforeLines="100" w:afterLines="100"/>
        <w:ind w:left="6" w:hanging="6"/>
        <w:outlineLvl w:val="0"/>
        <w:rPr>
          <w:rFonts w:ascii="Times New Roman"/>
          <w:szCs w:val="21"/>
        </w:rPr>
      </w:pPr>
      <w:bookmarkStart w:id="149" w:name="_Toc199104971"/>
      <w:r>
        <w:rPr>
          <w:rFonts w:hint="eastAsia" w:ascii="Times New Roman"/>
          <w:szCs w:val="21"/>
        </w:rPr>
        <w:t>试验项目表</w:t>
      </w:r>
      <w:bookmarkEnd w:id="149"/>
    </w:p>
    <w:p>
      <w:pPr>
        <w:spacing w:line="360" w:lineRule="auto"/>
        <w:jc w:val="center"/>
        <w:outlineLvl w:val="0"/>
        <w:rPr>
          <w:rFonts w:ascii="黑体" w:hAnsi="黑体" w:eastAsia="黑体"/>
          <w:kern w:val="0"/>
          <w:szCs w:val="21"/>
        </w:rPr>
      </w:pPr>
      <w:bookmarkStart w:id="150" w:name="_Toc199104972"/>
      <w:r>
        <w:rPr>
          <w:rFonts w:ascii="黑体" w:hAnsi="黑体" w:eastAsia="黑体"/>
          <w:kern w:val="0"/>
          <w:szCs w:val="21"/>
        </w:rPr>
        <w:t>表</w:t>
      </w:r>
      <w:r>
        <w:rPr>
          <w:rFonts w:hint="eastAsia" w:ascii="黑体" w:hAnsi="黑体" w:eastAsia="黑体"/>
          <w:kern w:val="0"/>
          <w:szCs w:val="21"/>
        </w:rPr>
        <w:t>A.1试验项目</w:t>
      </w:r>
      <w:bookmarkEnd w:id="150"/>
    </w:p>
    <w:tbl>
      <w:tblPr>
        <w:tblStyle w:val="89"/>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36"/>
        <w:gridCol w:w="921"/>
        <w:gridCol w:w="1583"/>
        <w:gridCol w:w="158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b/>
                <w:bCs/>
                <w:kern w:val="0"/>
                <w:sz w:val="18"/>
                <w:szCs w:val="18"/>
              </w:rPr>
            </w:pPr>
            <w:r>
              <w:rPr>
                <w:b/>
                <w:bCs/>
                <w:kern w:val="0"/>
                <w:sz w:val="18"/>
                <w:szCs w:val="18"/>
              </w:rPr>
              <w:t>序号</w:t>
            </w:r>
          </w:p>
        </w:tc>
        <w:tc>
          <w:tcPr>
            <w:tcW w:w="3036" w:type="dxa"/>
          </w:tcPr>
          <w:p>
            <w:pPr>
              <w:spacing w:line="360" w:lineRule="auto"/>
              <w:jc w:val="center"/>
              <w:rPr>
                <w:b/>
                <w:bCs/>
                <w:kern w:val="0"/>
                <w:sz w:val="18"/>
                <w:szCs w:val="18"/>
              </w:rPr>
            </w:pPr>
            <w:r>
              <w:rPr>
                <w:b/>
                <w:bCs/>
                <w:kern w:val="0"/>
                <w:sz w:val="18"/>
                <w:szCs w:val="18"/>
              </w:rPr>
              <w:t>试验</w:t>
            </w:r>
          </w:p>
        </w:tc>
        <w:tc>
          <w:tcPr>
            <w:tcW w:w="921" w:type="dxa"/>
          </w:tcPr>
          <w:p>
            <w:pPr>
              <w:spacing w:line="360" w:lineRule="auto"/>
              <w:jc w:val="center"/>
              <w:rPr>
                <w:b/>
                <w:bCs/>
                <w:kern w:val="0"/>
                <w:sz w:val="18"/>
                <w:szCs w:val="18"/>
              </w:rPr>
            </w:pPr>
            <w:r>
              <w:rPr>
                <w:b/>
                <w:bCs/>
                <w:kern w:val="0"/>
                <w:sz w:val="18"/>
                <w:szCs w:val="18"/>
              </w:rPr>
              <w:t>条款</w:t>
            </w:r>
          </w:p>
        </w:tc>
        <w:tc>
          <w:tcPr>
            <w:tcW w:w="1583" w:type="dxa"/>
          </w:tcPr>
          <w:p>
            <w:pPr>
              <w:spacing w:line="360" w:lineRule="auto"/>
              <w:jc w:val="center"/>
              <w:rPr>
                <w:b/>
                <w:bCs/>
                <w:kern w:val="0"/>
                <w:sz w:val="18"/>
                <w:szCs w:val="18"/>
              </w:rPr>
            </w:pPr>
            <w:r>
              <w:rPr>
                <w:b/>
                <w:bCs/>
                <w:kern w:val="0"/>
                <w:sz w:val="18"/>
                <w:szCs w:val="18"/>
              </w:rPr>
              <w:t>型式试验</w:t>
            </w:r>
          </w:p>
        </w:tc>
        <w:tc>
          <w:tcPr>
            <w:tcW w:w="1585" w:type="dxa"/>
          </w:tcPr>
          <w:p>
            <w:pPr>
              <w:spacing w:line="360" w:lineRule="auto"/>
              <w:jc w:val="center"/>
              <w:rPr>
                <w:b/>
                <w:bCs/>
                <w:kern w:val="0"/>
                <w:sz w:val="18"/>
                <w:szCs w:val="18"/>
              </w:rPr>
            </w:pPr>
            <w:r>
              <w:rPr>
                <w:b/>
                <w:bCs/>
                <w:kern w:val="0"/>
                <w:sz w:val="18"/>
                <w:szCs w:val="18"/>
              </w:rPr>
              <w:t>出厂检验</w:t>
            </w:r>
          </w:p>
        </w:tc>
        <w:tc>
          <w:tcPr>
            <w:tcW w:w="1547" w:type="dxa"/>
          </w:tcPr>
          <w:p>
            <w:pPr>
              <w:spacing w:line="360" w:lineRule="auto"/>
              <w:jc w:val="center"/>
              <w:rPr>
                <w:b/>
                <w:bCs/>
                <w:kern w:val="0"/>
                <w:sz w:val="18"/>
                <w:szCs w:val="18"/>
              </w:rPr>
            </w:pPr>
            <w:r>
              <w:rPr>
                <w:b/>
                <w:bCs/>
                <w:kern w:val="0"/>
                <w:sz w:val="18"/>
                <w:szCs w:val="18"/>
              </w:rPr>
              <w:t>定期检验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kern w:val="0"/>
                <w:sz w:val="18"/>
                <w:szCs w:val="18"/>
              </w:rPr>
              <w:t>1</w:t>
            </w:r>
          </w:p>
        </w:tc>
        <w:tc>
          <w:tcPr>
            <w:tcW w:w="3036" w:type="dxa"/>
          </w:tcPr>
          <w:p>
            <w:pPr>
              <w:spacing w:line="360" w:lineRule="auto"/>
              <w:jc w:val="center"/>
              <w:rPr>
                <w:kern w:val="0"/>
                <w:sz w:val="18"/>
                <w:szCs w:val="18"/>
              </w:rPr>
            </w:pPr>
            <w:r>
              <w:rPr>
                <w:kern w:val="0"/>
                <w:sz w:val="18"/>
                <w:szCs w:val="18"/>
              </w:rPr>
              <w:t>外观及结构检查</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.1</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2</w:t>
            </w:r>
          </w:p>
        </w:tc>
        <w:tc>
          <w:tcPr>
            <w:tcW w:w="3036" w:type="dxa"/>
          </w:tcPr>
          <w:p>
            <w:pPr>
              <w:spacing w:line="360" w:lineRule="auto"/>
              <w:jc w:val="center"/>
              <w:rPr>
                <w:kern w:val="0"/>
                <w:sz w:val="18"/>
                <w:szCs w:val="18"/>
              </w:rPr>
            </w:pPr>
            <w:r>
              <w:rPr>
                <w:rFonts w:hint="eastAsia"/>
                <w:kern w:val="0"/>
                <w:sz w:val="18"/>
                <w:szCs w:val="18"/>
              </w:rPr>
              <w:t>技术</w:t>
            </w:r>
            <w:r>
              <w:rPr>
                <w:kern w:val="0"/>
                <w:sz w:val="18"/>
                <w:szCs w:val="18"/>
              </w:rPr>
              <w:t>指标检验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.2</w:t>
            </w:r>
          </w:p>
        </w:tc>
        <w:tc>
          <w:tcPr>
            <w:tcW w:w="1583"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3</w:t>
            </w:r>
          </w:p>
        </w:tc>
        <w:tc>
          <w:tcPr>
            <w:tcW w:w="3036" w:type="dxa"/>
          </w:tcPr>
          <w:p>
            <w:pPr>
              <w:spacing w:line="360" w:lineRule="auto"/>
              <w:jc w:val="center"/>
              <w:rPr>
                <w:kern w:val="0"/>
                <w:sz w:val="18"/>
                <w:szCs w:val="18"/>
              </w:rPr>
            </w:pPr>
            <w:r>
              <w:rPr>
                <w:kern w:val="0"/>
                <w:sz w:val="18"/>
                <w:szCs w:val="18"/>
              </w:rPr>
              <w:t>同步性检验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.3</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4</w:t>
            </w:r>
          </w:p>
        </w:tc>
        <w:tc>
          <w:tcPr>
            <w:tcW w:w="3036" w:type="dxa"/>
          </w:tcPr>
          <w:p>
            <w:pPr>
              <w:spacing w:line="360" w:lineRule="auto"/>
              <w:jc w:val="center"/>
              <w:rPr>
                <w:kern w:val="0"/>
                <w:sz w:val="18"/>
                <w:szCs w:val="18"/>
              </w:rPr>
            </w:pPr>
            <w:r>
              <w:rPr>
                <w:kern w:val="0"/>
                <w:sz w:val="18"/>
                <w:szCs w:val="18"/>
              </w:rPr>
              <w:t>输出稳定性检验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.4</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p>
        </w:tc>
        <w:tc>
          <w:tcPr>
            <w:tcW w:w="7125" w:type="dxa"/>
            <w:gridSpan w:val="4"/>
          </w:tcPr>
          <w:p>
            <w:pPr>
              <w:spacing w:line="360" w:lineRule="auto"/>
              <w:jc w:val="center"/>
              <w:rPr>
                <w:kern w:val="0"/>
                <w:sz w:val="18"/>
                <w:szCs w:val="18"/>
              </w:rPr>
            </w:pPr>
            <w:r>
              <w:rPr>
                <w:kern w:val="0"/>
                <w:sz w:val="18"/>
                <w:szCs w:val="18"/>
              </w:rPr>
              <w:t>电气安全性试验</w:t>
            </w:r>
          </w:p>
        </w:tc>
        <w:tc>
          <w:tcPr>
            <w:tcW w:w="1547" w:type="dxa"/>
          </w:tcPr>
          <w:p>
            <w:pPr>
              <w:spacing w:line="360"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r>
              <w:rPr>
                <w:kern w:val="0"/>
                <w:sz w:val="18"/>
                <w:szCs w:val="18"/>
              </w:rPr>
              <w:t>.1</w:t>
            </w:r>
          </w:p>
        </w:tc>
        <w:tc>
          <w:tcPr>
            <w:tcW w:w="3036" w:type="dxa"/>
          </w:tcPr>
          <w:p>
            <w:pPr>
              <w:spacing w:line="360" w:lineRule="auto"/>
              <w:jc w:val="center"/>
              <w:rPr>
                <w:kern w:val="0"/>
                <w:sz w:val="18"/>
                <w:szCs w:val="18"/>
              </w:rPr>
            </w:pPr>
            <w:r>
              <w:rPr>
                <w:rFonts w:hint="eastAsia"/>
                <w:kern w:val="0"/>
                <w:sz w:val="18"/>
                <w:szCs w:val="18"/>
              </w:rPr>
              <w:t>电击防护功能检查</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a）</w:t>
            </w:r>
          </w:p>
        </w:tc>
        <w:tc>
          <w:tcPr>
            <w:tcW w:w="1583"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85"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r>
              <w:rPr>
                <w:kern w:val="0"/>
                <w:sz w:val="18"/>
                <w:szCs w:val="18"/>
              </w:rPr>
              <w:t>.2</w:t>
            </w:r>
          </w:p>
        </w:tc>
        <w:tc>
          <w:tcPr>
            <w:tcW w:w="3036" w:type="dxa"/>
          </w:tcPr>
          <w:p>
            <w:pPr>
              <w:spacing w:line="360" w:lineRule="auto"/>
              <w:jc w:val="center"/>
              <w:rPr>
                <w:kern w:val="0"/>
                <w:sz w:val="18"/>
                <w:szCs w:val="18"/>
              </w:rPr>
            </w:pPr>
            <w:r>
              <w:rPr>
                <w:kern w:val="0"/>
                <w:sz w:val="18"/>
                <w:szCs w:val="18"/>
              </w:rPr>
              <w:t>电气间隙和爬电距离试验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r>
              <w:rPr>
                <w:kern w:val="0"/>
                <w:sz w:val="18"/>
                <w:szCs w:val="18"/>
              </w:rPr>
              <w:t>.3</w:t>
            </w:r>
          </w:p>
        </w:tc>
        <w:tc>
          <w:tcPr>
            <w:tcW w:w="3036" w:type="dxa"/>
          </w:tcPr>
          <w:p>
            <w:pPr>
              <w:spacing w:line="360" w:lineRule="auto"/>
              <w:jc w:val="center"/>
              <w:rPr>
                <w:kern w:val="0"/>
                <w:sz w:val="18"/>
                <w:szCs w:val="18"/>
              </w:rPr>
            </w:pPr>
            <w:r>
              <w:rPr>
                <w:rFonts w:hint="eastAsia"/>
                <w:kern w:val="0"/>
                <w:sz w:val="18"/>
                <w:szCs w:val="18"/>
              </w:rPr>
              <w:t>安全功能元（组）件</w:t>
            </w:r>
            <w:r>
              <w:rPr>
                <w:kern w:val="0"/>
                <w:sz w:val="18"/>
                <w:szCs w:val="18"/>
              </w:rPr>
              <w:t>验证</w:t>
            </w:r>
          </w:p>
        </w:tc>
        <w:tc>
          <w:tcPr>
            <w:tcW w:w="921" w:type="dxa"/>
          </w:tcPr>
          <w:p>
            <w:pPr>
              <w:spacing w:line="360" w:lineRule="auto"/>
              <w:jc w:val="center"/>
              <w:rPr>
                <w:kern w:val="0"/>
                <w:sz w:val="18"/>
                <w:szCs w:val="18"/>
              </w:rPr>
            </w:pPr>
            <w:r>
              <w:rPr>
                <w:rFonts w:hint="eastAsia"/>
                <w:kern w:val="0"/>
                <w:sz w:val="18"/>
                <w:szCs w:val="18"/>
              </w:rPr>
              <w:t>5.4.5 c）</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5.4</w:t>
            </w:r>
          </w:p>
        </w:tc>
        <w:tc>
          <w:tcPr>
            <w:tcW w:w="3036" w:type="dxa"/>
          </w:tcPr>
          <w:p>
            <w:pPr>
              <w:spacing w:line="360" w:lineRule="auto"/>
              <w:jc w:val="center"/>
              <w:rPr>
                <w:kern w:val="0"/>
                <w:sz w:val="18"/>
                <w:szCs w:val="18"/>
              </w:rPr>
            </w:pPr>
            <w:r>
              <w:rPr>
                <w:kern w:val="0"/>
                <w:sz w:val="18"/>
                <w:szCs w:val="18"/>
              </w:rPr>
              <w:t>PE保护系统连接</w:t>
            </w:r>
            <w:r>
              <w:rPr>
                <w:rFonts w:hint="eastAsia"/>
                <w:kern w:val="0"/>
                <w:sz w:val="18"/>
                <w:szCs w:val="18"/>
              </w:rPr>
              <w:t>完整性</w:t>
            </w:r>
            <w:r>
              <w:rPr>
                <w:kern w:val="0"/>
                <w:sz w:val="18"/>
                <w:szCs w:val="18"/>
              </w:rPr>
              <w:t>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d）</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r>
              <w:rPr>
                <w:kern w:val="0"/>
                <w:sz w:val="18"/>
                <w:szCs w:val="18"/>
              </w:rPr>
              <w:t>.</w:t>
            </w:r>
            <w:r>
              <w:rPr>
                <w:rFonts w:hint="eastAsia"/>
                <w:kern w:val="0"/>
                <w:sz w:val="18"/>
                <w:szCs w:val="18"/>
              </w:rPr>
              <w:t>5</w:t>
            </w:r>
          </w:p>
        </w:tc>
        <w:tc>
          <w:tcPr>
            <w:tcW w:w="3036" w:type="dxa"/>
          </w:tcPr>
          <w:p>
            <w:pPr>
              <w:spacing w:line="360" w:lineRule="auto"/>
              <w:jc w:val="center"/>
              <w:rPr>
                <w:kern w:val="0"/>
                <w:sz w:val="18"/>
                <w:szCs w:val="18"/>
              </w:rPr>
            </w:pPr>
            <w:r>
              <w:rPr>
                <w:kern w:val="0"/>
                <w:sz w:val="18"/>
                <w:szCs w:val="18"/>
              </w:rPr>
              <w:t>耐热试验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e）</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w:t>
            </w:r>
            <w:r>
              <w:rPr>
                <w:kern w:val="0"/>
                <w:sz w:val="18"/>
                <w:szCs w:val="18"/>
              </w:rPr>
              <w:t>.</w:t>
            </w:r>
            <w:r>
              <w:rPr>
                <w:rFonts w:hint="eastAsia"/>
                <w:kern w:val="0"/>
                <w:sz w:val="18"/>
                <w:szCs w:val="18"/>
              </w:rPr>
              <w:t>6</w:t>
            </w:r>
          </w:p>
        </w:tc>
        <w:tc>
          <w:tcPr>
            <w:tcW w:w="3036" w:type="dxa"/>
          </w:tcPr>
          <w:p>
            <w:pPr>
              <w:spacing w:line="360" w:lineRule="auto"/>
              <w:jc w:val="center"/>
              <w:rPr>
                <w:kern w:val="0"/>
                <w:sz w:val="18"/>
                <w:szCs w:val="18"/>
              </w:rPr>
            </w:pPr>
            <w:r>
              <w:rPr>
                <w:kern w:val="0"/>
                <w:sz w:val="18"/>
                <w:szCs w:val="18"/>
              </w:rPr>
              <w:t>印刷电路板可燃性等级试验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f）</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5.7</w:t>
            </w:r>
          </w:p>
        </w:tc>
        <w:tc>
          <w:tcPr>
            <w:tcW w:w="3036" w:type="dxa"/>
          </w:tcPr>
          <w:p>
            <w:pPr>
              <w:spacing w:line="360" w:lineRule="auto"/>
              <w:jc w:val="center"/>
              <w:rPr>
                <w:kern w:val="0"/>
                <w:sz w:val="18"/>
                <w:szCs w:val="18"/>
              </w:rPr>
            </w:pPr>
            <w:r>
              <w:rPr>
                <w:kern w:val="0"/>
                <w:sz w:val="18"/>
                <w:szCs w:val="18"/>
              </w:rPr>
              <w:t>绝缘</w:t>
            </w:r>
            <w:r>
              <w:rPr>
                <w:rFonts w:hint="eastAsia"/>
                <w:kern w:val="0"/>
                <w:sz w:val="18"/>
                <w:szCs w:val="18"/>
              </w:rPr>
              <w:t>电阻</w:t>
            </w:r>
            <w:r>
              <w:rPr>
                <w:kern w:val="0"/>
                <w:sz w:val="18"/>
                <w:szCs w:val="18"/>
              </w:rPr>
              <w:t>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g）</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5.8</w:t>
            </w:r>
          </w:p>
        </w:tc>
        <w:tc>
          <w:tcPr>
            <w:tcW w:w="3036" w:type="dxa"/>
          </w:tcPr>
          <w:p>
            <w:pPr>
              <w:spacing w:line="360" w:lineRule="auto"/>
              <w:jc w:val="center"/>
              <w:rPr>
                <w:kern w:val="0"/>
                <w:sz w:val="18"/>
                <w:szCs w:val="18"/>
              </w:rPr>
            </w:pPr>
            <w:r>
              <w:rPr>
                <w:kern w:val="0"/>
                <w:sz w:val="18"/>
                <w:szCs w:val="18"/>
              </w:rPr>
              <w:t>介电强度试验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.5</w:t>
            </w:r>
            <w:r>
              <w:rPr>
                <w:rFonts w:hint="eastAsia"/>
                <w:kern w:val="0"/>
                <w:sz w:val="18"/>
                <w:szCs w:val="18"/>
              </w:rPr>
              <w:t xml:space="preserve"> h）</w:t>
            </w:r>
          </w:p>
        </w:tc>
        <w:tc>
          <w:tcPr>
            <w:tcW w:w="1583"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85"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6</w:t>
            </w:r>
          </w:p>
        </w:tc>
        <w:tc>
          <w:tcPr>
            <w:tcW w:w="7125" w:type="dxa"/>
            <w:gridSpan w:val="4"/>
          </w:tcPr>
          <w:p>
            <w:pPr>
              <w:spacing w:line="360" w:lineRule="auto"/>
              <w:jc w:val="center"/>
              <w:rPr>
                <w:kern w:val="0"/>
                <w:sz w:val="18"/>
                <w:szCs w:val="18"/>
              </w:rPr>
            </w:pPr>
            <w:r>
              <w:rPr>
                <w:kern w:val="0"/>
                <w:sz w:val="18"/>
                <w:szCs w:val="18"/>
              </w:rPr>
              <w:t>电源变化影响试验</w:t>
            </w:r>
          </w:p>
        </w:tc>
        <w:tc>
          <w:tcPr>
            <w:tcW w:w="1547" w:type="dxa"/>
          </w:tcPr>
          <w:p>
            <w:pPr>
              <w:spacing w:line="360"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6</w:t>
            </w:r>
            <w:r>
              <w:rPr>
                <w:kern w:val="0"/>
                <w:sz w:val="18"/>
                <w:szCs w:val="18"/>
              </w:rPr>
              <w:t>.1</w:t>
            </w:r>
          </w:p>
        </w:tc>
        <w:tc>
          <w:tcPr>
            <w:tcW w:w="3036" w:type="dxa"/>
          </w:tcPr>
          <w:p>
            <w:pPr>
              <w:spacing w:line="360" w:lineRule="auto"/>
              <w:jc w:val="center"/>
              <w:rPr>
                <w:kern w:val="0"/>
                <w:sz w:val="18"/>
                <w:szCs w:val="18"/>
              </w:rPr>
            </w:pPr>
            <w:r>
              <w:rPr>
                <w:kern w:val="0"/>
                <w:sz w:val="18"/>
                <w:szCs w:val="18"/>
              </w:rPr>
              <w:t>交流供电电压变化影响试验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.6</w:t>
            </w:r>
            <w:r>
              <w:rPr>
                <w:rFonts w:hint="eastAsia"/>
                <w:kern w:val="0"/>
                <w:sz w:val="18"/>
                <w:szCs w:val="18"/>
              </w:rPr>
              <w:t xml:space="preserve">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6</w:t>
            </w:r>
            <w:r>
              <w:rPr>
                <w:kern w:val="0"/>
                <w:sz w:val="18"/>
                <w:szCs w:val="18"/>
              </w:rPr>
              <w:t>.2</w:t>
            </w:r>
          </w:p>
        </w:tc>
        <w:tc>
          <w:tcPr>
            <w:tcW w:w="3036" w:type="dxa"/>
          </w:tcPr>
          <w:p>
            <w:pPr>
              <w:spacing w:line="360" w:lineRule="auto"/>
              <w:jc w:val="center"/>
              <w:rPr>
                <w:kern w:val="0"/>
                <w:sz w:val="18"/>
                <w:szCs w:val="18"/>
              </w:rPr>
            </w:pPr>
            <w:r>
              <w:rPr>
                <w:kern w:val="0"/>
                <w:sz w:val="18"/>
                <w:szCs w:val="18"/>
              </w:rPr>
              <w:t>交流供电频率变化影响试验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.6</w:t>
            </w:r>
            <w:r>
              <w:rPr>
                <w:rFonts w:hint="eastAsia"/>
                <w:kern w:val="0"/>
                <w:sz w:val="18"/>
                <w:szCs w:val="18"/>
              </w:rPr>
              <w:t xml:space="preserve">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7</w:t>
            </w:r>
          </w:p>
        </w:tc>
        <w:tc>
          <w:tcPr>
            <w:tcW w:w="7125" w:type="dxa"/>
            <w:gridSpan w:val="4"/>
          </w:tcPr>
          <w:p>
            <w:pPr>
              <w:spacing w:line="360" w:lineRule="auto"/>
              <w:jc w:val="center"/>
              <w:rPr>
                <w:kern w:val="0"/>
                <w:sz w:val="18"/>
                <w:szCs w:val="18"/>
              </w:rPr>
            </w:pPr>
            <w:r>
              <w:rPr>
                <w:rFonts w:hint="eastAsia"/>
                <w:kern w:val="0"/>
                <w:sz w:val="18"/>
                <w:szCs w:val="18"/>
              </w:rPr>
              <w:t>温度影响</w:t>
            </w:r>
            <w:r>
              <w:rPr>
                <w:kern w:val="0"/>
                <w:sz w:val="18"/>
                <w:szCs w:val="18"/>
              </w:rPr>
              <w:t>试验</w:t>
            </w:r>
          </w:p>
        </w:tc>
        <w:tc>
          <w:tcPr>
            <w:tcW w:w="1547" w:type="dxa"/>
          </w:tcPr>
          <w:p>
            <w:pPr>
              <w:spacing w:line="360"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7</w:t>
            </w:r>
            <w:r>
              <w:rPr>
                <w:kern w:val="0"/>
                <w:sz w:val="18"/>
                <w:szCs w:val="18"/>
              </w:rPr>
              <w:t>.1</w:t>
            </w:r>
          </w:p>
        </w:tc>
        <w:tc>
          <w:tcPr>
            <w:tcW w:w="3036" w:type="dxa"/>
          </w:tcPr>
          <w:p>
            <w:pPr>
              <w:spacing w:line="360" w:lineRule="auto"/>
              <w:jc w:val="center"/>
              <w:rPr>
                <w:kern w:val="0"/>
                <w:sz w:val="18"/>
                <w:szCs w:val="18"/>
              </w:rPr>
            </w:pPr>
            <w:r>
              <w:rPr>
                <w:kern w:val="0"/>
                <w:sz w:val="18"/>
                <w:szCs w:val="18"/>
              </w:rPr>
              <w:t>温度变化影响（温度系数）试验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7a）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7</w:t>
            </w:r>
            <w:r>
              <w:rPr>
                <w:kern w:val="0"/>
                <w:sz w:val="18"/>
                <w:szCs w:val="18"/>
              </w:rPr>
              <w:t>.2</w:t>
            </w:r>
          </w:p>
        </w:tc>
        <w:tc>
          <w:tcPr>
            <w:tcW w:w="3036" w:type="dxa"/>
          </w:tcPr>
          <w:p>
            <w:pPr>
              <w:spacing w:line="360" w:lineRule="auto"/>
              <w:jc w:val="center"/>
              <w:rPr>
                <w:kern w:val="0"/>
                <w:sz w:val="18"/>
                <w:szCs w:val="18"/>
              </w:rPr>
            </w:pPr>
            <w:r>
              <w:rPr>
                <w:kern w:val="0"/>
                <w:sz w:val="18"/>
                <w:szCs w:val="18"/>
              </w:rPr>
              <w:t>低温试验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7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7</w:t>
            </w:r>
            <w:r>
              <w:rPr>
                <w:kern w:val="0"/>
                <w:sz w:val="18"/>
                <w:szCs w:val="18"/>
              </w:rPr>
              <w:t>.3</w:t>
            </w:r>
          </w:p>
        </w:tc>
        <w:tc>
          <w:tcPr>
            <w:tcW w:w="3036" w:type="dxa"/>
          </w:tcPr>
          <w:p>
            <w:pPr>
              <w:spacing w:line="360" w:lineRule="auto"/>
              <w:jc w:val="center"/>
              <w:rPr>
                <w:kern w:val="0"/>
                <w:sz w:val="18"/>
                <w:szCs w:val="18"/>
              </w:rPr>
            </w:pPr>
            <w:r>
              <w:rPr>
                <w:kern w:val="0"/>
                <w:sz w:val="18"/>
                <w:szCs w:val="18"/>
              </w:rPr>
              <w:t>高温试验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7 c）</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8</w:t>
            </w:r>
          </w:p>
        </w:tc>
        <w:tc>
          <w:tcPr>
            <w:tcW w:w="8672" w:type="dxa"/>
            <w:gridSpan w:val="5"/>
          </w:tcPr>
          <w:p>
            <w:pPr>
              <w:spacing w:line="360" w:lineRule="auto"/>
              <w:jc w:val="center"/>
              <w:rPr>
                <w:rFonts w:ascii="宋体" w:hAnsi="宋体" w:cs="宋体"/>
                <w:kern w:val="0"/>
                <w:sz w:val="18"/>
                <w:szCs w:val="18"/>
              </w:rPr>
            </w:pPr>
            <w:r>
              <w:rPr>
                <w:rFonts w:hint="eastAsia" w:ascii="宋体" w:hAnsi="宋体" w:cs="宋体"/>
                <w:kern w:val="0"/>
                <w:sz w:val="18"/>
                <w:szCs w:val="18"/>
              </w:rPr>
              <w:t>耐湿热性能试验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8</w:t>
            </w:r>
            <w:r>
              <w:rPr>
                <w:kern w:val="0"/>
                <w:sz w:val="18"/>
                <w:szCs w:val="18"/>
              </w:rPr>
              <w:t>.</w:t>
            </w:r>
            <w:r>
              <w:rPr>
                <w:rFonts w:hint="eastAsia"/>
                <w:kern w:val="0"/>
                <w:sz w:val="18"/>
                <w:szCs w:val="18"/>
              </w:rPr>
              <w:t>1</w:t>
            </w:r>
          </w:p>
        </w:tc>
        <w:tc>
          <w:tcPr>
            <w:tcW w:w="3036" w:type="dxa"/>
          </w:tcPr>
          <w:p>
            <w:pPr>
              <w:spacing w:line="360" w:lineRule="auto"/>
              <w:jc w:val="center"/>
              <w:rPr>
                <w:kern w:val="0"/>
                <w:sz w:val="18"/>
                <w:szCs w:val="18"/>
              </w:rPr>
            </w:pPr>
            <w:r>
              <w:rPr>
                <w:rFonts w:hint="eastAsia"/>
                <w:kern w:val="0"/>
                <w:sz w:val="18"/>
                <w:szCs w:val="18"/>
              </w:rPr>
              <w:t>恒定湿热</w:t>
            </w:r>
            <w:r>
              <w:rPr>
                <w:kern w:val="0"/>
                <w:sz w:val="18"/>
                <w:szCs w:val="18"/>
              </w:rPr>
              <w:t>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8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8</w:t>
            </w:r>
            <w:r>
              <w:rPr>
                <w:kern w:val="0"/>
                <w:sz w:val="18"/>
                <w:szCs w:val="18"/>
              </w:rPr>
              <w:t>.</w:t>
            </w:r>
            <w:r>
              <w:rPr>
                <w:rFonts w:hint="eastAsia"/>
                <w:kern w:val="0"/>
                <w:sz w:val="18"/>
                <w:szCs w:val="18"/>
              </w:rPr>
              <w:t>2</w:t>
            </w:r>
          </w:p>
        </w:tc>
        <w:tc>
          <w:tcPr>
            <w:tcW w:w="3036" w:type="dxa"/>
          </w:tcPr>
          <w:p>
            <w:pPr>
              <w:spacing w:line="360" w:lineRule="auto"/>
              <w:jc w:val="center"/>
              <w:rPr>
                <w:kern w:val="0"/>
                <w:sz w:val="18"/>
                <w:szCs w:val="18"/>
              </w:rPr>
            </w:pPr>
            <w:r>
              <w:rPr>
                <w:kern w:val="0"/>
                <w:sz w:val="18"/>
                <w:szCs w:val="18"/>
              </w:rPr>
              <w:t>交变湿热试验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8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w:t>
            </w:r>
          </w:p>
        </w:tc>
        <w:tc>
          <w:tcPr>
            <w:tcW w:w="8672" w:type="dxa"/>
            <w:gridSpan w:val="5"/>
          </w:tcPr>
          <w:p>
            <w:pPr>
              <w:spacing w:line="360" w:lineRule="auto"/>
              <w:jc w:val="center"/>
              <w:rPr>
                <w:rFonts w:ascii="宋体" w:hAnsi="宋体" w:cs="宋体"/>
                <w:kern w:val="0"/>
                <w:sz w:val="18"/>
                <w:szCs w:val="18"/>
              </w:rPr>
            </w:pPr>
            <w:r>
              <w:rPr>
                <w:rFonts w:hint="eastAsia" w:ascii="宋体" w:hAnsi="宋体" w:cs="宋体"/>
                <w:kern w:val="0"/>
                <w:sz w:val="18"/>
                <w:szCs w:val="18"/>
              </w:rPr>
              <w:t>机械性能试验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9.1</w:t>
            </w:r>
          </w:p>
        </w:tc>
        <w:tc>
          <w:tcPr>
            <w:tcW w:w="3036" w:type="dxa"/>
          </w:tcPr>
          <w:p>
            <w:pPr>
              <w:spacing w:line="360" w:lineRule="auto"/>
              <w:jc w:val="center"/>
              <w:rPr>
                <w:kern w:val="0"/>
                <w:sz w:val="18"/>
                <w:szCs w:val="18"/>
              </w:rPr>
            </w:pPr>
            <w:r>
              <w:rPr>
                <w:kern w:val="0"/>
                <w:sz w:val="18"/>
                <w:szCs w:val="18"/>
              </w:rPr>
              <w:t>符合性检查</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9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9.2</w:t>
            </w:r>
          </w:p>
        </w:tc>
        <w:tc>
          <w:tcPr>
            <w:tcW w:w="3036" w:type="dxa"/>
          </w:tcPr>
          <w:p>
            <w:pPr>
              <w:spacing w:line="360" w:lineRule="auto"/>
              <w:jc w:val="center"/>
              <w:rPr>
                <w:kern w:val="0"/>
                <w:sz w:val="18"/>
                <w:szCs w:val="18"/>
              </w:rPr>
            </w:pPr>
            <w:r>
              <w:rPr>
                <w:kern w:val="0"/>
                <w:sz w:val="18"/>
                <w:szCs w:val="18"/>
              </w:rPr>
              <w:t>外壳防护性验证试验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9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9.3</w:t>
            </w:r>
          </w:p>
        </w:tc>
        <w:tc>
          <w:tcPr>
            <w:tcW w:w="3036" w:type="dxa"/>
          </w:tcPr>
          <w:p>
            <w:pPr>
              <w:spacing w:line="360" w:lineRule="auto"/>
              <w:jc w:val="center"/>
              <w:rPr>
                <w:kern w:val="0"/>
                <w:sz w:val="18"/>
                <w:szCs w:val="18"/>
              </w:rPr>
            </w:pPr>
            <w:r>
              <w:rPr>
                <w:rFonts w:hint="eastAsia"/>
                <w:kern w:val="0"/>
                <w:sz w:val="18"/>
                <w:szCs w:val="18"/>
              </w:rPr>
              <w:t>结构</w:t>
            </w:r>
            <w:r>
              <w:rPr>
                <w:kern w:val="0"/>
                <w:sz w:val="18"/>
                <w:szCs w:val="18"/>
              </w:rPr>
              <w:t>与设计安全性试验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9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9.4</w:t>
            </w:r>
          </w:p>
        </w:tc>
        <w:tc>
          <w:tcPr>
            <w:tcW w:w="3036" w:type="dxa"/>
          </w:tcPr>
          <w:p>
            <w:pPr>
              <w:spacing w:line="360" w:lineRule="auto"/>
              <w:jc w:val="center"/>
              <w:rPr>
                <w:kern w:val="0"/>
                <w:sz w:val="18"/>
                <w:szCs w:val="18"/>
              </w:rPr>
            </w:pPr>
            <w:r>
              <w:rPr>
                <w:kern w:val="0"/>
                <w:sz w:val="18"/>
                <w:szCs w:val="18"/>
              </w:rPr>
              <w:t>振动试验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9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9.5</w:t>
            </w:r>
          </w:p>
        </w:tc>
        <w:tc>
          <w:tcPr>
            <w:tcW w:w="3036" w:type="dxa"/>
          </w:tcPr>
          <w:p>
            <w:pPr>
              <w:spacing w:line="360" w:lineRule="auto"/>
              <w:jc w:val="center"/>
              <w:rPr>
                <w:kern w:val="0"/>
                <w:sz w:val="18"/>
                <w:szCs w:val="18"/>
              </w:rPr>
            </w:pPr>
            <w:r>
              <w:rPr>
                <w:kern w:val="0"/>
                <w:sz w:val="18"/>
                <w:szCs w:val="18"/>
              </w:rPr>
              <w:t>冲击试验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w:t>
            </w:r>
            <w:r>
              <w:rPr>
                <w:rFonts w:hint="eastAsia"/>
                <w:kern w:val="0"/>
                <w:sz w:val="18"/>
                <w:szCs w:val="18"/>
              </w:rPr>
              <w:t>9 c)</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10</w:t>
            </w:r>
          </w:p>
        </w:tc>
        <w:tc>
          <w:tcPr>
            <w:tcW w:w="7125" w:type="dxa"/>
            <w:gridSpan w:val="4"/>
          </w:tcPr>
          <w:p>
            <w:pPr>
              <w:spacing w:line="360" w:lineRule="auto"/>
              <w:jc w:val="center"/>
              <w:rPr>
                <w:kern w:val="0"/>
                <w:sz w:val="18"/>
                <w:szCs w:val="18"/>
              </w:rPr>
            </w:pPr>
            <w:r>
              <w:rPr>
                <w:kern w:val="0"/>
                <w:sz w:val="18"/>
                <w:szCs w:val="18"/>
              </w:rPr>
              <w:t>电磁兼容试验</w:t>
            </w:r>
          </w:p>
        </w:tc>
        <w:tc>
          <w:tcPr>
            <w:tcW w:w="1547" w:type="dxa"/>
          </w:tcPr>
          <w:p>
            <w:pPr>
              <w:spacing w:line="360" w:lineRule="auto"/>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10</w:t>
            </w:r>
            <w:r>
              <w:rPr>
                <w:kern w:val="0"/>
                <w:sz w:val="18"/>
                <w:szCs w:val="18"/>
              </w:rPr>
              <w:t>.1</w:t>
            </w:r>
          </w:p>
        </w:tc>
        <w:tc>
          <w:tcPr>
            <w:tcW w:w="3036" w:type="dxa"/>
          </w:tcPr>
          <w:p>
            <w:pPr>
              <w:spacing w:line="360" w:lineRule="auto"/>
              <w:jc w:val="center"/>
              <w:rPr>
                <w:kern w:val="0"/>
                <w:sz w:val="18"/>
                <w:szCs w:val="18"/>
              </w:rPr>
            </w:pPr>
            <w:r>
              <w:rPr>
                <w:kern w:val="0"/>
                <w:sz w:val="18"/>
                <w:szCs w:val="18"/>
              </w:rPr>
              <w:t>静电放电抗扰度试验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.11</w:t>
            </w:r>
            <w:r>
              <w:rPr>
                <w:rFonts w:hint="eastAsia"/>
                <w:kern w:val="0"/>
                <w:sz w:val="18"/>
                <w:szCs w:val="18"/>
              </w:rPr>
              <w:t xml:space="preserve"> a）</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10</w:t>
            </w:r>
            <w:r>
              <w:rPr>
                <w:kern w:val="0"/>
                <w:sz w:val="18"/>
                <w:szCs w:val="18"/>
              </w:rPr>
              <w:t>.2</w:t>
            </w:r>
          </w:p>
        </w:tc>
        <w:tc>
          <w:tcPr>
            <w:tcW w:w="3036" w:type="dxa"/>
          </w:tcPr>
          <w:p>
            <w:pPr>
              <w:spacing w:line="360" w:lineRule="auto"/>
              <w:jc w:val="center"/>
              <w:rPr>
                <w:kern w:val="0"/>
                <w:sz w:val="18"/>
                <w:szCs w:val="18"/>
              </w:rPr>
            </w:pPr>
            <w:r>
              <w:rPr>
                <w:kern w:val="0"/>
                <w:sz w:val="18"/>
                <w:szCs w:val="18"/>
              </w:rPr>
              <w:t>射频电磁场辐射抗扰度试验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.11</w:t>
            </w:r>
            <w:r>
              <w:rPr>
                <w:rFonts w:hint="eastAsia"/>
                <w:kern w:val="0"/>
                <w:sz w:val="18"/>
                <w:szCs w:val="18"/>
              </w:rPr>
              <w:t xml:space="preserve"> b）</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10</w:t>
            </w:r>
            <w:r>
              <w:rPr>
                <w:kern w:val="0"/>
                <w:sz w:val="18"/>
                <w:szCs w:val="18"/>
              </w:rPr>
              <w:t>.3</w:t>
            </w:r>
          </w:p>
        </w:tc>
        <w:tc>
          <w:tcPr>
            <w:tcW w:w="3036" w:type="dxa"/>
          </w:tcPr>
          <w:p>
            <w:pPr>
              <w:spacing w:line="360" w:lineRule="auto"/>
              <w:jc w:val="center"/>
              <w:rPr>
                <w:kern w:val="0"/>
                <w:sz w:val="18"/>
                <w:szCs w:val="18"/>
              </w:rPr>
            </w:pPr>
            <w:r>
              <w:rPr>
                <w:kern w:val="0"/>
                <w:sz w:val="18"/>
                <w:szCs w:val="18"/>
              </w:rPr>
              <w:t>电快速瞬变脉冲群抗扰度</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.11</w:t>
            </w:r>
            <w:r>
              <w:rPr>
                <w:rFonts w:hint="eastAsia"/>
                <w:kern w:val="0"/>
                <w:sz w:val="18"/>
                <w:szCs w:val="18"/>
              </w:rPr>
              <w:t xml:space="preserve"> c）</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00" w:type="dxa"/>
          </w:tcPr>
          <w:p>
            <w:pPr>
              <w:spacing w:line="360" w:lineRule="auto"/>
              <w:jc w:val="center"/>
              <w:rPr>
                <w:kern w:val="0"/>
                <w:sz w:val="18"/>
                <w:szCs w:val="18"/>
              </w:rPr>
            </w:pPr>
            <w:r>
              <w:rPr>
                <w:rFonts w:hint="eastAsia"/>
                <w:kern w:val="0"/>
                <w:sz w:val="18"/>
                <w:szCs w:val="18"/>
              </w:rPr>
              <w:t>10</w:t>
            </w:r>
            <w:r>
              <w:rPr>
                <w:kern w:val="0"/>
                <w:sz w:val="18"/>
                <w:szCs w:val="18"/>
              </w:rPr>
              <w:t>.4</w:t>
            </w:r>
          </w:p>
        </w:tc>
        <w:tc>
          <w:tcPr>
            <w:tcW w:w="3036" w:type="dxa"/>
          </w:tcPr>
          <w:p>
            <w:pPr>
              <w:spacing w:line="360" w:lineRule="auto"/>
              <w:jc w:val="center"/>
              <w:rPr>
                <w:kern w:val="0"/>
                <w:sz w:val="18"/>
                <w:szCs w:val="18"/>
              </w:rPr>
            </w:pPr>
            <w:r>
              <w:rPr>
                <w:kern w:val="0"/>
                <w:sz w:val="18"/>
                <w:szCs w:val="18"/>
              </w:rPr>
              <w:t>射频场感应的传导骚扰抗扰度试验</w:t>
            </w:r>
          </w:p>
        </w:tc>
        <w:tc>
          <w:tcPr>
            <w:tcW w:w="921" w:type="dxa"/>
          </w:tcPr>
          <w:p>
            <w:pPr>
              <w:spacing w:line="360" w:lineRule="auto"/>
              <w:jc w:val="center"/>
              <w:rPr>
                <w:kern w:val="0"/>
                <w:sz w:val="18"/>
                <w:szCs w:val="18"/>
              </w:rPr>
            </w:pPr>
            <w:r>
              <w:rPr>
                <w:kern w:val="0"/>
                <w:sz w:val="18"/>
                <w:szCs w:val="18"/>
              </w:rPr>
              <w:t>5.</w:t>
            </w:r>
            <w:r>
              <w:rPr>
                <w:rFonts w:hint="eastAsia"/>
                <w:kern w:val="0"/>
                <w:sz w:val="18"/>
                <w:szCs w:val="18"/>
              </w:rPr>
              <w:t>4</w:t>
            </w:r>
            <w:r>
              <w:rPr>
                <w:kern w:val="0"/>
                <w:sz w:val="18"/>
                <w:szCs w:val="18"/>
              </w:rPr>
              <w:t>.11</w:t>
            </w:r>
            <w:r>
              <w:rPr>
                <w:rFonts w:hint="eastAsia"/>
                <w:kern w:val="0"/>
                <w:sz w:val="18"/>
                <w:szCs w:val="18"/>
              </w:rPr>
              <w:t xml:space="preserve"> d）</w:t>
            </w:r>
          </w:p>
        </w:tc>
        <w:tc>
          <w:tcPr>
            <w:tcW w:w="1583" w:type="dxa"/>
          </w:tcPr>
          <w:p>
            <w:pPr>
              <w:spacing w:line="360" w:lineRule="auto"/>
              <w:jc w:val="center"/>
              <w:rPr>
                <w:kern w:val="0"/>
                <w:sz w:val="18"/>
                <w:szCs w:val="18"/>
              </w:rPr>
            </w:pPr>
            <w:r>
              <w:rPr>
                <w:rFonts w:hint="eastAsia" w:ascii="宋体" w:hAnsi="宋体" w:cs="宋体"/>
                <w:kern w:val="0"/>
                <w:sz w:val="18"/>
                <w:szCs w:val="18"/>
              </w:rPr>
              <w:t>●</w:t>
            </w:r>
          </w:p>
        </w:tc>
        <w:tc>
          <w:tcPr>
            <w:tcW w:w="1585" w:type="dxa"/>
          </w:tcPr>
          <w:p>
            <w:pPr>
              <w:spacing w:line="360" w:lineRule="auto"/>
              <w:jc w:val="center"/>
              <w:rPr>
                <w:kern w:val="0"/>
                <w:sz w:val="18"/>
                <w:szCs w:val="18"/>
              </w:rPr>
            </w:pPr>
            <w:r>
              <w:rPr>
                <w:rFonts w:hint="eastAsia" w:ascii="宋体" w:hAnsi="宋体" w:cs="宋体"/>
                <w:kern w:val="0"/>
                <w:sz w:val="18"/>
                <w:szCs w:val="18"/>
              </w:rPr>
              <w:t>○</w:t>
            </w:r>
          </w:p>
        </w:tc>
        <w:tc>
          <w:tcPr>
            <w:tcW w:w="1547" w:type="dxa"/>
          </w:tcPr>
          <w:p>
            <w:pPr>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25" w:type="dxa"/>
            <w:gridSpan w:val="5"/>
          </w:tcPr>
          <w:p>
            <w:pPr>
              <w:spacing w:line="360" w:lineRule="auto"/>
              <w:jc w:val="left"/>
              <w:rPr>
                <w:rFonts w:ascii="宋体" w:hAnsi="宋体" w:cs="宋体"/>
                <w:kern w:val="0"/>
                <w:sz w:val="18"/>
                <w:szCs w:val="18"/>
              </w:rPr>
            </w:pPr>
            <w:r>
              <w:rPr>
                <w:rFonts w:hint="eastAsia" w:ascii="宋体" w:hAnsi="宋体" w:cs="宋体"/>
                <w:kern w:val="0"/>
                <w:sz w:val="18"/>
                <w:szCs w:val="18"/>
              </w:rPr>
              <w:t>注：●表示必选项；○表示可选项；-表示不选项。</w:t>
            </w:r>
          </w:p>
        </w:tc>
        <w:tc>
          <w:tcPr>
            <w:tcW w:w="1547" w:type="dxa"/>
          </w:tcPr>
          <w:p>
            <w:pPr>
              <w:spacing w:line="360" w:lineRule="auto"/>
              <w:jc w:val="left"/>
              <w:rPr>
                <w:rFonts w:ascii="宋体" w:hAnsi="宋体" w:cs="宋体"/>
                <w:kern w:val="0"/>
                <w:sz w:val="18"/>
                <w:szCs w:val="18"/>
              </w:rPr>
            </w:pPr>
          </w:p>
        </w:tc>
      </w:tr>
    </w:tbl>
    <w:p>
      <w:pPr>
        <w:rPr>
          <w:rFonts w:cs="宋体"/>
        </w:rPr>
      </w:pPr>
    </w:p>
    <w:p>
      <w:pPr>
        <w:pStyle w:val="239"/>
        <w:ind w:firstLine="420"/>
        <w:jc w:val="center"/>
        <w:rPr>
          <w:color w:val="FF0000"/>
        </w:rPr>
      </w:pPr>
    </w:p>
    <w:p>
      <w:pPr>
        <w:pStyle w:val="239"/>
        <w:ind w:firstLine="420"/>
        <w:jc w:val="center"/>
        <w:rPr>
          <w:color w:val="FF0000"/>
        </w:rPr>
      </w:pPr>
    </w:p>
    <w:p>
      <w:pPr>
        <w:pStyle w:val="239"/>
        <w:ind w:firstLine="422"/>
        <w:jc w:val="center"/>
        <w:rPr>
          <w:rFonts w:ascii="黑体" w:hAnsi="黑体" w:eastAsia="黑体"/>
          <w:b/>
          <w:color w:val="FF0000"/>
        </w:rPr>
      </w:pPr>
      <w:r>
        <w:rPr>
          <w:rFonts w:hint="eastAsia" w:ascii="黑体" w:hAnsi="黑体" w:eastAsia="黑体"/>
          <w:b/>
          <w:color w:val="auto"/>
        </w:rPr>
        <w:t>━━━━━━━━━━━</w:t>
      </w:r>
    </w:p>
    <w:p/>
    <w:p>
      <w:pPr>
        <w:widowControl/>
        <w:rPr>
          <w:color w:val="5B9BD5" w:themeColor="accent1"/>
        </w:rPr>
      </w:pPr>
    </w:p>
    <w:p>
      <w:pPr>
        <w:widowControl/>
        <w:rPr>
          <w:color w:val="5B9BD5" w:themeColor="accent1"/>
        </w:rPr>
      </w:pPr>
    </w:p>
    <w:p>
      <w:pPr>
        <w:widowControl/>
        <w:rPr>
          <w:color w:val="5B9BD5" w:themeColor="accent1"/>
        </w:rPr>
      </w:pPr>
      <w:bookmarkStart w:id="151" w:name="_GoBack"/>
      <w:bookmarkEnd w:id="15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1</w:t>
    </w:r>
    <w:r>
      <w:rPr>
        <w:rStyle w:val="214"/>
      </w:rPr>
      <w:fldChar w:fldCharType="end"/>
    </w:r>
  </w:p>
  <w:p>
    <w:pPr>
      <w:pStyle w:val="233"/>
      <w:ind w:right="360" w:firstLine="360"/>
      <w:rPr>
        <w:rStyle w:val="2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16</w:t>
    </w:r>
    <w:r>
      <w:rPr>
        <w:rStyle w:val="214"/>
      </w:rPr>
      <w:fldChar w:fldCharType="end"/>
    </w:r>
  </w:p>
  <w:p>
    <w:pPr>
      <w:pStyle w:val="232"/>
      <w:ind w:right="360" w:firstLine="360"/>
      <w:rPr>
        <w:rStyle w:val="2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15</w:t>
    </w:r>
    <w:r>
      <w:rPr>
        <w:rStyle w:val="214"/>
      </w:rPr>
      <w:fldChar w:fldCharType="end"/>
    </w:r>
  </w:p>
  <w:p>
    <w:pPr>
      <w:pStyle w:val="233"/>
      <w:ind w:right="360" w:firstLine="360"/>
      <w:rPr>
        <w:rStyle w:val="2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5"/>
    </w:pPr>
    <w:r>
      <w:t>T/CSEE</w:t>
    </w:r>
    <w:r>
      <w:rPr>
        <w:rFonts w:hint="eastAsia"/>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wordWrap w:val="0"/>
    </w:pPr>
    <w:r>
      <w:t>T/</w:t>
    </w:r>
    <w:r>
      <w:rPr>
        <w:rFonts w:hint="eastAsia"/>
      </w:rPr>
      <w:t>CSEE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8230C"/>
    <w:multiLevelType w:val="multilevel"/>
    <w:tmpl w:val="8478230C"/>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007C35B"/>
    <w:multiLevelType w:val="multilevel"/>
    <w:tmpl w:val="9007C35B"/>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9E20492"/>
    <w:multiLevelType w:val="multilevel"/>
    <w:tmpl w:val="99E20492"/>
    <w:lvl w:ilvl="0" w:tentative="0">
      <w:start w:val="1"/>
      <w:numFmt w:val="lowerLetter"/>
      <w:lvlText w:val="%1)"/>
      <w:lvlJc w:val="left"/>
      <w:pPr>
        <w:ind w:left="846" w:hanging="420"/>
      </w:pPr>
      <w:rPr>
        <w:rFonts w:hint="default" w:ascii="Times New Roman" w:hAnsi="Times New Roman" w:eastAsia="华文仿宋"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B1479DA6"/>
    <w:multiLevelType w:val="multilevel"/>
    <w:tmpl w:val="B1479DA6"/>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B2D28D06"/>
    <w:multiLevelType w:val="multilevel"/>
    <w:tmpl w:val="B2D28D06"/>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C2A3AC90"/>
    <w:multiLevelType w:val="multilevel"/>
    <w:tmpl w:val="C2A3AC90"/>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C824E8A0"/>
    <w:multiLevelType w:val="multilevel"/>
    <w:tmpl w:val="C824E8A0"/>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CCB5D168"/>
    <w:multiLevelType w:val="multilevel"/>
    <w:tmpl w:val="CCB5D16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9">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10">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11">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2">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3">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4">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5">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6">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7">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8">
    <w:nsid w:val="04BA7C21"/>
    <w:multiLevelType w:val="multilevel"/>
    <w:tmpl w:val="04BA7C2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079102AD"/>
    <w:multiLevelType w:val="multilevel"/>
    <w:tmpl w:val="079102AD"/>
    <w:lvl w:ilvl="0" w:tentative="0">
      <w:start w:val="1"/>
      <w:numFmt w:val="decimal"/>
      <w:pStyle w:val="285"/>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8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298"/>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1">
    <w:nsid w:val="0AE367E9"/>
    <w:multiLevelType w:val="multilevel"/>
    <w:tmpl w:val="0AE367E9"/>
    <w:lvl w:ilvl="0" w:tentative="0">
      <w:start w:val="1"/>
      <w:numFmt w:val="none"/>
      <w:pStyle w:val="2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2">
    <w:nsid w:val="0D440FB2"/>
    <w:multiLevelType w:val="multilevel"/>
    <w:tmpl w:val="0D440FB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0D46713A"/>
    <w:multiLevelType w:val="multilevel"/>
    <w:tmpl w:val="0D46713A"/>
    <w:lvl w:ilvl="0" w:tentative="0">
      <w:start w:val="1"/>
      <w:numFmt w:val="bullet"/>
      <w:pStyle w:val="307"/>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4">
    <w:nsid w:val="0F403E5E"/>
    <w:multiLevelType w:val="multilevel"/>
    <w:tmpl w:val="0F403E5E"/>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9B035AA"/>
    <w:multiLevelType w:val="multilevel"/>
    <w:tmpl w:val="19B035AA"/>
    <w:lvl w:ilvl="0" w:tentative="0">
      <w:start w:val="1"/>
      <w:numFmt w:val="lowerLetter"/>
      <w:lvlText w:val="%1)"/>
      <w:lvlJc w:val="left"/>
      <w:pPr>
        <w:ind w:left="840"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6">
    <w:nsid w:val="1FC91163"/>
    <w:multiLevelType w:val="multilevel"/>
    <w:tmpl w:val="1FC91163"/>
    <w:lvl w:ilvl="0" w:tentative="0">
      <w:start w:val="1"/>
      <w:numFmt w:val="decimal"/>
      <w:pStyle w:val="240"/>
      <w:suff w:val="nothing"/>
      <w:lvlText w:val="%1　"/>
      <w:lvlJc w:val="left"/>
      <w:pPr>
        <w:ind w:left="0" w:firstLine="0"/>
      </w:pPr>
      <w:rPr>
        <w:rFonts w:hint="default" w:ascii="黑体" w:hAnsi="Times New Roman" w:eastAsia="黑体"/>
        <w:b w:val="0"/>
        <w:i w:val="0"/>
        <w:color w:val="auto"/>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242"/>
      <w:suff w:val="nothing"/>
      <w:lvlText w:val="%1.%2.%3　"/>
      <w:lvlJc w:val="left"/>
      <w:pPr>
        <w:ind w:left="0" w:firstLine="0"/>
      </w:pPr>
      <w:rPr>
        <w:rFonts w:hint="default" w:ascii="黑体" w:hAnsi="Times New Roman" w:eastAsia="黑体"/>
        <w:b w:val="0"/>
        <w:i w:val="0"/>
        <w:color w:val="auto"/>
        <w:sz w:val="21"/>
      </w:rPr>
    </w:lvl>
    <w:lvl w:ilvl="3" w:tentative="0">
      <w:start w:val="1"/>
      <w:numFmt w:val="decimal"/>
      <w:pStyle w:val="271"/>
      <w:suff w:val="nothing"/>
      <w:lvlText w:val="%1.%2.%3.%4　"/>
      <w:lvlJc w:val="left"/>
      <w:pPr>
        <w:ind w:left="0" w:firstLine="0"/>
      </w:pPr>
      <w:rPr>
        <w:rFonts w:hint="eastAsia" w:ascii="黑体" w:hAnsi="Times New Roman" w:eastAsia="黑体"/>
        <w:b w:val="0"/>
        <w:i w:val="0"/>
        <w:sz w:val="21"/>
      </w:rPr>
    </w:lvl>
    <w:lvl w:ilvl="4" w:tentative="0">
      <w:start w:val="1"/>
      <w:numFmt w:val="decimal"/>
      <w:pStyle w:val="276"/>
      <w:suff w:val="nothing"/>
      <w:lvlText w:val="%1.%2.%3.%4.%5　"/>
      <w:lvlJc w:val="left"/>
      <w:pPr>
        <w:ind w:left="0" w:firstLine="0"/>
      </w:pPr>
      <w:rPr>
        <w:rFonts w:hint="eastAsia" w:ascii="黑体" w:hAnsi="Times New Roman" w:eastAsia="黑体"/>
        <w:b w:val="0"/>
        <w:i w:val="0"/>
        <w:sz w:val="21"/>
      </w:rPr>
    </w:lvl>
    <w:lvl w:ilvl="5" w:tentative="0">
      <w:start w:val="1"/>
      <w:numFmt w:val="decimal"/>
      <w:pStyle w:val="28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264059B4"/>
    <w:multiLevelType w:val="multilevel"/>
    <w:tmpl w:val="264059B4"/>
    <w:lvl w:ilvl="0" w:tentative="0">
      <w:start w:val="1"/>
      <w:numFmt w:val="decimal"/>
      <w:lvlText w:val="%1)"/>
      <w:lvlJc w:val="left"/>
      <w:pPr>
        <w:ind w:left="2405" w:hanging="420"/>
      </w:pPr>
      <w:rPr>
        <w:rFonts w:hint="default"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81A262B"/>
    <w:multiLevelType w:val="multilevel"/>
    <w:tmpl w:val="281A262B"/>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9">
    <w:nsid w:val="2A8F7113"/>
    <w:multiLevelType w:val="multilevel"/>
    <w:tmpl w:val="2A8F7113"/>
    <w:lvl w:ilvl="0" w:tentative="0">
      <w:start w:val="1"/>
      <w:numFmt w:val="upperLetter"/>
      <w:pStyle w:val="331"/>
      <w:suff w:val="space"/>
      <w:lvlText w:val="%1"/>
      <w:lvlJc w:val="left"/>
      <w:pPr>
        <w:ind w:left="0" w:firstLine="0"/>
      </w:pPr>
      <w:rPr>
        <w:rFonts w:hint="eastAsia"/>
        <w:color w:val="FFFFFF" w:themeColor="background1"/>
        <w:sz w:val="2"/>
      </w:rPr>
    </w:lvl>
    <w:lvl w:ilvl="1" w:tentative="0">
      <w:start w:val="1"/>
      <w:numFmt w:val="decimal"/>
      <w:pStyle w:val="262"/>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0">
    <w:nsid w:val="2AC03DD7"/>
    <w:multiLevelType w:val="multilevel"/>
    <w:tmpl w:val="2AC03DD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1">
    <w:nsid w:val="2C457E88"/>
    <w:multiLevelType w:val="multilevel"/>
    <w:tmpl w:val="2C457E8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C5917C3"/>
    <w:multiLevelType w:val="multilevel"/>
    <w:tmpl w:val="2C5917C3"/>
    <w:lvl w:ilvl="0" w:tentative="0">
      <w:start w:val="1"/>
      <w:numFmt w:val="none"/>
      <w:pStyle w:val="516"/>
      <w:suff w:val="nothing"/>
      <w:lvlText w:val="%1——"/>
      <w:lvlJc w:val="left"/>
      <w:pPr>
        <w:ind w:left="833" w:hanging="408"/>
      </w:pPr>
      <w:rPr>
        <w:rFonts w:hint="eastAsia"/>
      </w:rPr>
    </w:lvl>
    <w:lvl w:ilvl="1" w:tentative="0">
      <w:start w:val="1"/>
      <w:numFmt w:val="bullet"/>
      <w:pStyle w:val="517"/>
      <w:lvlText w:val=""/>
      <w:lvlJc w:val="left"/>
      <w:pPr>
        <w:tabs>
          <w:tab w:val="left" w:pos="760"/>
        </w:tabs>
        <w:ind w:left="1264" w:hanging="413"/>
      </w:pPr>
      <w:rPr>
        <w:rFonts w:hint="default" w:ascii="Symbol" w:hAnsi="Symbol"/>
        <w:color w:val="auto"/>
      </w:rPr>
    </w:lvl>
    <w:lvl w:ilvl="2" w:tentative="0">
      <w:start w:val="1"/>
      <w:numFmt w:val="bullet"/>
      <w:pStyle w:val="51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3">
    <w:nsid w:val="2CE80245"/>
    <w:multiLevelType w:val="multilevel"/>
    <w:tmpl w:val="2CE80245"/>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4431F99"/>
    <w:multiLevelType w:val="multilevel"/>
    <w:tmpl w:val="34431F99"/>
    <w:lvl w:ilvl="0" w:tentative="0">
      <w:start w:val="1"/>
      <w:numFmt w:val="upperLetter"/>
      <w:pStyle w:val="512"/>
      <w:lvlText w:val="%1"/>
      <w:lvlJc w:val="left"/>
      <w:pPr>
        <w:ind w:left="0" w:firstLine="0"/>
      </w:pPr>
      <w:rPr>
        <w:rFonts w:hint="eastAsia"/>
        <w:color w:val="FFFFFF" w:themeColor="background1"/>
        <w:sz w:val="2"/>
      </w:rPr>
    </w:lvl>
    <w:lvl w:ilvl="1" w:tentative="0">
      <w:start w:val="1"/>
      <w:numFmt w:val="decimal"/>
      <w:pStyle w:val="513"/>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39F06E47"/>
    <w:multiLevelType w:val="multilevel"/>
    <w:tmpl w:val="39F06E4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6">
    <w:nsid w:val="41A64E98"/>
    <w:multiLevelType w:val="multilevel"/>
    <w:tmpl w:val="41A64E98"/>
    <w:lvl w:ilvl="0" w:tentative="0">
      <w:start w:val="1"/>
      <w:numFmt w:val="decimal"/>
      <w:pStyle w:val="287"/>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28"/>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44C50F90"/>
    <w:multiLevelType w:val="multilevel"/>
    <w:tmpl w:val="44C50F90"/>
    <w:lvl w:ilvl="0" w:tentative="0">
      <w:start w:val="1"/>
      <w:numFmt w:val="lowerLetter"/>
      <w:pStyle w:val="28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464056AF"/>
    <w:multiLevelType w:val="multilevel"/>
    <w:tmpl w:val="464056A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9">
    <w:nsid w:val="48A35EC5"/>
    <w:multiLevelType w:val="multilevel"/>
    <w:tmpl w:val="48A35EC5"/>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8AF1FB4"/>
    <w:multiLevelType w:val="multilevel"/>
    <w:tmpl w:val="48AF1FB4"/>
    <w:lvl w:ilvl="0" w:tentative="0">
      <w:start w:val="1"/>
      <w:numFmt w:val="lowerLetter"/>
      <w:lvlText w:val="%1)"/>
      <w:lvlJc w:val="left"/>
      <w:pPr>
        <w:ind w:left="840"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1">
    <w:nsid w:val="4B733A5F"/>
    <w:multiLevelType w:val="multilevel"/>
    <w:tmpl w:val="4B733A5F"/>
    <w:lvl w:ilvl="0" w:tentative="0">
      <w:start w:val="1"/>
      <w:numFmt w:val="decimal"/>
      <w:pStyle w:val="2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2">
    <w:nsid w:val="4D422CA4"/>
    <w:multiLevelType w:val="multilevel"/>
    <w:tmpl w:val="4D422CA4"/>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3">
    <w:nsid w:val="4E9C007A"/>
    <w:multiLevelType w:val="multilevel"/>
    <w:tmpl w:val="4E9C007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1415C2E"/>
    <w:multiLevelType w:val="multilevel"/>
    <w:tmpl w:val="51415C2E"/>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55E02EF4"/>
    <w:multiLevelType w:val="multilevel"/>
    <w:tmpl w:val="55E02EF4"/>
    <w:lvl w:ilvl="0" w:tentative="0">
      <w:start w:val="1"/>
      <w:numFmt w:val="decimal"/>
      <w:pStyle w:val="283"/>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59F87114"/>
    <w:multiLevelType w:val="multilevel"/>
    <w:tmpl w:val="59F87114"/>
    <w:lvl w:ilvl="0" w:tentative="0">
      <w:start w:val="1"/>
      <w:numFmt w:val="low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7">
    <w:nsid w:val="5B7E3733"/>
    <w:multiLevelType w:val="multilevel"/>
    <w:tmpl w:val="5B7E3733"/>
    <w:lvl w:ilvl="0" w:tentative="0">
      <w:start w:val="1"/>
      <w:numFmt w:val="decimal"/>
      <w:pStyle w:val="27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8">
    <w:nsid w:val="5F115623"/>
    <w:multiLevelType w:val="multilevel"/>
    <w:tmpl w:val="5F115623"/>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5F191FEB"/>
    <w:multiLevelType w:val="multilevel"/>
    <w:tmpl w:val="5F191FEB"/>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0B55DC2"/>
    <w:multiLevelType w:val="multilevel"/>
    <w:tmpl w:val="60B55DC2"/>
    <w:lvl w:ilvl="0" w:tentative="0">
      <w:start w:val="1"/>
      <w:numFmt w:val="upperLetter"/>
      <w:pStyle w:val="330"/>
      <w:lvlText w:val="%1"/>
      <w:lvlJc w:val="left"/>
      <w:pPr>
        <w:tabs>
          <w:tab w:val="left" w:pos="0"/>
        </w:tabs>
        <w:ind w:left="0" w:firstLine="0"/>
      </w:pPr>
      <w:rPr>
        <w:rFonts w:hint="eastAsia"/>
        <w:color w:val="FFFFFF" w:themeColor="background1"/>
        <w:sz w:val="2"/>
      </w:rPr>
    </w:lvl>
    <w:lvl w:ilvl="1" w:tentative="0">
      <w:start w:val="1"/>
      <w:numFmt w:val="decimal"/>
      <w:pStyle w:val="25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299"/>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1">
    <w:nsid w:val="64793431"/>
    <w:multiLevelType w:val="multilevel"/>
    <w:tmpl w:val="6479343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2">
    <w:nsid w:val="649B4BE1"/>
    <w:multiLevelType w:val="multilevel"/>
    <w:tmpl w:val="649B4BE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3">
    <w:nsid w:val="657D3FBC"/>
    <w:multiLevelType w:val="multilevel"/>
    <w:tmpl w:val="657D3FBC"/>
    <w:lvl w:ilvl="0" w:tentative="0">
      <w:start w:val="1"/>
      <w:numFmt w:val="upperLetter"/>
      <w:pStyle w:val="25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7"/>
      <w:suff w:val="nothing"/>
      <w:lvlText w:val="%1.%2　"/>
      <w:lvlJc w:val="left"/>
      <w:pPr>
        <w:ind w:left="993" w:firstLine="0"/>
      </w:pPr>
      <w:rPr>
        <w:rFonts w:hint="default" w:ascii="黑体" w:hAnsi="Times New Roman" w:eastAsia="黑体"/>
        <w:b w:val="0"/>
        <w:i w:val="0"/>
        <w:snapToGrid/>
        <w:color w:val="auto"/>
        <w:spacing w:val="0"/>
        <w:w w:val="100"/>
        <w:kern w:val="21"/>
        <w:sz w:val="21"/>
      </w:rPr>
    </w:lvl>
    <w:lvl w:ilvl="2" w:tentative="0">
      <w:start w:val="1"/>
      <w:numFmt w:val="decimal"/>
      <w:pStyle w:val="258"/>
      <w:suff w:val="nothing"/>
      <w:lvlText w:val="%1.%2.%3　"/>
      <w:lvlJc w:val="left"/>
      <w:pPr>
        <w:ind w:left="0" w:firstLine="0"/>
      </w:pPr>
      <w:rPr>
        <w:rFonts w:hint="eastAsia" w:ascii="黑体" w:hAnsi="Times New Roman" w:eastAsia="黑体"/>
        <w:b w:val="0"/>
        <w:i w:val="0"/>
        <w:sz w:val="21"/>
      </w:rPr>
    </w:lvl>
    <w:lvl w:ilvl="3" w:tentative="0">
      <w:start w:val="1"/>
      <w:numFmt w:val="decimal"/>
      <w:pStyle w:val="259"/>
      <w:suff w:val="nothing"/>
      <w:lvlText w:val="%1.%2.%3.%4　"/>
      <w:lvlJc w:val="left"/>
      <w:pPr>
        <w:ind w:left="0" w:firstLine="0"/>
      </w:pPr>
      <w:rPr>
        <w:rFonts w:hint="eastAsia" w:ascii="黑体" w:hAnsi="Times New Roman" w:eastAsia="黑体"/>
        <w:b w:val="0"/>
        <w:i w:val="0"/>
        <w:sz w:val="21"/>
      </w:rPr>
    </w:lvl>
    <w:lvl w:ilvl="4" w:tentative="0">
      <w:start w:val="1"/>
      <w:numFmt w:val="decimal"/>
      <w:pStyle w:val="260"/>
      <w:suff w:val="nothing"/>
      <w:lvlText w:val="%1.%2.%3.%4.%5　"/>
      <w:lvlJc w:val="left"/>
      <w:pPr>
        <w:ind w:left="0" w:firstLine="0"/>
      </w:pPr>
      <w:rPr>
        <w:rFonts w:hint="eastAsia" w:ascii="黑体" w:hAnsi="Times New Roman" w:eastAsia="黑体"/>
        <w:b w:val="0"/>
        <w:i w:val="0"/>
        <w:sz w:val="21"/>
      </w:rPr>
    </w:lvl>
    <w:lvl w:ilvl="5" w:tentative="0">
      <w:start w:val="1"/>
      <w:numFmt w:val="decimal"/>
      <w:pStyle w:val="261"/>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rPr>
    </w:lvl>
    <w:lvl w:ilvl="6" w:tentative="0">
      <w:start w:val="1"/>
      <w:numFmt w:val="decimal"/>
      <w:pStyle w:val="2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668F58FE"/>
    <w:multiLevelType w:val="multilevel"/>
    <w:tmpl w:val="668F58FE"/>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68001FE0"/>
    <w:multiLevelType w:val="multilevel"/>
    <w:tmpl w:val="68001FE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6">
    <w:nsid w:val="6909510D"/>
    <w:multiLevelType w:val="multilevel"/>
    <w:tmpl w:val="6909510D"/>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AD25B35"/>
    <w:multiLevelType w:val="multilevel"/>
    <w:tmpl w:val="6AD25B3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8">
    <w:nsid w:val="6B7E0102"/>
    <w:multiLevelType w:val="multilevel"/>
    <w:tmpl w:val="6B7E010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9">
    <w:nsid w:val="6DBF04F4"/>
    <w:multiLevelType w:val="multilevel"/>
    <w:tmpl w:val="6DBF04F4"/>
    <w:lvl w:ilvl="0" w:tentative="0">
      <w:start w:val="1"/>
      <w:numFmt w:val="none"/>
      <w:pStyle w:val="2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0">
    <w:nsid w:val="73B07E2A"/>
    <w:multiLevelType w:val="multilevel"/>
    <w:tmpl w:val="73B07E2A"/>
    <w:lvl w:ilvl="0" w:tentative="0">
      <w:start w:val="1"/>
      <w:numFmt w:val="lowerLetter"/>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289"/>
      <w:suff w:val="nothing"/>
      <w:lvlText w:val="%1%2 "/>
      <w:lvlJc w:val="left"/>
      <w:pPr>
        <w:ind w:left="0" w:firstLine="0"/>
      </w:pPr>
      <w:rPr>
        <w:rFonts w:hint="eastAsia" w:ascii="黑体" w:hAnsi="Times New Roman" w:eastAsia="黑体"/>
        <w:b/>
        <w:i w:val="0"/>
        <w:sz w:val="28"/>
      </w:rPr>
    </w:lvl>
    <w:lvl w:ilvl="2" w:tentative="0">
      <w:start w:val="1"/>
      <w:numFmt w:val="decimal"/>
      <w:pStyle w:val="290"/>
      <w:suff w:val="nothing"/>
      <w:lvlText w:val="%1%2.%3　"/>
      <w:lvlJc w:val="left"/>
      <w:pPr>
        <w:ind w:left="0" w:firstLine="0"/>
      </w:pPr>
      <w:rPr>
        <w:rFonts w:hint="eastAsia" w:ascii="黑体" w:hAnsi="Times New Roman" w:eastAsia="黑体"/>
        <w:b/>
        <w:i w:val="0"/>
        <w:sz w:val="21"/>
      </w:rPr>
    </w:lvl>
    <w:lvl w:ilvl="3" w:tentative="0">
      <w:start w:val="1"/>
      <w:numFmt w:val="decimal"/>
      <w:pStyle w:val="291"/>
      <w:suff w:val="nothing"/>
      <w:lvlText w:val="%1%2.%3.%4　"/>
      <w:lvlJc w:val="left"/>
      <w:pPr>
        <w:ind w:left="0" w:firstLine="0"/>
      </w:pPr>
      <w:rPr>
        <w:rFonts w:hint="eastAsia" w:ascii="黑体" w:hAnsi="Times New Roman" w:eastAsia="黑体"/>
        <w:b/>
        <w:i w:val="0"/>
        <w:sz w:val="21"/>
      </w:rPr>
    </w:lvl>
    <w:lvl w:ilvl="4" w:tentative="0">
      <w:start w:val="1"/>
      <w:numFmt w:val="decimal"/>
      <w:pStyle w:val="292"/>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293"/>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29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296"/>
      <w:lvlText w:val="    %1%8"/>
      <w:lvlJc w:val="left"/>
      <w:pPr>
        <w:tabs>
          <w:tab w:val="left" w:pos="720"/>
        </w:tabs>
        <w:ind w:left="0" w:firstLine="0"/>
      </w:pPr>
      <w:rPr>
        <w:rFonts w:hint="eastAsia" w:ascii="黑体" w:eastAsia="黑体"/>
        <w:b/>
        <w:i w:val="0"/>
        <w:sz w:val="21"/>
      </w:rPr>
    </w:lvl>
    <w:lvl w:ilvl="8" w:tentative="0">
      <w:start w:val="1"/>
      <w:numFmt w:val="decimal"/>
      <w:lvlRestart w:val="2"/>
      <w:pStyle w:val="295"/>
      <w:lvlText w:val="%2.0.%9"/>
      <w:lvlJc w:val="left"/>
      <w:pPr>
        <w:tabs>
          <w:tab w:val="left" w:pos="720"/>
        </w:tabs>
        <w:ind w:left="0" w:firstLine="0"/>
      </w:pPr>
      <w:rPr>
        <w:rFonts w:hint="eastAsia" w:ascii="黑体" w:hAnsi="华文细黑" w:eastAsia="黑体"/>
        <w:b/>
        <w:i w:val="0"/>
        <w:sz w:val="21"/>
      </w:rPr>
    </w:lvl>
  </w:abstractNum>
  <w:abstractNum w:abstractNumId="62">
    <w:nsid w:val="76933334"/>
    <w:multiLevelType w:val="multilevel"/>
    <w:tmpl w:val="76933334"/>
    <w:lvl w:ilvl="0" w:tentative="0">
      <w:start w:val="1"/>
      <w:numFmt w:val="none"/>
      <w:pStyle w:val="266"/>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925661D"/>
    <w:multiLevelType w:val="multilevel"/>
    <w:tmpl w:val="7925661D"/>
    <w:lvl w:ilvl="0" w:tentative="0">
      <w:start w:val="1"/>
      <w:numFmt w:val="lowerLetter"/>
      <w:lvlText w:val="%1)"/>
      <w:lvlJc w:val="left"/>
      <w:pPr>
        <w:ind w:left="846"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79B15E64"/>
    <w:multiLevelType w:val="multilevel"/>
    <w:tmpl w:val="79B15E64"/>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7AED3B11"/>
    <w:multiLevelType w:val="multilevel"/>
    <w:tmpl w:val="7AED3B11"/>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5B138E"/>
    <w:multiLevelType w:val="multilevel"/>
    <w:tmpl w:val="7D5B138E"/>
    <w:lvl w:ilvl="0" w:tentative="0">
      <w:start w:val="1"/>
      <w:numFmt w:val="lowerLetter"/>
      <w:lvlText w:val="%1)"/>
      <w:lvlJc w:val="left"/>
      <w:pPr>
        <w:ind w:left="846" w:hanging="420"/>
      </w:pPr>
      <w:rPr>
        <w:rFonts w:hint="default" w:ascii="Times New Roman" w:hAnsi="Times New Roman" w:eastAsia="华文仿宋"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1"/>
  </w:num>
  <w:num w:numId="2">
    <w:abstractNumId w:val="13"/>
  </w:num>
  <w:num w:numId="3">
    <w:abstractNumId w:val="16"/>
  </w:num>
  <w:num w:numId="4">
    <w:abstractNumId w:val="17"/>
  </w:num>
  <w:num w:numId="5">
    <w:abstractNumId w:val="14"/>
  </w:num>
  <w:num w:numId="6">
    <w:abstractNumId w:val="10"/>
  </w:num>
  <w:num w:numId="7">
    <w:abstractNumId w:val="15"/>
  </w:num>
  <w:num w:numId="8">
    <w:abstractNumId w:val="12"/>
  </w:num>
  <w:num w:numId="9">
    <w:abstractNumId w:val="9"/>
  </w:num>
  <w:num w:numId="10">
    <w:abstractNumId w:val="8"/>
  </w:num>
  <w:num w:numId="11">
    <w:abstractNumId w:val="26"/>
  </w:num>
  <w:num w:numId="12">
    <w:abstractNumId w:val="53"/>
  </w:num>
  <w:num w:numId="13">
    <w:abstractNumId w:val="50"/>
  </w:num>
  <w:num w:numId="14">
    <w:abstractNumId w:val="29"/>
  </w:num>
  <w:num w:numId="15">
    <w:abstractNumId w:val="62"/>
  </w:num>
  <w:num w:numId="16">
    <w:abstractNumId w:val="21"/>
  </w:num>
  <w:num w:numId="17">
    <w:abstractNumId w:val="37"/>
  </w:num>
  <w:num w:numId="18">
    <w:abstractNumId w:val="47"/>
  </w:num>
  <w:num w:numId="19">
    <w:abstractNumId w:val="20"/>
  </w:num>
  <w:num w:numId="20">
    <w:abstractNumId w:val="45"/>
  </w:num>
  <w:num w:numId="21">
    <w:abstractNumId w:val="59"/>
  </w:num>
  <w:num w:numId="22">
    <w:abstractNumId w:val="19"/>
  </w:num>
  <w:num w:numId="23">
    <w:abstractNumId w:val="36"/>
  </w:num>
  <w:num w:numId="24">
    <w:abstractNumId w:val="41"/>
  </w:num>
  <w:num w:numId="25">
    <w:abstractNumId w:val="61"/>
  </w:num>
  <w:num w:numId="26">
    <w:abstractNumId w:val="23"/>
  </w:num>
  <w:num w:numId="27">
    <w:abstractNumId w:val="34"/>
  </w:num>
  <w:num w:numId="28">
    <w:abstractNumId w:val="32"/>
  </w:num>
  <w:num w:numId="29">
    <w:abstractNumId w:val="42"/>
  </w:num>
  <w:num w:numId="30">
    <w:abstractNumId w:val="3"/>
  </w:num>
  <w:num w:numId="31">
    <w:abstractNumId w:val="4"/>
  </w:num>
  <w:num w:numId="32">
    <w:abstractNumId w:val="66"/>
  </w:num>
  <w:num w:numId="33">
    <w:abstractNumId w:val="2"/>
  </w:num>
  <w:num w:numId="34">
    <w:abstractNumId w:val="44"/>
  </w:num>
  <w:num w:numId="35">
    <w:abstractNumId w:val="46"/>
  </w:num>
  <w:num w:numId="36">
    <w:abstractNumId w:val="1"/>
  </w:num>
  <w:num w:numId="37">
    <w:abstractNumId w:val="5"/>
  </w:num>
  <w:num w:numId="38">
    <w:abstractNumId w:val="33"/>
  </w:num>
  <w:num w:numId="39">
    <w:abstractNumId w:val="24"/>
  </w:num>
  <w:num w:numId="40">
    <w:abstractNumId w:val="6"/>
  </w:num>
  <w:num w:numId="41">
    <w:abstractNumId w:val="27"/>
  </w:num>
  <w:num w:numId="42">
    <w:abstractNumId w:val="39"/>
  </w:num>
  <w:num w:numId="43">
    <w:abstractNumId w:val="56"/>
  </w:num>
  <w:num w:numId="44">
    <w:abstractNumId w:val="65"/>
  </w:num>
  <w:num w:numId="45">
    <w:abstractNumId w:val="0"/>
  </w:num>
  <w:num w:numId="46">
    <w:abstractNumId w:val="48"/>
  </w:num>
  <w:num w:numId="47">
    <w:abstractNumId w:val="60"/>
  </w:num>
  <w:num w:numId="48">
    <w:abstractNumId w:val="63"/>
  </w:num>
  <w:num w:numId="49">
    <w:abstractNumId w:val="31"/>
  </w:num>
  <w:num w:numId="50">
    <w:abstractNumId w:val="43"/>
  </w:num>
  <w:num w:numId="51">
    <w:abstractNumId w:val="49"/>
  </w:num>
  <w:num w:numId="52">
    <w:abstractNumId w:val="7"/>
  </w:num>
  <w:num w:numId="53">
    <w:abstractNumId w:val="25"/>
  </w:num>
  <w:num w:numId="54">
    <w:abstractNumId w:val="40"/>
  </w:num>
  <w:num w:numId="55">
    <w:abstractNumId w:val="28"/>
  </w:num>
  <w:num w:numId="56">
    <w:abstractNumId w:val="18"/>
  </w:num>
  <w:num w:numId="57">
    <w:abstractNumId w:val="30"/>
  </w:num>
  <w:num w:numId="58">
    <w:abstractNumId w:val="64"/>
  </w:num>
  <w:num w:numId="59">
    <w:abstractNumId w:val="51"/>
  </w:num>
  <w:num w:numId="60">
    <w:abstractNumId w:val="58"/>
  </w:num>
  <w:num w:numId="61">
    <w:abstractNumId w:val="54"/>
  </w:num>
  <w:num w:numId="62">
    <w:abstractNumId w:val="38"/>
  </w:num>
  <w:num w:numId="63">
    <w:abstractNumId w:val="52"/>
  </w:num>
  <w:num w:numId="64">
    <w:abstractNumId w:val="35"/>
  </w:num>
  <w:num w:numId="65">
    <w:abstractNumId w:val="55"/>
  </w:num>
  <w:num w:numId="66">
    <w:abstractNumId w:val="22"/>
  </w:num>
  <w:num w:numId="6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mirrorMargins w:val="1"/>
  <w:bordersDoNotSurroundHeader w:val="1"/>
  <w:bordersDoNotSurroundFooter w:val="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9B7"/>
    <w:rsid w:val="00006548"/>
    <w:rsid w:val="00023F1B"/>
    <w:rsid w:val="00026E88"/>
    <w:rsid w:val="00027BD3"/>
    <w:rsid w:val="00031EEE"/>
    <w:rsid w:val="000327BE"/>
    <w:rsid w:val="00036B39"/>
    <w:rsid w:val="000372EA"/>
    <w:rsid w:val="00040BBF"/>
    <w:rsid w:val="00043421"/>
    <w:rsid w:val="00050E91"/>
    <w:rsid w:val="000512BC"/>
    <w:rsid w:val="00053FB5"/>
    <w:rsid w:val="000559B7"/>
    <w:rsid w:val="00056C67"/>
    <w:rsid w:val="00057549"/>
    <w:rsid w:val="00062274"/>
    <w:rsid w:val="000627E1"/>
    <w:rsid w:val="00067363"/>
    <w:rsid w:val="0006739E"/>
    <w:rsid w:val="00075DD9"/>
    <w:rsid w:val="000768C7"/>
    <w:rsid w:val="00076F59"/>
    <w:rsid w:val="0007774C"/>
    <w:rsid w:val="000806C8"/>
    <w:rsid w:val="00085E65"/>
    <w:rsid w:val="00086BF3"/>
    <w:rsid w:val="0008782B"/>
    <w:rsid w:val="00087B62"/>
    <w:rsid w:val="0009271F"/>
    <w:rsid w:val="0009648F"/>
    <w:rsid w:val="000A3504"/>
    <w:rsid w:val="000A4B2A"/>
    <w:rsid w:val="000A568D"/>
    <w:rsid w:val="000A6E5F"/>
    <w:rsid w:val="000B3878"/>
    <w:rsid w:val="000B6461"/>
    <w:rsid w:val="000B6ECB"/>
    <w:rsid w:val="000C21DC"/>
    <w:rsid w:val="000C2EFF"/>
    <w:rsid w:val="000D2D03"/>
    <w:rsid w:val="000D6560"/>
    <w:rsid w:val="000D6F39"/>
    <w:rsid w:val="000E2B29"/>
    <w:rsid w:val="000E7B1D"/>
    <w:rsid w:val="000F1341"/>
    <w:rsid w:val="000F2F18"/>
    <w:rsid w:val="00100FE9"/>
    <w:rsid w:val="00107EAE"/>
    <w:rsid w:val="00114DF9"/>
    <w:rsid w:val="001164EF"/>
    <w:rsid w:val="00123BF9"/>
    <w:rsid w:val="00127602"/>
    <w:rsid w:val="00140023"/>
    <w:rsid w:val="00143EC4"/>
    <w:rsid w:val="00144633"/>
    <w:rsid w:val="00146C3B"/>
    <w:rsid w:val="001517CF"/>
    <w:rsid w:val="00154459"/>
    <w:rsid w:val="00157736"/>
    <w:rsid w:val="00164C6D"/>
    <w:rsid w:val="00170B1F"/>
    <w:rsid w:val="00172236"/>
    <w:rsid w:val="00172991"/>
    <w:rsid w:val="00172A27"/>
    <w:rsid w:val="00173789"/>
    <w:rsid w:val="001748CC"/>
    <w:rsid w:val="0017737E"/>
    <w:rsid w:val="0018155E"/>
    <w:rsid w:val="00181E4C"/>
    <w:rsid w:val="001830DE"/>
    <w:rsid w:val="00195092"/>
    <w:rsid w:val="001963D7"/>
    <w:rsid w:val="001978F5"/>
    <w:rsid w:val="001A2F07"/>
    <w:rsid w:val="001A5BF9"/>
    <w:rsid w:val="001A7B59"/>
    <w:rsid w:val="001C1306"/>
    <w:rsid w:val="001C2054"/>
    <w:rsid w:val="001C3ADF"/>
    <w:rsid w:val="001D4F55"/>
    <w:rsid w:val="001D5AA4"/>
    <w:rsid w:val="001D71BA"/>
    <w:rsid w:val="001E17E3"/>
    <w:rsid w:val="001E1C7F"/>
    <w:rsid w:val="001E5AE3"/>
    <w:rsid w:val="001E6DDD"/>
    <w:rsid w:val="001F0E09"/>
    <w:rsid w:val="001F3BCE"/>
    <w:rsid w:val="001F50A3"/>
    <w:rsid w:val="001F724D"/>
    <w:rsid w:val="00212944"/>
    <w:rsid w:val="00216264"/>
    <w:rsid w:val="00226EDF"/>
    <w:rsid w:val="00227E52"/>
    <w:rsid w:val="002310FD"/>
    <w:rsid w:val="00235CB0"/>
    <w:rsid w:val="00241AA4"/>
    <w:rsid w:val="00247E6D"/>
    <w:rsid w:val="00264B0A"/>
    <w:rsid w:val="00264F03"/>
    <w:rsid w:val="00264F1D"/>
    <w:rsid w:val="00265FA8"/>
    <w:rsid w:val="00267674"/>
    <w:rsid w:val="002749E1"/>
    <w:rsid w:val="00277D91"/>
    <w:rsid w:val="00282758"/>
    <w:rsid w:val="00282FBE"/>
    <w:rsid w:val="00285681"/>
    <w:rsid w:val="00286599"/>
    <w:rsid w:val="00287FD8"/>
    <w:rsid w:val="002903E4"/>
    <w:rsid w:val="002917C0"/>
    <w:rsid w:val="0029190A"/>
    <w:rsid w:val="00291C9B"/>
    <w:rsid w:val="00293AA1"/>
    <w:rsid w:val="0029456A"/>
    <w:rsid w:val="002957EE"/>
    <w:rsid w:val="002A3BE2"/>
    <w:rsid w:val="002A4DD0"/>
    <w:rsid w:val="002A68DF"/>
    <w:rsid w:val="002A6B18"/>
    <w:rsid w:val="002B073D"/>
    <w:rsid w:val="002B778D"/>
    <w:rsid w:val="002B7F70"/>
    <w:rsid w:val="002C38C3"/>
    <w:rsid w:val="002C56FB"/>
    <w:rsid w:val="002C6C4A"/>
    <w:rsid w:val="002D1F0D"/>
    <w:rsid w:val="002D1FFC"/>
    <w:rsid w:val="002D2479"/>
    <w:rsid w:val="002D3BC3"/>
    <w:rsid w:val="002E08C1"/>
    <w:rsid w:val="002E1D7A"/>
    <w:rsid w:val="002E3452"/>
    <w:rsid w:val="002E5F3F"/>
    <w:rsid w:val="002E6024"/>
    <w:rsid w:val="002E7D89"/>
    <w:rsid w:val="002F1862"/>
    <w:rsid w:val="002F6A71"/>
    <w:rsid w:val="0030001F"/>
    <w:rsid w:val="00303CA5"/>
    <w:rsid w:val="00306944"/>
    <w:rsid w:val="00316CBA"/>
    <w:rsid w:val="0032122B"/>
    <w:rsid w:val="00324802"/>
    <w:rsid w:val="00326532"/>
    <w:rsid w:val="00330088"/>
    <w:rsid w:val="003325D1"/>
    <w:rsid w:val="00332BB2"/>
    <w:rsid w:val="00337CA1"/>
    <w:rsid w:val="00344FAA"/>
    <w:rsid w:val="00345AAC"/>
    <w:rsid w:val="0035200F"/>
    <w:rsid w:val="00355224"/>
    <w:rsid w:val="0036652F"/>
    <w:rsid w:val="00366B99"/>
    <w:rsid w:val="00373A57"/>
    <w:rsid w:val="003749DB"/>
    <w:rsid w:val="00377843"/>
    <w:rsid w:val="003779CC"/>
    <w:rsid w:val="0039249C"/>
    <w:rsid w:val="00397925"/>
    <w:rsid w:val="003A06C5"/>
    <w:rsid w:val="003A43A1"/>
    <w:rsid w:val="003A4F7B"/>
    <w:rsid w:val="003B65E2"/>
    <w:rsid w:val="003C0D4B"/>
    <w:rsid w:val="003C16D6"/>
    <w:rsid w:val="003C44DC"/>
    <w:rsid w:val="003C5C82"/>
    <w:rsid w:val="003D057F"/>
    <w:rsid w:val="003D636C"/>
    <w:rsid w:val="003E198B"/>
    <w:rsid w:val="003E1E6B"/>
    <w:rsid w:val="003E4714"/>
    <w:rsid w:val="003E7CE2"/>
    <w:rsid w:val="003F2DA8"/>
    <w:rsid w:val="003F4626"/>
    <w:rsid w:val="003F603C"/>
    <w:rsid w:val="003F764E"/>
    <w:rsid w:val="00401E35"/>
    <w:rsid w:val="00403CD4"/>
    <w:rsid w:val="00405B77"/>
    <w:rsid w:val="00406CC1"/>
    <w:rsid w:val="0040723D"/>
    <w:rsid w:val="0041207A"/>
    <w:rsid w:val="004149CE"/>
    <w:rsid w:val="00416FB8"/>
    <w:rsid w:val="004209C4"/>
    <w:rsid w:val="00426E8E"/>
    <w:rsid w:val="00431DEE"/>
    <w:rsid w:val="00432E01"/>
    <w:rsid w:val="004342AD"/>
    <w:rsid w:val="00436ECC"/>
    <w:rsid w:val="004377A4"/>
    <w:rsid w:val="004414E6"/>
    <w:rsid w:val="00442AFE"/>
    <w:rsid w:val="00447732"/>
    <w:rsid w:val="00447DDB"/>
    <w:rsid w:val="004548A9"/>
    <w:rsid w:val="004619AC"/>
    <w:rsid w:val="00463038"/>
    <w:rsid w:val="00463A10"/>
    <w:rsid w:val="00463C61"/>
    <w:rsid w:val="004659E0"/>
    <w:rsid w:val="00465B7B"/>
    <w:rsid w:val="00466FF2"/>
    <w:rsid w:val="00467339"/>
    <w:rsid w:val="00470981"/>
    <w:rsid w:val="00472455"/>
    <w:rsid w:val="00472E16"/>
    <w:rsid w:val="004826C9"/>
    <w:rsid w:val="0048668C"/>
    <w:rsid w:val="00490088"/>
    <w:rsid w:val="004959A6"/>
    <w:rsid w:val="004A009B"/>
    <w:rsid w:val="004A3243"/>
    <w:rsid w:val="004C4093"/>
    <w:rsid w:val="004C64AF"/>
    <w:rsid w:val="004D0182"/>
    <w:rsid w:val="004D0233"/>
    <w:rsid w:val="004D2C05"/>
    <w:rsid w:val="004D71B9"/>
    <w:rsid w:val="004E4A5B"/>
    <w:rsid w:val="004E7336"/>
    <w:rsid w:val="004F2763"/>
    <w:rsid w:val="004F2A8C"/>
    <w:rsid w:val="004F43A3"/>
    <w:rsid w:val="004F611C"/>
    <w:rsid w:val="00502789"/>
    <w:rsid w:val="0050545B"/>
    <w:rsid w:val="00506147"/>
    <w:rsid w:val="005134E3"/>
    <w:rsid w:val="00515AC9"/>
    <w:rsid w:val="005175BF"/>
    <w:rsid w:val="00517D40"/>
    <w:rsid w:val="00520DEA"/>
    <w:rsid w:val="00521E61"/>
    <w:rsid w:val="005272AE"/>
    <w:rsid w:val="00531EB6"/>
    <w:rsid w:val="005322CC"/>
    <w:rsid w:val="00532D32"/>
    <w:rsid w:val="0053303D"/>
    <w:rsid w:val="00534928"/>
    <w:rsid w:val="0053688D"/>
    <w:rsid w:val="00545827"/>
    <w:rsid w:val="0055724A"/>
    <w:rsid w:val="00562526"/>
    <w:rsid w:val="00563702"/>
    <w:rsid w:val="00573966"/>
    <w:rsid w:val="00573CAA"/>
    <w:rsid w:val="00592990"/>
    <w:rsid w:val="0059488F"/>
    <w:rsid w:val="005968C0"/>
    <w:rsid w:val="00596BBE"/>
    <w:rsid w:val="005A35D5"/>
    <w:rsid w:val="005A406C"/>
    <w:rsid w:val="005B437B"/>
    <w:rsid w:val="005B5E3E"/>
    <w:rsid w:val="005B7DC6"/>
    <w:rsid w:val="005C1723"/>
    <w:rsid w:val="005C4335"/>
    <w:rsid w:val="005D203A"/>
    <w:rsid w:val="005D5966"/>
    <w:rsid w:val="005E2446"/>
    <w:rsid w:val="005F27E6"/>
    <w:rsid w:val="005F3110"/>
    <w:rsid w:val="005F40CC"/>
    <w:rsid w:val="005F4423"/>
    <w:rsid w:val="005F4A05"/>
    <w:rsid w:val="00601445"/>
    <w:rsid w:val="00601577"/>
    <w:rsid w:val="00601FE1"/>
    <w:rsid w:val="006049FB"/>
    <w:rsid w:val="00611BD0"/>
    <w:rsid w:val="00613A7B"/>
    <w:rsid w:val="0061485D"/>
    <w:rsid w:val="0061695B"/>
    <w:rsid w:val="00627B80"/>
    <w:rsid w:val="00630366"/>
    <w:rsid w:val="00630EC5"/>
    <w:rsid w:val="00640186"/>
    <w:rsid w:val="006408DF"/>
    <w:rsid w:val="0065094C"/>
    <w:rsid w:val="00653C40"/>
    <w:rsid w:val="0065534D"/>
    <w:rsid w:val="00674639"/>
    <w:rsid w:val="0067650A"/>
    <w:rsid w:val="00677E34"/>
    <w:rsid w:val="00680E0F"/>
    <w:rsid w:val="00681079"/>
    <w:rsid w:val="00681844"/>
    <w:rsid w:val="006877F9"/>
    <w:rsid w:val="00695523"/>
    <w:rsid w:val="006A01D7"/>
    <w:rsid w:val="006A223E"/>
    <w:rsid w:val="006A448D"/>
    <w:rsid w:val="006A59BF"/>
    <w:rsid w:val="006A73E3"/>
    <w:rsid w:val="006B643E"/>
    <w:rsid w:val="006C3F52"/>
    <w:rsid w:val="006D12A2"/>
    <w:rsid w:val="006D5EC1"/>
    <w:rsid w:val="006D6D2B"/>
    <w:rsid w:val="006E4DBB"/>
    <w:rsid w:val="006E740A"/>
    <w:rsid w:val="006E7E4F"/>
    <w:rsid w:val="006F1FF9"/>
    <w:rsid w:val="006F39EF"/>
    <w:rsid w:val="0070054F"/>
    <w:rsid w:val="00700DE2"/>
    <w:rsid w:val="007031DA"/>
    <w:rsid w:val="00703927"/>
    <w:rsid w:val="0070478D"/>
    <w:rsid w:val="007064A5"/>
    <w:rsid w:val="007141B1"/>
    <w:rsid w:val="00715BD0"/>
    <w:rsid w:val="00721E68"/>
    <w:rsid w:val="007260F4"/>
    <w:rsid w:val="00727842"/>
    <w:rsid w:val="007341D7"/>
    <w:rsid w:val="00737436"/>
    <w:rsid w:val="0074016A"/>
    <w:rsid w:val="0074123E"/>
    <w:rsid w:val="00742121"/>
    <w:rsid w:val="00743CC7"/>
    <w:rsid w:val="0074732A"/>
    <w:rsid w:val="007532B7"/>
    <w:rsid w:val="00762D17"/>
    <w:rsid w:val="00767B2F"/>
    <w:rsid w:val="00771546"/>
    <w:rsid w:val="00773A5E"/>
    <w:rsid w:val="00775E39"/>
    <w:rsid w:val="00776408"/>
    <w:rsid w:val="00777A2D"/>
    <w:rsid w:val="0078233D"/>
    <w:rsid w:val="00782C5F"/>
    <w:rsid w:val="00792684"/>
    <w:rsid w:val="00792DBE"/>
    <w:rsid w:val="00795E45"/>
    <w:rsid w:val="007A264B"/>
    <w:rsid w:val="007A3A15"/>
    <w:rsid w:val="007A7829"/>
    <w:rsid w:val="007B224D"/>
    <w:rsid w:val="007B59B2"/>
    <w:rsid w:val="007C171D"/>
    <w:rsid w:val="007D2FAA"/>
    <w:rsid w:val="007D3168"/>
    <w:rsid w:val="007D3E4C"/>
    <w:rsid w:val="007D57EF"/>
    <w:rsid w:val="007E0043"/>
    <w:rsid w:val="007E0206"/>
    <w:rsid w:val="007E1A72"/>
    <w:rsid w:val="007E3F4F"/>
    <w:rsid w:val="007E6DAE"/>
    <w:rsid w:val="007F0955"/>
    <w:rsid w:val="007F69B9"/>
    <w:rsid w:val="00800596"/>
    <w:rsid w:val="00800F86"/>
    <w:rsid w:val="0080284C"/>
    <w:rsid w:val="00811C33"/>
    <w:rsid w:val="008145D4"/>
    <w:rsid w:val="00832699"/>
    <w:rsid w:val="008345DD"/>
    <w:rsid w:val="0083691B"/>
    <w:rsid w:val="00846D16"/>
    <w:rsid w:val="00850121"/>
    <w:rsid w:val="00852FD6"/>
    <w:rsid w:val="008540C0"/>
    <w:rsid w:val="00854E15"/>
    <w:rsid w:val="00857A70"/>
    <w:rsid w:val="00862997"/>
    <w:rsid w:val="00863A1D"/>
    <w:rsid w:val="00863FC8"/>
    <w:rsid w:val="0086798F"/>
    <w:rsid w:val="00867A45"/>
    <w:rsid w:val="008708FD"/>
    <w:rsid w:val="00875A10"/>
    <w:rsid w:val="00876547"/>
    <w:rsid w:val="00876C8D"/>
    <w:rsid w:val="00884680"/>
    <w:rsid w:val="0089112B"/>
    <w:rsid w:val="00891C0F"/>
    <w:rsid w:val="008950F1"/>
    <w:rsid w:val="00897C8E"/>
    <w:rsid w:val="008A682F"/>
    <w:rsid w:val="008B0DAD"/>
    <w:rsid w:val="008B255C"/>
    <w:rsid w:val="008B2991"/>
    <w:rsid w:val="008B2CD5"/>
    <w:rsid w:val="008B3967"/>
    <w:rsid w:val="008B3FB8"/>
    <w:rsid w:val="008B4532"/>
    <w:rsid w:val="008C0296"/>
    <w:rsid w:val="008C27D5"/>
    <w:rsid w:val="008C5347"/>
    <w:rsid w:val="008C5912"/>
    <w:rsid w:val="008D2560"/>
    <w:rsid w:val="008D383F"/>
    <w:rsid w:val="008E1AE0"/>
    <w:rsid w:val="008E351F"/>
    <w:rsid w:val="008F3CFF"/>
    <w:rsid w:val="008F69FC"/>
    <w:rsid w:val="00901DA3"/>
    <w:rsid w:val="00902649"/>
    <w:rsid w:val="00904BB4"/>
    <w:rsid w:val="00911439"/>
    <w:rsid w:val="0091784D"/>
    <w:rsid w:val="00917E12"/>
    <w:rsid w:val="009200D5"/>
    <w:rsid w:val="00930FF4"/>
    <w:rsid w:val="0093124A"/>
    <w:rsid w:val="00952D66"/>
    <w:rsid w:val="009535DF"/>
    <w:rsid w:val="0095659D"/>
    <w:rsid w:val="00960C76"/>
    <w:rsid w:val="009620D1"/>
    <w:rsid w:val="0096456D"/>
    <w:rsid w:val="0096648C"/>
    <w:rsid w:val="009676B1"/>
    <w:rsid w:val="009702D4"/>
    <w:rsid w:val="00971F04"/>
    <w:rsid w:val="009721AF"/>
    <w:rsid w:val="00973552"/>
    <w:rsid w:val="00973C00"/>
    <w:rsid w:val="00977E6D"/>
    <w:rsid w:val="0098140B"/>
    <w:rsid w:val="00983F89"/>
    <w:rsid w:val="0098601D"/>
    <w:rsid w:val="009865A7"/>
    <w:rsid w:val="009871E2"/>
    <w:rsid w:val="00994521"/>
    <w:rsid w:val="00995610"/>
    <w:rsid w:val="009A2C2B"/>
    <w:rsid w:val="009A367A"/>
    <w:rsid w:val="009A56A1"/>
    <w:rsid w:val="009C0704"/>
    <w:rsid w:val="009C36AA"/>
    <w:rsid w:val="009C682F"/>
    <w:rsid w:val="009D19E4"/>
    <w:rsid w:val="009D743E"/>
    <w:rsid w:val="009E0625"/>
    <w:rsid w:val="009E381E"/>
    <w:rsid w:val="009E57E6"/>
    <w:rsid w:val="009E723F"/>
    <w:rsid w:val="009F003B"/>
    <w:rsid w:val="009F6214"/>
    <w:rsid w:val="009F7CDF"/>
    <w:rsid w:val="00A07DA9"/>
    <w:rsid w:val="00A20151"/>
    <w:rsid w:val="00A329C9"/>
    <w:rsid w:val="00A342E2"/>
    <w:rsid w:val="00A35C5B"/>
    <w:rsid w:val="00A37B34"/>
    <w:rsid w:val="00A40CF5"/>
    <w:rsid w:val="00A470A7"/>
    <w:rsid w:val="00A473CC"/>
    <w:rsid w:val="00A505CD"/>
    <w:rsid w:val="00A53961"/>
    <w:rsid w:val="00A54B8F"/>
    <w:rsid w:val="00A56693"/>
    <w:rsid w:val="00A80817"/>
    <w:rsid w:val="00A81634"/>
    <w:rsid w:val="00A82202"/>
    <w:rsid w:val="00A832D8"/>
    <w:rsid w:val="00A87239"/>
    <w:rsid w:val="00A94542"/>
    <w:rsid w:val="00A97B21"/>
    <w:rsid w:val="00AA4903"/>
    <w:rsid w:val="00AA4BDA"/>
    <w:rsid w:val="00AB12B4"/>
    <w:rsid w:val="00AC053D"/>
    <w:rsid w:val="00AC06BB"/>
    <w:rsid w:val="00AC3ACC"/>
    <w:rsid w:val="00AD4F34"/>
    <w:rsid w:val="00AD78A6"/>
    <w:rsid w:val="00AD7991"/>
    <w:rsid w:val="00AD7ECC"/>
    <w:rsid w:val="00AE108D"/>
    <w:rsid w:val="00AE1DD2"/>
    <w:rsid w:val="00AE3FF9"/>
    <w:rsid w:val="00AE547B"/>
    <w:rsid w:val="00AE63B6"/>
    <w:rsid w:val="00AF2B0D"/>
    <w:rsid w:val="00AF2DD6"/>
    <w:rsid w:val="00AF4046"/>
    <w:rsid w:val="00AF56C4"/>
    <w:rsid w:val="00B00056"/>
    <w:rsid w:val="00B01D8B"/>
    <w:rsid w:val="00B0338D"/>
    <w:rsid w:val="00B0682B"/>
    <w:rsid w:val="00B06B22"/>
    <w:rsid w:val="00B06F9F"/>
    <w:rsid w:val="00B07B07"/>
    <w:rsid w:val="00B1112A"/>
    <w:rsid w:val="00B13E76"/>
    <w:rsid w:val="00B140AF"/>
    <w:rsid w:val="00B226E1"/>
    <w:rsid w:val="00B22783"/>
    <w:rsid w:val="00B23075"/>
    <w:rsid w:val="00B24932"/>
    <w:rsid w:val="00B3089C"/>
    <w:rsid w:val="00B34FFC"/>
    <w:rsid w:val="00B37C0E"/>
    <w:rsid w:val="00B454CA"/>
    <w:rsid w:val="00B47F30"/>
    <w:rsid w:val="00B52D10"/>
    <w:rsid w:val="00B55871"/>
    <w:rsid w:val="00B565EB"/>
    <w:rsid w:val="00B57291"/>
    <w:rsid w:val="00B57455"/>
    <w:rsid w:val="00B57F96"/>
    <w:rsid w:val="00B614B1"/>
    <w:rsid w:val="00B7241D"/>
    <w:rsid w:val="00B74D02"/>
    <w:rsid w:val="00B807AF"/>
    <w:rsid w:val="00B870E3"/>
    <w:rsid w:val="00B87D5A"/>
    <w:rsid w:val="00B90349"/>
    <w:rsid w:val="00B96CAB"/>
    <w:rsid w:val="00BA5DAB"/>
    <w:rsid w:val="00BA7C85"/>
    <w:rsid w:val="00BB5C3E"/>
    <w:rsid w:val="00BC3FC7"/>
    <w:rsid w:val="00BC68D8"/>
    <w:rsid w:val="00BC6C4C"/>
    <w:rsid w:val="00BD4A32"/>
    <w:rsid w:val="00BD5D35"/>
    <w:rsid w:val="00BE027D"/>
    <w:rsid w:val="00BE2E2D"/>
    <w:rsid w:val="00BF3DB8"/>
    <w:rsid w:val="00BF533F"/>
    <w:rsid w:val="00C028F3"/>
    <w:rsid w:val="00C048E2"/>
    <w:rsid w:val="00C064E6"/>
    <w:rsid w:val="00C1033B"/>
    <w:rsid w:val="00C10820"/>
    <w:rsid w:val="00C12F1C"/>
    <w:rsid w:val="00C14849"/>
    <w:rsid w:val="00C22264"/>
    <w:rsid w:val="00C231D9"/>
    <w:rsid w:val="00C26FF1"/>
    <w:rsid w:val="00C326E9"/>
    <w:rsid w:val="00C41431"/>
    <w:rsid w:val="00C422BC"/>
    <w:rsid w:val="00C508DD"/>
    <w:rsid w:val="00C531E8"/>
    <w:rsid w:val="00C54657"/>
    <w:rsid w:val="00C54D68"/>
    <w:rsid w:val="00C63371"/>
    <w:rsid w:val="00C64841"/>
    <w:rsid w:val="00C7294C"/>
    <w:rsid w:val="00C72E76"/>
    <w:rsid w:val="00C75555"/>
    <w:rsid w:val="00C758AC"/>
    <w:rsid w:val="00C7721B"/>
    <w:rsid w:val="00C80B64"/>
    <w:rsid w:val="00C825D9"/>
    <w:rsid w:val="00C9093C"/>
    <w:rsid w:val="00C91B21"/>
    <w:rsid w:val="00CA1496"/>
    <w:rsid w:val="00CA1A53"/>
    <w:rsid w:val="00CA612B"/>
    <w:rsid w:val="00CA6A4E"/>
    <w:rsid w:val="00CA6B09"/>
    <w:rsid w:val="00CB4B70"/>
    <w:rsid w:val="00CB5028"/>
    <w:rsid w:val="00CB5BB7"/>
    <w:rsid w:val="00CC015F"/>
    <w:rsid w:val="00CC19EC"/>
    <w:rsid w:val="00CC21B4"/>
    <w:rsid w:val="00CC4D8F"/>
    <w:rsid w:val="00CC71BE"/>
    <w:rsid w:val="00CE0378"/>
    <w:rsid w:val="00CE2CA7"/>
    <w:rsid w:val="00CF6414"/>
    <w:rsid w:val="00CF740D"/>
    <w:rsid w:val="00D00C3B"/>
    <w:rsid w:val="00D04AF8"/>
    <w:rsid w:val="00D05C7F"/>
    <w:rsid w:val="00D100B9"/>
    <w:rsid w:val="00D10F52"/>
    <w:rsid w:val="00D20260"/>
    <w:rsid w:val="00D27899"/>
    <w:rsid w:val="00D32102"/>
    <w:rsid w:val="00D33F1B"/>
    <w:rsid w:val="00D34DA8"/>
    <w:rsid w:val="00D41D73"/>
    <w:rsid w:val="00D453CB"/>
    <w:rsid w:val="00D46185"/>
    <w:rsid w:val="00D54241"/>
    <w:rsid w:val="00D560D2"/>
    <w:rsid w:val="00D569AA"/>
    <w:rsid w:val="00D65520"/>
    <w:rsid w:val="00D679FB"/>
    <w:rsid w:val="00D734EB"/>
    <w:rsid w:val="00D73BCE"/>
    <w:rsid w:val="00D75363"/>
    <w:rsid w:val="00D7602B"/>
    <w:rsid w:val="00D77681"/>
    <w:rsid w:val="00DA4E9D"/>
    <w:rsid w:val="00DB3DB0"/>
    <w:rsid w:val="00DB5820"/>
    <w:rsid w:val="00DB634B"/>
    <w:rsid w:val="00DB7C8F"/>
    <w:rsid w:val="00DC300E"/>
    <w:rsid w:val="00DC3684"/>
    <w:rsid w:val="00DC3EB5"/>
    <w:rsid w:val="00DC5920"/>
    <w:rsid w:val="00DC6613"/>
    <w:rsid w:val="00DD7DA3"/>
    <w:rsid w:val="00DE3517"/>
    <w:rsid w:val="00DE6C5C"/>
    <w:rsid w:val="00DE79D1"/>
    <w:rsid w:val="00DF3719"/>
    <w:rsid w:val="00DF3FF3"/>
    <w:rsid w:val="00DF4F9E"/>
    <w:rsid w:val="00E05C6A"/>
    <w:rsid w:val="00E05E73"/>
    <w:rsid w:val="00E12E32"/>
    <w:rsid w:val="00E23324"/>
    <w:rsid w:val="00E245C7"/>
    <w:rsid w:val="00E24FE8"/>
    <w:rsid w:val="00E307EE"/>
    <w:rsid w:val="00E30917"/>
    <w:rsid w:val="00E30BAD"/>
    <w:rsid w:val="00E33A22"/>
    <w:rsid w:val="00E34C70"/>
    <w:rsid w:val="00E376DF"/>
    <w:rsid w:val="00E5098B"/>
    <w:rsid w:val="00E558DE"/>
    <w:rsid w:val="00E638E4"/>
    <w:rsid w:val="00E706B4"/>
    <w:rsid w:val="00E70CC4"/>
    <w:rsid w:val="00E70F0F"/>
    <w:rsid w:val="00E72F21"/>
    <w:rsid w:val="00E73319"/>
    <w:rsid w:val="00E83142"/>
    <w:rsid w:val="00E87A23"/>
    <w:rsid w:val="00E96E93"/>
    <w:rsid w:val="00EB2524"/>
    <w:rsid w:val="00EB3718"/>
    <w:rsid w:val="00EC425F"/>
    <w:rsid w:val="00EC43FE"/>
    <w:rsid w:val="00ED0CF3"/>
    <w:rsid w:val="00ED1474"/>
    <w:rsid w:val="00ED4E11"/>
    <w:rsid w:val="00ED7098"/>
    <w:rsid w:val="00ED7CB8"/>
    <w:rsid w:val="00EE07C1"/>
    <w:rsid w:val="00EE1AF5"/>
    <w:rsid w:val="00EE4858"/>
    <w:rsid w:val="00EE4A1A"/>
    <w:rsid w:val="00EE6624"/>
    <w:rsid w:val="00EF4790"/>
    <w:rsid w:val="00F13F5E"/>
    <w:rsid w:val="00F172FB"/>
    <w:rsid w:val="00F17B6A"/>
    <w:rsid w:val="00F205BC"/>
    <w:rsid w:val="00F24C44"/>
    <w:rsid w:val="00F252F0"/>
    <w:rsid w:val="00F25CA4"/>
    <w:rsid w:val="00F3590F"/>
    <w:rsid w:val="00F4545A"/>
    <w:rsid w:val="00F5051B"/>
    <w:rsid w:val="00F53757"/>
    <w:rsid w:val="00F53C05"/>
    <w:rsid w:val="00F66499"/>
    <w:rsid w:val="00F72156"/>
    <w:rsid w:val="00F73EF2"/>
    <w:rsid w:val="00F8041E"/>
    <w:rsid w:val="00F8154F"/>
    <w:rsid w:val="00F863B5"/>
    <w:rsid w:val="00F866C4"/>
    <w:rsid w:val="00FA4F19"/>
    <w:rsid w:val="00FA6F43"/>
    <w:rsid w:val="00FA773B"/>
    <w:rsid w:val="00FB0BB5"/>
    <w:rsid w:val="00FB694E"/>
    <w:rsid w:val="00FB6A1E"/>
    <w:rsid w:val="00FB7FB0"/>
    <w:rsid w:val="00FC20D5"/>
    <w:rsid w:val="00FC52FA"/>
    <w:rsid w:val="00FC6CFC"/>
    <w:rsid w:val="00FD2859"/>
    <w:rsid w:val="00FD5114"/>
    <w:rsid w:val="00FD5CDA"/>
    <w:rsid w:val="00FD74B3"/>
    <w:rsid w:val="00FE0165"/>
    <w:rsid w:val="00FE15CE"/>
    <w:rsid w:val="00FE7F32"/>
    <w:rsid w:val="00FF4575"/>
    <w:rsid w:val="011B0B25"/>
    <w:rsid w:val="0144053A"/>
    <w:rsid w:val="016245C6"/>
    <w:rsid w:val="01A63D81"/>
    <w:rsid w:val="01D60C7A"/>
    <w:rsid w:val="01DE51F0"/>
    <w:rsid w:val="02CA3243"/>
    <w:rsid w:val="035E4919"/>
    <w:rsid w:val="0361265C"/>
    <w:rsid w:val="03807615"/>
    <w:rsid w:val="03E954F2"/>
    <w:rsid w:val="03FE77A6"/>
    <w:rsid w:val="041B16D3"/>
    <w:rsid w:val="05732EF5"/>
    <w:rsid w:val="057B002B"/>
    <w:rsid w:val="05F872A7"/>
    <w:rsid w:val="05FF6A84"/>
    <w:rsid w:val="06002436"/>
    <w:rsid w:val="061B1681"/>
    <w:rsid w:val="06586EC0"/>
    <w:rsid w:val="06F23CF7"/>
    <w:rsid w:val="0707624B"/>
    <w:rsid w:val="079528D4"/>
    <w:rsid w:val="0AAA348F"/>
    <w:rsid w:val="0B464614"/>
    <w:rsid w:val="0B525082"/>
    <w:rsid w:val="0B662015"/>
    <w:rsid w:val="0BB52CD9"/>
    <w:rsid w:val="0BB93713"/>
    <w:rsid w:val="0C152939"/>
    <w:rsid w:val="0D336E17"/>
    <w:rsid w:val="0D690A8B"/>
    <w:rsid w:val="0DBF68FD"/>
    <w:rsid w:val="0E546EA6"/>
    <w:rsid w:val="0F026AA1"/>
    <w:rsid w:val="10240C99"/>
    <w:rsid w:val="11CF7A33"/>
    <w:rsid w:val="11F223FE"/>
    <w:rsid w:val="11F254F3"/>
    <w:rsid w:val="120D1FEF"/>
    <w:rsid w:val="129815E6"/>
    <w:rsid w:val="12CF108A"/>
    <w:rsid w:val="130F057E"/>
    <w:rsid w:val="13545D39"/>
    <w:rsid w:val="13A14CD9"/>
    <w:rsid w:val="13A22600"/>
    <w:rsid w:val="13CB7DA9"/>
    <w:rsid w:val="1439510F"/>
    <w:rsid w:val="14830684"/>
    <w:rsid w:val="14956609"/>
    <w:rsid w:val="14F96B98"/>
    <w:rsid w:val="151B6B0E"/>
    <w:rsid w:val="158A65B6"/>
    <w:rsid w:val="165A18B8"/>
    <w:rsid w:val="169F69E3"/>
    <w:rsid w:val="17256193"/>
    <w:rsid w:val="18132686"/>
    <w:rsid w:val="18BE2885"/>
    <w:rsid w:val="18E84F59"/>
    <w:rsid w:val="195B6276"/>
    <w:rsid w:val="19AA562E"/>
    <w:rsid w:val="19E31A85"/>
    <w:rsid w:val="19EF056A"/>
    <w:rsid w:val="1A255818"/>
    <w:rsid w:val="1A4A0D37"/>
    <w:rsid w:val="1B3F48D8"/>
    <w:rsid w:val="1C37446B"/>
    <w:rsid w:val="1C732304"/>
    <w:rsid w:val="1C8D2F09"/>
    <w:rsid w:val="1CED7D39"/>
    <w:rsid w:val="1D152095"/>
    <w:rsid w:val="1DD05221"/>
    <w:rsid w:val="1F5F5950"/>
    <w:rsid w:val="20427645"/>
    <w:rsid w:val="21A63D06"/>
    <w:rsid w:val="21A96E8B"/>
    <w:rsid w:val="22115CEE"/>
    <w:rsid w:val="225839E6"/>
    <w:rsid w:val="231742F3"/>
    <w:rsid w:val="23403BE4"/>
    <w:rsid w:val="24193711"/>
    <w:rsid w:val="241C6861"/>
    <w:rsid w:val="24616C60"/>
    <w:rsid w:val="252C0C27"/>
    <w:rsid w:val="25962BD3"/>
    <w:rsid w:val="25B54105"/>
    <w:rsid w:val="25C96F1B"/>
    <w:rsid w:val="263E0ACD"/>
    <w:rsid w:val="26D703BB"/>
    <w:rsid w:val="26DC30FF"/>
    <w:rsid w:val="26ED02A3"/>
    <w:rsid w:val="277639BC"/>
    <w:rsid w:val="277A2F42"/>
    <w:rsid w:val="27CC5C16"/>
    <w:rsid w:val="28835D47"/>
    <w:rsid w:val="28A56BE2"/>
    <w:rsid w:val="29802F8C"/>
    <w:rsid w:val="29842A7C"/>
    <w:rsid w:val="29BA0E0D"/>
    <w:rsid w:val="29FD5562"/>
    <w:rsid w:val="2A1C56CF"/>
    <w:rsid w:val="2A346694"/>
    <w:rsid w:val="2A510485"/>
    <w:rsid w:val="2ACE0541"/>
    <w:rsid w:val="2B026F5A"/>
    <w:rsid w:val="2B0B4AD7"/>
    <w:rsid w:val="2B4F0E68"/>
    <w:rsid w:val="2C1206B3"/>
    <w:rsid w:val="2C197A3A"/>
    <w:rsid w:val="2CE67CEA"/>
    <w:rsid w:val="2D723A8C"/>
    <w:rsid w:val="2D990AC0"/>
    <w:rsid w:val="2E205372"/>
    <w:rsid w:val="2F47525C"/>
    <w:rsid w:val="2F641CB6"/>
    <w:rsid w:val="2F8A6913"/>
    <w:rsid w:val="31E90D17"/>
    <w:rsid w:val="32AA3B05"/>
    <w:rsid w:val="330A108E"/>
    <w:rsid w:val="3322573C"/>
    <w:rsid w:val="33ED25D8"/>
    <w:rsid w:val="33FC5905"/>
    <w:rsid w:val="346F6012"/>
    <w:rsid w:val="34E560EF"/>
    <w:rsid w:val="350475D9"/>
    <w:rsid w:val="352C1A84"/>
    <w:rsid w:val="35F33B12"/>
    <w:rsid w:val="36190A39"/>
    <w:rsid w:val="368A747F"/>
    <w:rsid w:val="3768578B"/>
    <w:rsid w:val="38156E11"/>
    <w:rsid w:val="383F5545"/>
    <w:rsid w:val="386D6236"/>
    <w:rsid w:val="39266D72"/>
    <w:rsid w:val="3A5405D4"/>
    <w:rsid w:val="3A597EEE"/>
    <w:rsid w:val="3A6854CC"/>
    <w:rsid w:val="3A7A6CD8"/>
    <w:rsid w:val="3AB962FE"/>
    <w:rsid w:val="3ADC4690"/>
    <w:rsid w:val="3B2C1E2E"/>
    <w:rsid w:val="3B791AE1"/>
    <w:rsid w:val="3BB569EA"/>
    <w:rsid w:val="3BC431AC"/>
    <w:rsid w:val="3D14541C"/>
    <w:rsid w:val="3D63518B"/>
    <w:rsid w:val="3D864CA5"/>
    <w:rsid w:val="3E021B84"/>
    <w:rsid w:val="3E2B6501"/>
    <w:rsid w:val="3E3A7B6A"/>
    <w:rsid w:val="3E566FDA"/>
    <w:rsid w:val="3EEC6CA2"/>
    <w:rsid w:val="3EF20030"/>
    <w:rsid w:val="3F76656C"/>
    <w:rsid w:val="4004001B"/>
    <w:rsid w:val="41D61543"/>
    <w:rsid w:val="41E719A3"/>
    <w:rsid w:val="4202336B"/>
    <w:rsid w:val="43994DEF"/>
    <w:rsid w:val="43C745C6"/>
    <w:rsid w:val="43DC57EB"/>
    <w:rsid w:val="45BF763D"/>
    <w:rsid w:val="45D65DD5"/>
    <w:rsid w:val="46067815"/>
    <w:rsid w:val="46146E27"/>
    <w:rsid w:val="46443025"/>
    <w:rsid w:val="46A56C9A"/>
    <w:rsid w:val="46F0768F"/>
    <w:rsid w:val="47B06AE0"/>
    <w:rsid w:val="48435459"/>
    <w:rsid w:val="48E22EC4"/>
    <w:rsid w:val="492139EC"/>
    <w:rsid w:val="492E7EB7"/>
    <w:rsid w:val="496658A3"/>
    <w:rsid w:val="4A007CA6"/>
    <w:rsid w:val="4A9621B8"/>
    <w:rsid w:val="4B5244FB"/>
    <w:rsid w:val="4BC5226D"/>
    <w:rsid w:val="4C245794"/>
    <w:rsid w:val="4C58219F"/>
    <w:rsid w:val="4C8A2589"/>
    <w:rsid w:val="4CE51E03"/>
    <w:rsid w:val="4D0F7FFF"/>
    <w:rsid w:val="4D603D38"/>
    <w:rsid w:val="4DB02184"/>
    <w:rsid w:val="4E3567F8"/>
    <w:rsid w:val="4E682123"/>
    <w:rsid w:val="4F2C420B"/>
    <w:rsid w:val="4F5C1F00"/>
    <w:rsid w:val="50724B2D"/>
    <w:rsid w:val="515F7FB5"/>
    <w:rsid w:val="519E749A"/>
    <w:rsid w:val="52B4142D"/>
    <w:rsid w:val="52EA2E32"/>
    <w:rsid w:val="5305633A"/>
    <w:rsid w:val="54DB3D8A"/>
    <w:rsid w:val="54EB4B10"/>
    <w:rsid w:val="55D87E1A"/>
    <w:rsid w:val="55F02C3F"/>
    <w:rsid w:val="569422E7"/>
    <w:rsid w:val="56B0249A"/>
    <w:rsid w:val="570606C5"/>
    <w:rsid w:val="57CD7C9C"/>
    <w:rsid w:val="581806B0"/>
    <w:rsid w:val="587E2031"/>
    <w:rsid w:val="5A4968FF"/>
    <w:rsid w:val="5AEC07B1"/>
    <w:rsid w:val="5B086949"/>
    <w:rsid w:val="5B61411C"/>
    <w:rsid w:val="5BAA241B"/>
    <w:rsid w:val="5BFE29CB"/>
    <w:rsid w:val="5D242550"/>
    <w:rsid w:val="5D385C1E"/>
    <w:rsid w:val="5E4D2736"/>
    <w:rsid w:val="5F8B79B9"/>
    <w:rsid w:val="5FCF765E"/>
    <w:rsid w:val="601F7B18"/>
    <w:rsid w:val="6042276E"/>
    <w:rsid w:val="60481775"/>
    <w:rsid w:val="615074AC"/>
    <w:rsid w:val="615650C1"/>
    <w:rsid w:val="61662F4A"/>
    <w:rsid w:val="616B0331"/>
    <w:rsid w:val="625D051C"/>
    <w:rsid w:val="62750315"/>
    <w:rsid w:val="6281732A"/>
    <w:rsid w:val="62C642C8"/>
    <w:rsid w:val="63350368"/>
    <w:rsid w:val="63BD660D"/>
    <w:rsid w:val="645D0E1F"/>
    <w:rsid w:val="646709F5"/>
    <w:rsid w:val="64B4458E"/>
    <w:rsid w:val="64EA33D4"/>
    <w:rsid w:val="651B3B31"/>
    <w:rsid w:val="660B715E"/>
    <w:rsid w:val="664E7A35"/>
    <w:rsid w:val="66882EA5"/>
    <w:rsid w:val="689C7B61"/>
    <w:rsid w:val="68C10AB1"/>
    <w:rsid w:val="68D65D77"/>
    <w:rsid w:val="69435D4B"/>
    <w:rsid w:val="69977340"/>
    <w:rsid w:val="69F36887"/>
    <w:rsid w:val="69FB2DF3"/>
    <w:rsid w:val="69FF659D"/>
    <w:rsid w:val="6A331379"/>
    <w:rsid w:val="6A7D1B4B"/>
    <w:rsid w:val="6B7F5F36"/>
    <w:rsid w:val="6BC87852"/>
    <w:rsid w:val="6BE12631"/>
    <w:rsid w:val="6C485B75"/>
    <w:rsid w:val="6CE74A1C"/>
    <w:rsid w:val="6DDE15FC"/>
    <w:rsid w:val="6E3A0F28"/>
    <w:rsid w:val="6E5D0773"/>
    <w:rsid w:val="6E7F4B8D"/>
    <w:rsid w:val="6ED543C4"/>
    <w:rsid w:val="6FAC3CC5"/>
    <w:rsid w:val="70694E9A"/>
    <w:rsid w:val="70C924BF"/>
    <w:rsid w:val="71326873"/>
    <w:rsid w:val="71514D49"/>
    <w:rsid w:val="71AA0956"/>
    <w:rsid w:val="71ED4704"/>
    <w:rsid w:val="72534367"/>
    <w:rsid w:val="72B64784"/>
    <w:rsid w:val="72F00A08"/>
    <w:rsid w:val="731C29AB"/>
    <w:rsid w:val="733E5A47"/>
    <w:rsid w:val="73FD5056"/>
    <w:rsid w:val="74936C9D"/>
    <w:rsid w:val="749F1AE5"/>
    <w:rsid w:val="74C03BD9"/>
    <w:rsid w:val="750F11F3"/>
    <w:rsid w:val="75371BE9"/>
    <w:rsid w:val="756C2A6D"/>
    <w:rsid w:val="75915258"/>
    <w:rsid w:val="75D91268"/>
    <w:rsid w:val="770B113A"/>
    <w:rsid w:val="77867581"/>
    <w:rsid w:val="77C96446"/>
    <w:rsid w:val="78006D3F"/>
    <w:rsid w:val="78335066"/>
    <w:rsid w:val="78717890"/>
    <w:rsid w:val="787E78B5"/>
    <w:rsid w:val="78894193"/>
    <w:rsid w:val="78E2530E"/>
    <w:rsid w:val="79440A11"/>
    <w:rsid w:val="7AD84585"/>
    <w:rsid w:val="7B746852"/>
    <w:rsid w:val="7BB30068"/>
    <w:rsid w:val="7BC671BC"/>
    <w:rsid w:val="7BC9569A"/>
    <w:rsid w:val="7BF020F6"/>
    <w:rsid w:val="7BFF2EF7"/>
    <w:rsid w:val="7CCC27CB"/>
    <w:rsid w:val="7D034BDB"/>
    <w:rsid w:val="7D752BAC"/>
    <w:rsid w:val="7DAA3537"/>
    <w:rsid w:val="7DEC2599"/>
    <w:rsid w:val="7E9F6A55"/>
    <w:rsid w:val="7F3F78C7"/>
    <w:rsid w:val="7FD16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outlineLvl w:val="3"/>
    </w:pPr>
    <w:rPr>
      <w:rFonts w:ascii="Arial" w:hAnsi="Arial" w:eastAsia="黑体"/>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1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4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qFormat/>
    <w:uiPriority w:val="39"/>
    <w:pPr>
      <w:ind w:left="500" w:leftChars="500"/>
    </w:pPr>
  </w:style>
  <w:style w:type="paragraph" w:styleId="14">
    <w:name w:val="toc 6"/>
    <w:basedOn w:val="15"/>
    <w:next w:val="1"/>
    <w:qFormat/>
    <w:uiPriority w:val="39"/>
    <w:pPr>
      <w:ind w:left="400" w:leftChars="400"/>
    </w:pPr>
  </w:style>
  <w:style w:type="paragraph" w:styleId="15">
    <w:name w:val="toc 5"/>
    <w:basedOn w:val="16"/>
    <w:next w:val="1"/>
    <w:qFormat/>
    <w:uiPriority w:val="39"/>
    <w:pPr>
      <w:ind w:left="300" w:leftChars="300"/>
    </w:pPr>
  </w:style>
  <w:style w:type="paragraph" w:styleId="16">
    <w:name w:val="toc 4"/>
    <w:basedOn w:val="17"/>
    <w:next w:val="1"/>
    <w:qFormat/>
    <w:uiPriority w:val="39"/>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3"/>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42"/>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65"/>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52"/>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40"/>
    <w:semiHidden/>
    <w:unhideWhenUsed/>
    <w:qFormat/>
    <w:uiPriority w:val="99"/>
  </w:style>
  <w:style w:type="paragraph" w:styleId="37">
    <w:name w:val="Body Text 3"/>
    <w:basedOn w:val="1"/>
    <w:link w:val="480"/>
    <w:semiHidden/>
    <w:unhideWhenUsed/>
    <w:qFormat/>
    <w:uiPriority w:val="99"/>
    <w:pPr>
      <w:spacing w:after="120"/>
    </w:pPr>
    <w:rPr>
      <w:sz w:val="16"/>
      <w:szCs w:val="16"/>
    </w:rPr>
  </w:style>
  <w:style w:type="paragraph" w:styleId="38">
    <w:name w:val="Closing"/>
    <w:basedOn w:val="1"/>
    <w:link w:val="345"/>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14"/>
    <w:semiHidden/>
    <w:unhideWhenUsed/>
    <w:qFormat/>
    <w:uiPriority w:val="99"/>
    <w:pPr>
      <w:spacing w:after="120"/>
    </w:pPr>
  </w:style>
  <w:style w:type="paragraph" w:styleId="41">
    <w:name w:val="Body Text Indent"/>
    <w:basedOn w:val="1"/>
    <w:link w:val="477"/>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41"/>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qFormat/>
    <w:uiPriority w:val="39"/>
  </w:style>
  <w:style w:type="paragraph" w:styleId="53">
    <w:name w:val="index 3"/>
    <w:basedOn w:val="1"/>
    <w:next w:val="1"/>
    <w:semiHidden/>
    <w:unhideWhenUsed/>
    <w:qFormat/>
    <w:uiPriority w:val="99"/>
    <w:pPr>
      <w:ind w:left="400" w:leftChars="400"/>
    </w:pPr>
  </w:style>
  <w:style w:type="paragraph" w:styleId="54">
    <w:name w:val="Date"/>
    <w:basedOn w:val="1"/>
    <w:next w:val="1"/>
    <w:link w:val="410"/>
    <w:semiHidden/>
    <w:unhideWhenUsed/>
    <w:qFormat/>
    <w:uiPriority w:val="99"/>
    <w:pPr>
      <w:ind w:left="100" w:leftChars="2500"/>
    </w:pPr>
  </w:style>
  <w:style w:type="paragraph" w:styleId="55">
    <w:name w:val="Body Text Indent 2"/>
    <w:basedOn w:val="1"/>
    <w:link w:val="481"/>
    <w:semiHidden/>
    <w:unhideWhenUsed/>
    <w:qFormat/>
    <w:uiPriority w:val="99"/>
    <w:pPr>
      <w:spacing w:after="120" w:line="480" w:lineRule="auto"/>
      <w:ind w:left="420" w:leftChars="200"/>
    </w:pPr>
  </w:style>
  <w:style w:type="paragraph" w:styleId="56">
    <w:name w:val="endnote text"/>
    <w:basedOn w:val="1"/>
    <w:link w:val="464"/>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51"/>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54"/>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4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2"/>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qFormat/>
    <w:uiPriority w:val="39"/>
  </w:style>
  <w:style w:type="paragraph" w:styleId="76">
    <w:name w:val="Body Text 2"/>
    <w:basedOn w:val="1"/>
    <w:link w:val="479"/>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53"/>
    <w:semiHidden/>
    <w:unhideWhenUsed/>
    <w:qFormat/>
    <w:uiPriority w:val="99"/>
    <w:rPr>
      <w:b/>
      <w:bCs/>
    </w:rPr>
  </w:style>
  <w:style w:type="paragraph" w:styleId="86">
    <w:name w:val="Body Text First Indent"/>
    <w:basedOn w:val="40"/>
    <w:link w:val="476"/>
    <w:semiHidden/>
    <w:unhideWhenUsed/>
    <w:qFormat/>
    <w:uiPriority w:val="99"/>
    <w:pPr>
      <w:ind w:firstLine="420" w:firstLineChars="100"/>
    </w:pPr>
  </w:style>
  <w:style w:type="paragraph" w:styleId="87">
    <w:name w:val="Body Text First Indent 2"/>
    <w:basedOn w:val="41"/>
    <w:link w:val="478"/>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2"/>
    <w:basedOn w:val="88"/>
    <w:semiHidden/>
    <w:unhideWhenUsed/>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4">
    <w:name w:val="Light Shading Accent 3"/>
    <w:basedOn w:val="88"/>
    <w:semiHidden/>
    <w:unhideWhenUsed/>
    <w:qFormat/>
    <w:uiPriority w:val="60"/>
    <w:rPr>
      <w:color w:val="7B7B7B"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5">
    <w:name w:val="Light Shading Accent 4"/>
    <w:basedOn w:val="88"/>
    <w:semiHidden/>
    <w:unhideWhenUsed/>
    <w:qFormat/>
    <w:uiPriority w:val="60"/>
    <w:rPr>
      <w:color w:val="BE8F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6">
    <w:name w:val="Light Shading Accent 5"/>
    <w:basedOn w:val="88"/>
    <w:semiHidden/>
    <w:unhideWhenUsed/>
    <w:qFormat/>
    <w:uiPriority w:val="60"/>
    <w:rPr>
      <w:color w:val="2F5496"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7">
    <w:name w:val="Light Shading Accent 6"/>
    <w:basedOn w:val="88"/>
    <w:semiHidden/>
    <w:unhideWhenUsed/>
    <w:qFormat/>
    <w:uiPriority w:val="60"/>
    <w:rPr>
      <w:color w:val="5381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8">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9">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0">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1">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2">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3">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4">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5">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6">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47">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8">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9">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0">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1">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52">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8">
    <w:name w:val="Medium List 1 Accent 2"/>
    <w:basedOn w:val="88"/>
    <w:semiHidden/>
    <w:unhideWhenUsed/>
    <w:qFormat/>
    <w:uiPriority w:val="65"/>
    <w:rPr>
      <w:color w:val="000000" w:themeColor="text1"/>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9">
    <w:name w:val="Medium List 1 Accent 3"/>
    <w:basedOn w:val="88"/>
    <w:semiHidden/>
    <w:unhideWhenUsed/>
    <w:qFormat/>
    <w:uiPriority w:val="65"/>
    <w:rPr>
      <w:color w:val="000000" w:themeColor="text1"/>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60">
    <w:name w:val="Medium List 1 Accent 4"/>
    <w:basedOn w:val="88"/>
    <w:semiHidden/>
    <w:unhideWhenUsed/>
    <w:qFormat/>
    <w:uiPriority w:val="65"/>
    <w:rPr>
      <w:color w:val="000000" w:themeColor="text1"/>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61">
    <w:name w:val="Medium List 1 Accent 5"/>
    <w:basedOn w:val="88"/>
    <w:semiHidden/>
    <w:unhideWhenUsed/>
    <w:qFormat/>
    <w:uiPriority w:val="65"/>
    <w:rPr>
      <w:color w:val="000000" w:themeColor="text1"/>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62">
    <w:name w:val="Medium List 1 Accent 6"/>
    <w:basedOn w:val="88"/>
    <w:semiHidden/>
    <w:unhideWhenUsed/>
    <w:qFormat/>
    <w:uiPriority w:val="65"/>
    <w:rPr>
      <w:color w:val="000000" w:themeColor="text1"/>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3">
    <w:name w:val="Medium List 2 Accent 1"/>
    <w:basedOn w:val="88"/>
    <w:semiHidden/>
    <w:unhideWhenUsed/>
    <w:qFormat/>
    <w:uiPriority w:val="66"/>
    <w:rPr>
      <w:rFonts w:asciiTheme="majorHAnsi" w:hAnsiTheme="majorHAnsi" w:eastAsiaTheme="majorEastAsia" w:cstheme="majorBidi"/>
      <w:color w:val="000000" w:themeColor="text1"/>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2"/>
    <w:basedOn w:val="88"/>
    <w:semiHidden/>
    <w:unhideWhenUsed/>
    <w:qFormat/>
    <w:uiPriority w:val="66"/>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3"/>
    <w:basedOn w:val="88"/>
    <w:semiHidden/>
    <w:unhideWhenUsed/>
    <w:qFormat/>
    <w:uiPriority w:val="66"/>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4"/>
    <w:basedOn w:val="88"/>
    <w:semiHidden/>
    <w:unhideWhenUsed/>
    <w:qFormat/>
    <w:uiPriority w:val="66"/>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List 2 Accent 5"/>
    <w:basedOn w:val="88"/>
    <w:semiHidden/>
    <w:unhideWhenUsed/>
    <w:qFormat/>
    <w:uiPriority w:val="66"/>
    <w:rPr>
      <w:rFonts w:asciiTheme="majorHAnsi" w:hAnsiTheme="majorHAnsi" w:eastAsiaTheme="majorEastAsia" w:cstheme="majorBidi"/>
      <w:color w:val="000000" w:themeColor="text1"/>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8">
    <w:name w:val="Medium List 2 Accent 6"/>
    <w:basedOn w:val="88"/>
    <w:semiHidden/>
    <w:unhideWhenUsed/>
    <w:qFormat/>
    <w:uiPriority w:val="66"/>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9">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70">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71">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2">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3">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74">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5">
    <w:name w:val="Medium Grid 2 Accent 1"/>
    <w:basedOn w:val="88"/>
    <w:semiHidden/>
    <w:unhideWhenUsed/>
    <w:qFormat/>
    <w:uiPriority w:val="68"/>
    <w:rPr>
      <w:rFonts w:asciiTheme="majorHAnsi" w:hAnsiTheme="majorHAnsi" w:eastAsiaTheme="majorEastAsia" w:cstheme="majorBidi"/>
      <w:color w:val="000000" w:themeColor="text1"/>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A"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76">
    <w:name w:val="Medium Grid 2 Accent 2"/>
    <w:basedOn w:val="88"/>
    <w:semiHidden/>
    <w:unhideWhenUsed/>
    <w:qFormat/>
    <w:uiPriority w:val="68"/>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7">
    <w:name w:val="Medium Grid 2 Accent 3"/>
    <w:basedOn w:val="88"/>
    <w:semiHidden/>
    <w:unhideWhenUsed/>
    <w:qFormat/>
    <w:uiPriority w:val="68"/>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8">
    <w:name w:val="Medium Grid 2 Accent 4"/>
    <w:basedOn w:val="88"/>
    <w:semiHidden/>
    <w:unhideWhenUsed/>
    <w:qFormat/>
    <w:uiPriority w:val="68"/>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rPr>
      <w:tblPr/>
      <w:tcPr>
        <w:shd w:val="clear" w:color="auto" w:fill="FFF8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9">
    <w:name w:val="Medium Grid 2 Accent 5"/>
    <w:basedOn w:val="88"/>
    <w:semiHidden/>
    <w:unhideWhenUsed/>
    <w:qFormat/>
    <w:uiPriority w:val="68"/>
    <w:rPr>
      <w:rFonts w:asciiTheme="majorHAnsi" w:hAnsiTheme="majorHAnsi" w:eastAsiaTheme="majorEastAsia" w:cstheme="majorBidi"/>
      <w:color w:val="000000" w:themeColor="text1"/>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80">
    <w:name w:val="Medium Grid 2 Accent 6"/>
    <w:basedOn w:val="88"/>
    <w:semiHidden/>
    <w:unhideWhenUsed/>
    <w:qFormat/>
    <w:uiPriority w:val="68"/>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81">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82">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3">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4">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5">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186">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7">
    <w:name w:val="Dark List Accent 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188">
    <w:name w:val="Dark List Accent 2"/>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9">
    <w:name w:val="Dark List Accent 3"/>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90">
    <w:name w:val="Dark List Accent 4"/>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91">
    <w:name w:val="Dark List Accent 5"/>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92">
    <w:name w:val="Dark List Accent 6"/>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3">
    <w:name w:val="Colorful Shading Accent 1"/>
    <w:basedOn w:val="88"/>
    <w:semiHidden/>
    <w:unhideWhenUsed/>
    <w:qFormat/>
    <w:uiPriority w:val="71"/>
    <w:rPr>
      <w:color w:val="000000" w:themeColor="text1"/>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rPr>
    </w:tblStylePr>
    <w:tblStylePr w:type="nwCell">
      <w:rPr>
        <w:color w:val="000000" w:themeColor="text1"/>
      </w:rPr>
    </w:tblStylePr>
  </w:style>
  <w:style w:type="table" w:styleId="194">
    <w:name w:val="Colorful Shading Accent 2"/>
    <w:basedOn w:val="88"/>
    <w:semiHidden/>
    <w:unhideWhenUsed/>
    <w:qFormat/>
    <w:uiPriority w:val="71"/>
    <w:rPr>
      <w:color w:val="000000" w:themeColor="text1"/>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80D"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95">
    <w:name w:val="Colorful Shading Accent 3"/>
    <w:basedOn w:val="88"/>
    <w:semiHidden/>
    <w:unhideWhenUsed/>
    <w:qFormat/>
    <w:uiPriority w:val="71"/>
    <w:rPr>
      <w:color w:val="000000" w:themeColor="text1"/>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26262"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6">
    <w:name w:val="Colorful Shading Accent 4"/>
    <w:basedOn w:val="88"/>
    <w:semiHidden/>
    <w:unhideWhenUsed/>
    <w:qFormat/>
    <w:uiPriority w:val="71"/>
    <w:rPr>
      <w:color w:val="000000" w:themeColor="text1"/>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rPr>
    </w:tblStylePr>
    <w:tblStylePr w:type="nwCell">
      <w:rPr>
        <w:color w:val="000000" w:themeColor="text1"/>
      </w:rPr>
    </w:tblStylePr>
  </w:style>
  <w:style w:type="table" w:styleId="197">
    <w:name w:val="Colorful Shading Accent 5"/>
    <w:basedOn w:val="88"/>
    <w:semiHidden/>
    <w:unhideWhenUsed/>
    <w:qFormat/>
    <w:uiPriority w:val="71"/>
    <w:rPr>
      <w:color w:val="000000" w:themeColor="text1"/>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4378"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98">
    <w:name w:val="Colorful Shading Accent 6"/>
    <w:basedOn w:val="88"/>
    <w:semiHidden/>
    <w:unhideWhenUsed/>
    <w:qFormat/>
    <w:uiPriority w:val="71"/>
    <w:rPr>
      <w:color w:val="000000" w:themeColor="text1"/>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rPr>
    </w:tblStylePr>
    <w:tblStylePr w:type="nwCell">
      <w:rPr>
        <w:color w:val="000000" w:themeColor="text1"/>
      </w:rPr>
    </w:tblStylePr>
  </w:style>
  <w:style w:type="table" w:styleId="199">
    <w:name w:val="Colorful List Accent 1"/>
    <w:basedOn w:val="88"/>
    <w:semiHidden/>
    <w:unhideWhenUsed/>
    <w:qFormat/>
    <w:uiPriority w:val="72"/>
    <w:rPr>
      <w:color w:val="000000" w:themeColor="text1"/>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0">
    <w:name w:val="Colorful List Accent 2"/>
    <w:basedOn w:val="88"/>
    <w:semiHidden/>
    <w:unhideWhenUsed/>
    <w:qFormat/>
    <w:uiPriority w:val="72"/>
    <w:rPr>
      <w:color w:val="000000" w:themeColor="text1"/>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01">
    <w:name w:val="Colorful List Accent 3"/>
    <w:basedOn w:val="88"/>
    <w:semiHidden/>
    <w:unhideWhenUsed/>
    <w:qFormat/>
    <w:uiPriority w:val="72"/>
    <w:rPr>
      <w:color w:val="000000" w:themeColor="text1"/>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2">
    <w:name w:val="Colorful List Accent 4"/>
    <w:basedOn w:val="88"/>
    <w:semiHidden/>
    <w:unhideWhenUsed/>
    <w:qFormat/>
    <w:uiPriority w:val="72"/>
    <w:rPr>
      <w:color w:val="000000" w:themeColor="text1"/>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rPr>
      <w:tblPr/>
      <w:tcPr>
        <w:tcBorders>
          <w:bottom w:val="single" w:color="FFFFFF" w:themeColor="background1" w:sz="12" w:space="0"/>
        </w:tcBorders>
        <w:shd w:val="clear" w:color="auto" w:fill="838383" w:themeFill="accent3" w:themeFillShade="CC"/>
      </w:tcPr>
    </w:tblStylePr>
    <w:tblStylePr w:type="lastRow">
      <w:rPr>
        <w:b/>
        <w:bCs/>
        <w:color w:val="838383"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3">
    <w:name w:val="Colorful List Accent 5"/>
    <w:basedOn w:val="88"/>
    <w:semiHidden/>
    <w:unhideWhenUsed/>
    <w:qFormat/>
    <w:uiPriority w:val="72"/>
    <w:rPr>
      <w:color w:val="000000" w:themeColor="text1"/>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04">
    <w:name w:val="Colorful List Accent 6"/>
    <w:basedOn w:val="88"/>
    <w:semiHidden/>
    <w:unhideWhenUsed/>
    <w:qFormat/>
    <w:uiPriority w:val="72"/>
    <w:rPr>
      <w:color w:val="000000" w:themeColor="text1"/>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AA0" w:themeFill="accent5" w:themeFillShade="CC"/>
      </w:tcPr>
    </w:tblStylePr>
    <w:tblStylePr w:type="lastRow">
      <w:rPr>
        <w:b/>
        <w:bCs/>
        <w:color w:val="325A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5">
    <w:name w:val="Colorful Grid Accent 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5B5" w:themeFill="accent1" w:themeFillShade="BF"/>
      </w:tcPr>
    </w:tblStylePr>
    <w:tblStylePr w:type="lastCol">
      <w:rPr>
        <w:color w:val="FFFFFF" w:themeColor="background1"/>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06">
    <w:name w:val="Colorful Grid Accent 2"/>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55911" w:themeFill="accent2" w:themeFillShade="BF"/>
      </w:tcPr>
    </w:tblStylePr>
    <w:tblStylePr w:type="lastCol">
      <w:rPr>
        <w:color w:val="FFFFFF" w:themeColor="background1"/>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7">
    <w:name w:val="Colorful Grid Accent 3"/>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rPr>
      <w:tblPr/>
      <w:tcPr>
        <w:shd w:val="clear" w:color="auto" w:fill="DADADA"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8">
    <w:name w:val="Colorful Grid Accent 4"/>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E8F00" w:themeFill="accent4" w:themeFillShade="BF"/>
      </w:tcPr>
    </w:tblStylePr>
    <w:tblStylePr w:type="lastCol">
      <w:rPr>
        <w:color w:val="FFFFFF" w:themeColor="background1"/>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9">
    <w:name w:val="Colorful Grid Accent 5"/>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10">
    <w:name w:val="Colorful Grid Accent 6"/>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2">
    <w:name w:val="Strong"/>
    <w:basedOn w:val="211"/>
    <w:qFormat/>
    <w:uiPriority w:val="22"/>
    <w:rPr>
      <w:b/>
      <w:bCs/>
    </w:rPr>
  </w:style>
  <w:style w:type="character" w:styleId="213">
    <w:name w:val="endnote reference"/>
    <w:basedOn w:val="211"/>
    <w:semiHidden/>
    <w:unhideWhenUsed/>
    <w:qFormat/>
    <w:uiPriority w:val="99"/>
    <w:rPr>
      <w:vertAlign w:val="superscript"/>
    </w:rPr>
  </w:style>
  <w:style w:type="character" w:styleId="214">
    <w:name w:val="page number"/>
    <w:basedOn w:val="211"/>
    <w:semiHidden/>
    <w:qFormat/>
    <w:uiPriority w:val="0"/>
    <w:rPr>
      <w:rFonts w:ascii="Times New Roman" w:hAnsi="Times New Roman" w:eastAsia="宋体"/>
      <w:sz w:val="18"/>
    </w:rPr>
  </w:style>
  <w:style w:type="character" w:styleId="215">
    <w:name w:val="FollowedHyperlink"/>
    <w:basedOn w:val="211"/>
    <w:semiHidden/>
    <w:unhideWhenUsed/>
    <w:qFormat/>
    <w:uiPriority w:val="99"/>
    <w:rPr>
      <w:color w:val="954F72" w:themeColor="followedHyperlink"/>
      <w:u w:val="single"/>
    </w:rPr>
  </w:style>
  <w:style w:type="character" w:styleId="216">
    <w:name w:val="Emphasis"/>
    <w:basedOn w:val="211"/>
    <w:qFormat/>
    <w:uiPriority w:val="20"/>
    <w:rPr>
      <w:i/>
      <w:iCs/>
    </w:rPr>
  </w:style>
  <w:style w:type="character" w:styleId="217">
    <w:name w:val="line number"/>
    <w:basedOn w:val="211"/>
    <w:semiHidden/>
    <w:unhideWhenUsed/>
    <w:qFormat/>
    <w:uiPriority w:val="99"/>
  </w:style>
  <w:style w:type="character" w:styleId="218">
    <w:name w:val="HTML Definition"/>
    <w:basedOn w:val="211"/>
    <w:semiHidden/>
    <w:qFormat/>
    <w:uiPriority w:val="0"/>
    <w:rPr>
      <w:i/>
      <w:iCs/>
    </w:rPr>
  </w:style>
  <w:style w:type="character" w:styleId="219">
    <w:name w:val="HTML Typewriter"/>
    <w:basedOn w:val="211"/>
    <w:semiHidden/>
    <w:qFormat/>
    <w:uiPriority w:val="0"/>
    <w:rPr>
      <w:rFonts w:ascii="Courier New" w:hAnsi="Courier New"/>
      <w:sz w:val="20"/>
      <w:szCs w:val="20"/>
    </w:rPr>
  </w:style>
  <w:style w:type="character" w:styleId="220">
    <w:name w:val="HTML Acronym"/>
    <w:basedOn w:val="211"/>
    <w:semiHidden/>
    <w:qFormat/>
    <w:uiPriority w:val="0"/>
  </w:style>
  <w:style w:type="character" w:styleId="221">
    <w:name w:val="HTML Variable"/>
    <w:basedOn w:val="211"/>
    <w:semiHidden/>
    <w:qFormat/>
    <w:uiPriority w:val="0"/>
    <w:rPr>
      <w:i/>
      <w:iCs/>
    </w:rPr>
  </w:style>
  <w:style w:type="character" w:styleId="222">
    <w:name w:val="Hyperlink"/>
    <w:qFormat/>
    <w:uiPriority w:val="99"/>
    <w:rPr>
      <w:rFonts w:ascii="Times New Roman" w:hAnsi="Times New Roman" w:eastAsia="宋体"/>
      <w:color w:val="auto"/>
      <w:spacing w:val="0"/>
      <w:w w:val="100"/>
      <w:position w:val="0"/>
      <w:sz w:val="21"/>
      <w:u w:val="none"/>
      <w:vertAlign w:val="baseline"/>
    </w:rPr>
  </w:style>
  <w:style w:type="character" w:styleId="223">
    <w:name w:val="HTML Code"/>
    <w:basedOn w:val="211"/>
    <w:semiHidden/>
    <w:qFormat/>
    <w:uiPriority w:val="0"/>
    <w:rPr>
      <w:rFonts w:ascii="Courier New" w:hAnsi="Courier New"/>
      <w:sz w:val="20"/>
      <w:szCs w:val="20"/>
    </w:rPr>
  </w:style>
  <w:style w:type="character" w:styleId="224">
    <w:name w:val="annotation reference"/>
    <w:basedOn w:val="211"/>
    <w:semiHidden/>
    <w:unhideWhenUsed/>
    <w:qFormat/>
    <w:uiPriority w:val="99"/>
    <w:rPr>
      <w:sz w:val="21"/>
      <w:szCs w:val="21"/>
    </w:rPr>
  </w:style>
  <w:style w:type="character" w:styleId="225">
    <w:name w:val="HTML Cite"/>
    <w:basedOn w:val="211"/>
    <w:semiHidden/>
    <w:qFormat/>
    <w:uiPriority w:val="0"/>
    <w:rPr>
      <w:i/>
      <w:iCs/>
    </w:rPr>
  </w:style>
  <w:style w:type="character" w:styleId="226">
    <w:name w:val="footnote reference"/>
    <w:basedOn w:val="211"/>
    <w:semiHidden/>
    <w:qFormat/>
    <w:uiPriority w:val="0"/>
    <w:rPr>
      <w:vertAlign w:val="superscript"/>
    </w:rPr>
  </w:style>
  <w:style w:type="character" w:styleId="227">
    <w:name w:val="HTML Keyboard"/>
    <w:basedOn w:val="211"/>
    <w:semiHidden/>
    <w:qFormat/>
    <w:uiPriority w:val="0"/>
    <w:rPr>
      <w:rFonts w:ascii="Courier New" w:hAnsi="Courier New"/>
      <w:sz w:val="20"/>
      <w:szCs w:val="20"/>
    </w:rPr>
  </w:style>
  <w:style w:type="character" w:styleId="228">
    <w:name w:val="HTML Sample"/>
    <w:basedOn w:val="211"/>
    <w:semiHidden/>
    <w:qFormat/>
    <w:uiPriority w:val="0"/>
    <w:rPr>
      <w:rFonts w:ascii="Courier New" w:hAnsi="Courier New"/>
    </w:rPr>
  </w:style>
  <w:style w:type="paragraph" w:customStyle="1" w:styleId="229">
    <w:name w:val="0段落"/>
    <w:basedOn w:val="27"/>
    <w:qFormat/>
    <w:uiPriority w:val="0"/>
    <w:pPr>
      <w:ind w:firstLine="0" w:firstLineChars="0"/>
    </w:pPr>
    <w:rPr>
      <w:szCs w:val="21"/>
    </w:rPr>
  </w:style>
  <w:style w:type="paragraph" w:customStyle="1" w:styleId="230">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31">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5">
    <w:name w:val="标准书眉_偶数页"/>
    <w:basedOn w:val="234"/>
    <w:next w:val="1"/>
    <w:qFormat/>
    <w:uiPriority w:val="0"/>
    <w:pPr>
      <w:jc w:val="left"/>
    </w:pPr>
  </w:style>
  <w:style w:type="paragraph" w:customStyle="1" w:styleId="236">
    <w:name w:val="标准书眉一"/>
    <w:qFormat/>
    <w:uiPriority w:val="0"/>
    <w:pPr>
      <w:jc w:val="both"/>
    </w:pPr>
    <w:rPr>
      <w:rFonts w:ascii="Times New Roman" w:hAnsi="Times New Roman" w:eastAsia="宋体" w:cs="Times New Roman"/>
      <w:lang w:val="en-US" w:eastAsia="zh-CN" w:bidi="ar-SA"/>
    </w:rPr>
  </w:style>
  <w:style w:type="paragraph" w:customStyle="1" w:styleId="23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8">
    <w:name w:val="参考文献、索引标题"/>
    <w:basedOn w:val="237"/>
    <w:next w:val="1"/>
    <w:qFormat/>
    <w:uiPriority w:val="0"/>
    <w:pPr>
      <w:spacing w:after="200"/>
    </w:pPr>
    <w:rPr>
      <w:sz w:val="21"/>
    </w:rPr>
  </w:style>
  <w:style w:type="paragraph" w:customStyle="1" w:styleId="239">
    <w:name w:val="段"/>
    <w:link w:val="514"/>
    <w:qFormat/>
    <w:uiPriority w:val="0"/>
    <w:pPr>
      <w:ind w:firstLine="200" w:firstLineChars="200"/>
      <w:jc w:val="both"/>
    </w:pPr>
    <w:rPr>
      <w:rFonts w:ascii="宋体" w:hAnsi="Times New Roman" w:eastAsia="宋体" w:cs="Times New Roman"/>
      <w:sz w:val="21"/>
      <w:lang w:val="en-US" w:eastAsia="zh-CN" w:bidi="ar-SA"/>
    </w:rPr>
  </w:style>
  <w:style w:type="paragraph" w:customStyle="1" w:styleId="240">
    <w:name w:val="章标题"/>
    <w:next w:val="239"/>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一级条标题"/>
    <w:next w:val="239"/>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242">
    <w:name w:val="二级条标题"/>
    <w:basedOn w:val="241"/>
    <w:next w:val="239"/>
    <w:qFormat/>
    <w:uiPriority w:val="0"/>
    <w:pPr>
      <w:numPr>
        <w:ilvl w:val="2"/>
      </w:numPr>
      <w:spacing w:before="50" w:after="50"/>
      <w:outlineLvl w:val="9"/>
    </w:pPr>
    <w:rPr>
      <w:rFonts w:hAnsi="黑体"/>
    </w:rPr>
  </w:style>
  <w:style w:type="character" w:customStyle="1" w:styleId="243">
    <w:name w:val="发布_1"/>
    <w:basedOn w:val="211"/>
    <w:qFormat/>
    <w:uiPriority w:val="0"/>
    <w:rPr>
      <w:rFonts w:ascii="黑体" w:eastAsia="黑体"/>
      <w:spacing w:val="22"/>
      <w:w w:val="100"/>
      <w:position w:val="3"/>
      <w:sz w:val="28"/>
    </w:rPr>
  </w:style>
  <w:style w:type="paragraph" w:customStyle="1" w:styleId="244">
    <w:name w:val="发布部门GB"/>
    <w:next w:val="239"/>
    <w:qFormat/>
    <w:uiPriority w:val="0"/>
    <w:pPr>
      <w:spacing w:line="360" w:lineRule="exact"/>
      <w:jc w:val="center"/>
    </w:pPr>
    <w:rPr>
      <w:rFonts w:ascii="宋体" w:hAnsi="Times New Roman" w:eastAsia="宋体" w:cs="Times New Roman"/>
      <w:b/>
      <w:sz w:val="36"/>
      <w:lang w:val="en-US" w:eastAsia="zh-CN" w:bidi="ar-SA"/>
    </w:rPr>
  </w:style>
  <w:style w:type="paragraph" w:customStyle="1" w:styleId="245">
    <w:name w:val="发布日期"/>
    <w:qFormat/>
    <w:uiPriority w:val="0"/>
    <w:rPr>
      <w:rFonts w:ascii="黑体" w:hAnsi="黑体" w:eastAsia="黑体" w:cs="Times New Roman"/>
      <w:sz w:val="28"/>
      <w:lang w:val="en-US" w:eastAsia="zh-CN" w:bidi="ar-SA"/>
    </w:rPr>
  </w:style>
  <w:style w:type="paragraph" w:customStyle="1" w:styleId="246">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47">
    <w:name w:val="封面标准号2"/>
    <w:basedOn w:val="246"/>
    <w:qFormat/>
    <w:uiPriority w:val="0"/>
    <w:pPr>
      <w:adjustRightInd w:val="0"/>
      <w:spacing w:before="357" w:line="280" w:lineRule="exact"/>
    </w:pPr>
  </w:style>
  <w:style w:type="paragraph" w:customStyle="1" w:styleId="248">
    <w:name w:val="封面标准代替信息"/>
    <w:basedOn w:val="247"/>
    <w:qFormat/>
    <w:uiPriority w:val="0"/>
    <w:pPr>
      <w:spacing w:before="0" w:line="360" w:lineRule="exact"/>
    </w:pPr>
    <w:rPr>
      <w:rFonts w:hAnsi="黑体"/>
      <w:sz w:val="21"/>
    </w:rPr>
  </w:style>
  <w:style w:type="paragraph" w:customStyle="1" w:styleId="24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5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53">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54">
    <w:name w:val="封面正文"/>
    <w:qFormat/>
    <w:uiPriority w:val="0"/>
    <w:pPr>
      <w:jc w:val="both"/>
    </w:pPr>
    <w:rPr>
      <w:rFonts w:ascii="Times New Roman" w:hAnsi="Times New Roman" w:eastAsia="宋体" w:cs="Times New Roman"/>
      <w:lang w:val="en-US" w:eastAsia="zh-CN" w:bidi="ar-SA"/>
    </w:rPr>
  </w:style>
  <w:style w:type="paragraph" w:customStyle="1" w:styleId="255">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56">
    <w:name w:val="附录表标题"/>
    <w:basedOn w:val="1"/>
    <w:next w:val="1"/>
    <w:qFormat/>
    <w:uiPriority w:val="0"/>
    <w:pPr>
      <w:numPr>
        <w:ilvl w:val="1"/>
        <w:numId w:val="13"/>
      </w:numPr>
      <w:spacing w:beforeLines="50" w:afterLines="50"/>
      <w:jc w:val="center"/>
    </w:pPr>
    <w:rPr>
      <w:rFonts w:ascii="黑体" w:eastAsia="黑体"/>
      <w:szCs w:val="21"/>
    </w:rPr>
  </w:style>
  <w:style w:type="paragraph" w:customStyle="1" w:styleId="257">
    <w:name w:val="附录章标题"/>
    <w:next w:val="239"/>
    <w:qFormat/>
    <w:uiPriority w:val="0"/>
    <w:pPr>
      <w:numPr>
        <w:ilvl w:val="1"/>
        <w:numId w:val="12"/>
      </w:numPr>
      <w:wordWrap w:val="0"/>
      <w:overflowPunct w:val="0"/>
      <w:autoSpaceDE w:val="0"/>
      <w:spacing w:beforeLines="50" w:afterLines="50"/>
      <w:jc w:val="both"/>
      <w:textAlignment w:val="baseline"/>
    </w:pPr>
    <w:rPr>
      <w:rFonts w:ascii="黑体" w:hAnsi="Times New Roman" w:eastAsia="黑体" w:cs="Times New Roman"/>
      <w:kern w:val="21"/>
      <w:sz w:val="21"/>
      <w:lang w:val="en-US" w:eastAsia="zh-CN" w:bidi="ar-SA"/>
    </w:rPr>
  </w:style>
  <w:style w:type="paragraph" w:customStyle="1" w:styleId="258">
    <w:name w:val="附录一级条标题"/>
    <w:basedOn w:val="257"/>
    <w:next w:val="239"/>
    <w:qFormat/>
    <w:uiPriority w:val="0"/>
    <w:pPr>
      <w:numPr>
        <w:ilvl w:val="2"/>
      </w:numPr>
      <w:autoSpaceDN w:val="0"/>
    </w:pPr>
  </w:style>
  <w:style w:type="paragraph" w:customStyle="1" w:styleId="259">
    <w:name w:val="附录二级条标题"/>
    <w:basedOn w:val="1"/>
    <w:next w:val="239"/>
    <w:qFormat/>
    <w:uiPriority w:val="0"/>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260">
    <w:name w:val="附录三级条标题"/>
    <w:basedOn w:val="259"/>
    <w:next w:val="239"/>
    <w:qFormat/>
    <w:uiPriority w:val="0"/>
    <w:pPr>
      <w:numPr>
        <w:ilvl w:val="4"/>
      </w:numPr>
    </w:pPr>
  </w:style>
  <w:style w:type="paragraph" w:customStyle="1" w:styleId="261">
    <w:name w:val="附录四级条标题"/>
    <w:basedOn w:val="260"/>
    <w:next w:val="239"/>
    <w:qFormat/>
    <w:uiPriority w:val="0"/>
    <w:pPr>
      <w:numPr>
        <w:ilvl w:val="5"/>
      </w:numPr>
    </w:pPr>
  </w:style>
  <w:style w:type="paragraph" w:customStyle="1" w:styleId="262">
    <w:name w:val="附录图标题"/>
    <w:basedOn w:val="1"/>
    <w:next w:val="1"/>
    <w:qFormat/>
    <w:uiPriority w:val="0"/>
    <w:pPr>
      <w:numPr>
        <w:ilvl w:val="1"/>
        <w:numId w:val="14"/>
      </w:numPr>
      <w:spacing w:beforeLines="50" w:afterLines="50"/>
      <w:jc w:val="center"/>
    </w:pPr>
    <w:rPr>
      <w:rFonts w:ascii="黑体" w:eastAsia="黑体"/>
      <w:szCs w:val="21"/>
    </w:rPr>
  </w:style>
  <w:style w:type="paragraph" w:customStyle="1" w:styleId="263">
    <w:name w:val="附录五级条标题"/>
    <w:basedOn w:val="261"/>
    <w:next w:val="239"/>
    <w:qFormat/>
    <w:uiPriority w:val="0"/>
    <w:pPr>
      <w:numPr>
        <w:ilvl w:val="6"/>
      </w:numPr>
      <w:outlineLvl w:val="6"/>
    </w:pPr>
  </w:style>
  <w:style w:type="character" w:customStyle="1" w:styleId="264">
    <w:name w:val="个人答复风格"/>
    <w:basedOn w:val="211"/>
    <w:qFormat/>
    <w:uiPriority w:val="0"/>
    <w:rPr>
      <w:rFonts w:ascii="Arial" w:hAnsi="Arial" w:eastAsia="宋体" w:cs="Arial"/>
      <w:color w:val="auto"/>
      <w:sz w:val="20"/>
    </w:rPr>
  </w:style>
  <w:style w:type="character" w:customStyle="1" w:styleId="265">
    <w:name w:val="个人撰写风格"/>
    <w:basedOn w:val="211"/>
    <w:qFormat/>
    <w:uiPriority w:val="0"/>
    <w:rPr>
      <w:rFonts w:ascii="Arial" w:hAnsi="Arial" w:eastAsia="宋体" w:cs="Arial"/>
      <w:color w:val="auto"/>
      <w:sz w:val="20"/>
    </w:rPr>
  </w:style>
  <w:style w:type="paragraph" w:customStyle="1" w:styleId="266">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目次、标准名称标题"/>
    <w:basedOn w:val="237"/>
    <w:next w:val="239"/>
    <w:qFormat/>
    <w:uiPriority w:val="0"/>
    <w:pPr>
      <w:spacing w:line="460" w:lineRule="exact"/>
      <w:outlineLvl w:val="9"/>
    </w:pPr>
  </w:style>
  <w:style w:type="paragraph" w:customStyle="1" w:styleId="2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6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70">
    <w:name w:val="其他发布部门"/>
    <w:basedOn w:val="244"/>
    <w:qFormat/>
    <w:uiPriority w:val="0"/>
    <w:pPr>
      <w:framePr w:wrap="around" w:vAnchor="margin" w:hAnchor="text" w:y="1"/>
      <w:spacing w:line="0" w:lineRule="atLeast"/>
    </w:pPr>
    <w:rPr>
      <w:rFonts w:ascii="黑体" w:eastAsia="黑体"/>
      <w:b w:val="0"/>
    </w:rPr>
  </w:style>
  <w:style w:type="paragraph" w:customStyle="1" w:styleId="271">
    <w:name w:val="三级条标题"/>
    <w:basedOn w:val="242"/>
    <w:next w:val="239"/>
    <w:qFormat/>
    <w:uiPriority w:val="0"/>
    <w:pPr>
      <w:numPr>
        <w:ilvl w:val="3"/>
      </w:numPr>
    </w:pPr>
  </w:style>
  <w:style w:type="paragraph" w:customStyle="1" w:styleId="272">
    <w:name w:val="实施日期"/>
    <w:basedOn w:val="245"/>
    <w:qFormat/>
    <w:uiPriority w:val="0"/>
    <w:pPr>
      <w:jc w:val="right"/>
    </w:pPr>
  </w:style>
  <w:style w:type="paragraph" w:customStyle="1" w:styleId="273">
    <w:name w:val="示例"/>
    <w:next w:val="27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74">
    <w:name w:val="示例段"/>
    <w:basedOn w:val="239"/>
    <w:qFormat/>
    <w:uiPriority w:val="0"/>
    <w:pPr>
      <w:ind w:firstLine="420"/>
    </w:pPr>
    <w:rPr>
      <w:sz w:val="18"/>
    </w:rPr>
  </w:style>
  <w:style w:type="paragraph" w:customStyle="1" w:styleId="275">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76">
    <w:name w:val="四级条标题"/>
    <w:basedOn w:val="271"/>
    <w:next w:val="239"/>
    <w:qFormat/>
    <w:uiPriority w:val="0"/>
    <w:pPr>
      <w:numPr>
        <w:ilvl w:val="4"/>
      </w:numPr>
    </w:pPr>
  </w:style>
  <w:style w:type="paragraph" w:customStyle="1" w:styleId="277">
    <w:name w:val="条文脚注"/>
    <w:basedOn w:val="69"/>
    <w:link w:val="313"/>
    <w:qFormat/>
    <w:uiPriority w:val="0"/>
    <w:pPr>
      <w:numPr>
        <w:ilvl w:val="0"/>
        <w:numId w:val="18"/>
      </w:numPr>
      <w:ind w:firstLine="0" w:firstLineChars="0"/>
      <w:jc w:val="both"/>
    </w:pPr>
    <w:rPr>
      <w:rFonts w:ascii="宋体"/>
    </w:rPr>
  </w:style>
  <w:style w:type="paragraph" w:customStyle="1" w:styleId="278">
    <w:name w:val="图表脚注"/>
    <w:next w:val="23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7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80">
    <w:name w:val="无标题条"/>
    <w:next w:val="239"/>
    <w:qFormat/>
    <w:uiPriority w:val="0"/>
    <w:pPr>
      <w:jc w:val="both"/>
    </w:pPr>
    <w:rPr>
      <w:rFonts w:ascii="Times New Roman" w:hAnsi="Times New Roman" w:eastAsia="宋体" w:cs="Times New Roman"/>
      <w:sz w:val="21"/>
      <w:lang w:val="en-US" w:eastAsia="zh-CN" w:bidi="ar-SA"/>
    </w:rPr>
  </w:style>
  <w:style w:type="paragraph" w:customStyle="1" w:styleId="281">
    <w:name w:val="五级条标题"/>
    <w:basedOn w:val="276"/>
    <w:next w:val="239"/>
    <w:qFormat/>
    <w:uiPriority w:val="0"/>
    <w:pPr>
      <w:numPr>
        <w:ilvl w:val="5"/>
      </w:numPr>
    </w:pPr>
  </w:style>
  <w:style w:type="paragraph" w:customStyle="1" w:styleId="282">
    <w:name w:val="正文表标题"/>
    <w:next w:val="239"/>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283">
    <w:name w:val="正文图标题"/>
    <w:basedOn w:val="282"/>
    <w:next w:val="239"/>
    <w:qFormat/>
    <w:uiPriority w:val="0"/>
    <w:pPr>
      <w:numPr>
        <w:ilvl w:val="0"/>
        <w:numId w:val="20"/>
      </w:numPr>
      <w:tabs>
        <w:tab w:val="clear" w:pos="360"/>
      </w:tabs>
    </w:pPr>
  </w:style>
  <w:style w:type="paragraph" w:customStyle="1" w:styleId="284">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285">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286">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287">
    <w:name w:val="引言一级条标题"/>
    <w:basedOn w:val="1"/>
    <w:next w:val="239"/>
    <w:qFormat/>
    <w:uiPriority w:val="0"/>
    <w:pPr>
      <w:widowControl/>
      <w:numPr>
        <w:ilvl w:val="0"/>
        <w:numId w:val="23"/>
      </w:numPr>
      <w:tabs>
        <w:tab w:val="clear" w:pos="360"/>
      </w:tabs>
      <w:spacing w:beforeLines="50" w:afterLines="50"/>
    </w:pPr>
    <w:rPr>
      <w:rFonts w:eastAsia="黑体"/>
    </w:rPr>
  </w:style>
  <w:style w:type="paragraph" w:customStyle="1" w:styleId="288">
    <w:name w:val="示例×："/>
    <w:basedOn w:val="1"/>
    <w:next w:val="274"/>
    <w:qFormat/>
    <w:uiPriority w:val="0"/>
    <w:pPr>
      <w:widowControl/>
      <w:numPr>
        <w:ilvl w:val="0"/>
        <w:numId w:val="24"/>
      </w:numPr>
    </w:pPr>
    <w:rPr>
      <w:rFonts w:ascii="宋体"/>
      <w:kern w:val="0"/>
      <w:sz w:val="18"/>
      <w:szCs w:val="18"/>
    </w:rPr>
  </w:style>
  <w:style w:type="paragraph" w:customStyle="1" w:styleId="289">
    <w:name w:val="工程建设章标题"/>
    <w:next w:val="239"/>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0">
    <w:name w:val="工程建设节标题"/>
    <w:basedOn w:val="289"/>
    <w:next w:val="239"/>
    <w:qFormat/>
    <w:uiPriority w:val="0"/>
    <w:pPr>
      <w:numPr>
        <w:ilvl w:val="2"/>
      </w:numPr>
      <w:spacing w:before="400" w:after="400" w:line="240" w:lineRule="auto"/>
      <w:outlineLvl w:val="2"/>
    </w:pPr>
    <w:rPr>
      <w:sz w:val="21"/>
    </w:rPr>
  </w:style>
  <w:style w:type="paragraph" w:customStyle="1" w:styleId="291">
    <w:name w:val="工程建设条标题"/>
    <w:basedOn w:val="290"/>
    <w:next w:val="239"/>
    <w:qFormat/>
    <w:uiPriority w:val="0"/>
    <w:pPr>
      <w:numPr>
        <w:ilvl w:val="3"/>
      </w:numPr>
      <w:spacing w:before="0" w:after="0"/>
      <w:jc w:val="left"/>
      <w:outlineLvl w:val="3"/>
    </w:pPr>
    <w:rPr>
      <w:b w:val="0"/>
    </w:rPr>
  </w:style>
  <w:style w:type="paragraph" w:customStyle="1" w:styleId="292">
    <w:name w:val="工程建设表标题"/>
    <w:basedOn w:val="291"/>
    <w:qFormat/>
    <w:uiPriority w:val="0"/>
    <w:pPr>
      <w:numPr>
        <w:ilvl w:val="4"/>
      </w:numPr>
      <w:jc w:val="center"/>
      <w:outlineLvl w:val="4"/>
    </w:pPr>
  </w:style>
  <w:style w:type="paragraph" w:customStyle="1" w:styleId="293">
    <w:name w:val="工程建设图标题"/>
    <w:basedOn w:val="291"/>
    <w:qFormat/>
    <w:uiPriority w:val="0"/>
    <w:pPr>
      <w:numPr>
        <w:ilvl w:val="5"/>
      </w:numPr>
      <w:jc w:val="center"/>
      <w:outlineLvl w:val="5"/>
    </w:pPr>
  </w:style>
  <w:style w:type="paragraph" w:customStyle="1" w:styleId="294">
    <w:name w:val="工程建设公式标题"/>
    <w:basedOn w:val="291"/>
    <w:qFormat/>
    <w:uiPriority w:val="0"/>
    <w:pPr>
      <w:numPr>
        <w:ilvl w:val="6"/>
      </w:numPr>
      <w:jc w:val="center"/>
      <w:outlineLvl w:val="6"/>
    </w:pPr>
  </w:style>
  <w:style w:type="paragraph" w:customStyle="1" w:styleId="295">
    <w:name w:val="工程建设无节条标题"/>
    <w:basedOn w:val="1"/>
    <w:next w:val="239"/>
    <w:qFormat/>
    <w:uiPriority w:val="0"/>
    <w:pPr>
      <w:numPr>
        <w:ilvl w:val="8"/>
        <w:numId w:val="25"/>
      </w:numPr>
      <w:tabs>
        <w:tab w:val="clear" w:pos="720"/>
      </w:tabs>
      <w:outlineLvl w:val="3"/>
    </w:pPr>
  </w:style>
  <w:style w:type="paragraph" w:customStyle="1" w:styleId="296">
    <w:name w:val="工程建设款标题"/>
    <w:basedOn w:val="291"/>
    <w:qFormat/>
    <w:uiPriority w:val="0"/>
    <w:pPr>
      <w:numPr>
        <w:ilvl w:val="7"/>
      </w:numPr>
      <w:outlineLvl w:val="9"/>
    </w:pPr>
  </w:style>
  <w:style w:type="paragraph" w:customStyle="1" w:styleId="297">
    <w:name w:val="名称"/>
    <w:basedOn w:val="237"/>
    <w:next w:val="239"/>
    <w:qFormat/>
    <w:uiPriority w:val="0"/>
    <w:pPr>
      <w:spacing w:line="460" w:lineRule="exact"/>
      <w:outlineLvl w:val="9"/>
    </w:pPr>
  </w:style>
  <w:style w:type="paragraph" w:customStyle="1" w:styleId="298">
    <w:name w:val="正文表标题续表"/>
    <w:basedOn w:val="282"/>
    <w:next w:val="239"/>
    <w:qFormat/>
    <w:uiPriority w:val="0"/>
    <w:pPr>
      <w:numPr>
        <w:ilvl w:val="2"/>
      </w:numPr>
    </w:pPr>
  </w:style>
  <w:style w:type="paragraph" w:customStyle="1" w:styleId="299">
    <w:name w:val="附录表标题续表"/>
    <w:basedOn w:val="256"/>
    <w:next w:val="239"/>
    <w:qFormat/>
    <w:uiPriority w:val="0"/>
    <w:pPr>
      <w:numPr>
        <w:ilvl w:val="2"/>
      </w:numPr>
    </w:pPr>
  </w:style>
  <w:style w:type="paragraph" w:customStyle="1" w:styleId="300">
    <w:name w:val="术语定义二级条标题"/>
    <w:basedOn w:val="242"/>
    <w:next w:val="239"/>
    <w:qFormat/>
    <w:uiPriority w:val="0"/>
    <w:pPr>
      <w:spacing w:beforeLines="0" w:afterLines="0"/>
    </w:pPr>
  </w:style>
  <w:style w:type="paragraph" w:customStyle="1" w:styleId="301">
    <w:name w:val="术语定义三级条标题"/>
    <w:basedOn w:val="271"/>
    <w:next w:val="239"/>
    <w:qFormat/>
    <w:uiPriority w:val="0"/>
    <w:pPr>
      <w:spacing w:beforeLines="0" w:afterLines="0"/>
    </w:pPr>
  </w:style>
  <w:style w:type="paragraph" w:customStyle="1" w:styleId="302">
    <w:name w:val="式中"/>
    <w:qFormat/>
    <w:uiPriority w:val="0"/>
    <w:pPr>
      <w:ind w:left="200" w:leftChars="200"/>
    </w:pPr>
    <w:rPr>
      <w:rFonts w:ascii="宋体" w:hAnsi="Times New Roman" w:eastAsia="宋体" w:cs="Times New Roman"/>
      <w:sz w:val="21"/>
      <w:lang w:val="en-US" w:eastAsia="zh-CN" w:bidi="ar-SA"/>
    </w:rPr>
  </w:style>
  <w:style w:type="paragraph" w:customStyle="1" w:styleId="303">
    <w:name w:val="术语定义四级条标题"/>
    <w:basedOn w:val="276"/>
    <w:next w:val="239"/>
    <w:qFormat/>
    <w:uiPriority w:val="0"/>
    <w:pPr>
      <w:spacing w:beforeLines="0" w:afterLines="0"/>
    </w:pPr>
  </w:style>
  <w:style w:type="paragraph" w:customStyle="1" w:styleId="304">
    <w:name w:val="术语定义五级条标题"/>
    <w:basedOn w:val="281"/>
    <w:next w:val="239"/>
    <w:qFormat/>
    <w:uiPriority w:val="0"/>
    <w:pPr>
      <w:spacing w:beforeLines="0" w:afterLines="0"/>
    </w:pPr>
  </w:style>
  <w:style w:type="paragraph" w:customStyle="1" w:styleId="305">
    <w:name w:val="术语定义一级条标题"/>
    <w:basedOn w:val="241"/>
    <w:next w:val="239"/>
    <w:qFormat/>
    <w:uiPriority w:val="0"/>
    <w:pPr>
      <w:spacing w:beforeLines="0" w:afterLines="0"/>
      <w:outlineLvl w:val="9"/>
    </w:pPr>
  </w:style>
  <w:style w:type="paragraph" w:customStyle="1" w:styleId="306">
    <w:name w:val="条文说明"/>
    <w:basedOn w:val="297"/>
    <w:qFormat/>
    <w:uiPriority w:val="0"/>
  </w:style>
  <w:style w:type="paragraph" w:customStyle="1" w:styleId="307">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08">
    <w:name w:val="二级无标题条"/>
    <w:basedOn w:val="242"/>
    <w:qFormat/>
    <w:uiPriority w:val="0"/>
    <w:pPr>
      <w:spacing w:beforeLines="0" w:afterLines="0"/>
    </w:pPr>
    <w:rPr>
      <w:rFonts w:eastAsiaTheme="majorEastAsia"/>
    </w:rPr>
  </w:style>
  <w:style w:type="paragraph" w:customStyle="1" w:styleId="309">
    <w:name w:val="三级无标题条"/>
    <w:basedOn w:val="271"/>
    <w:qFormat/>
    <w:uiPriority w:val="0"/>
    <w:pPr>
      <w:spacing w:beforeLines="0" w:afterLines="0"/>
    </w:pPr>
    <w:rPr>
      <w:rFonts w:eastAsiaTheme="majorEastAsia"/>
    </w:rPr>
  </w:style>
  <w:style w:type="paragraph" w:customStyle="1" w:styleId="310">
    <w:name w:val="四级无标题条"/>
    <w:basedOn w:val="276"/>
    <w:qFormat/>
    <w:uiPriority w:val="0"/>
    <w:pPr>
      <w:spacing w:beforeLines="0" w:afterLines="0"/>
    </w:pPr>
    <w:rPr>
      <w:rFonts w:eastAsiaTheme="majorEastAsia"/>
    </w:rPr>
  </w:style>
  <w:style w:type="paragraph" w:customStyle="1" w:styleId="311">
    <w:name w:val="五级无标题条"/>
    <w:basedOn w:val="281"/>
    <w:qFormat/>
    <w:uiPriority w:val="0"/>
    <w:pPr>
      <w:spacing w:beforeLines="0" w:afterLines="0"/>
    </w:pPr>
    <w:rPr>
      <w:rFonts w:eastAsiaTheme="majorEastAsia"/>
    </w:rPr>
  </w:style>
  <w:style w:type="paragraph" w:customStyle="1" w:styleId="312">
    <w:name w:val="一级无标题条"/>
    <w:basedOn w:val="241"/>
    <w:qFormat/>
    <w:uiPriority w:val="0"/>
    <w:pPr>
      <w:spacing w:beforeLines="0" w:afterLines="0"/>
      <w:outlineLvl w:val="9"/>
    </w:pPr>
    <w:rPr>
      <w:rFonts w:eastAsiaTheme="majorEastAsia"/>
    </w:rPr>
  </w:style>
  <w:style w:type="character" w:customStyle="1" w:styleId="313">
    <w:name w:val="条文脚注 Char"/>
    <w:basedOn w:val="314"/>
    <w:link w:val="277"/>
    <w:qFormat/>
    <w:uiPriority w:val="0"/>
    <w:rPr>
      <w:rFonts w:ascii="宋体"/>
      <w:sz w:val="18"/>
      <w:szCs w:val="18"/>
    </w:rPr>
  </w:style>
  <w:style w:type="character" w:customStyle="1" w:styleId="314">
    <w:name w:val="正文文本 Char"/>
    <w:basedOn w:val="211"/>
    <w:link w:val="40"/>
    <w:semiHidden/>
    <w:qFormat/>
    <w:uiPriority w:val="99"/>
    <w:rPr>
      <w:kern w:val="2"/>
      <w:sz w:val="21"/>
      <w:szCs w:val="24"/>
    </w:rPr>
  </w:style>
  <w:style w:type="paragraph" w:customStyle="1" w:styleId="315">
    <w:name w:val="ICS"/>
    <w:basedOn w:val="254"/>
    <w:qFormat/>
    <w:uiPriority w:val="0"/>
    <w:pPr>
      <w:jc w:val="left"/>
    </w:pPr>
    <w:rPr>
      <w:rFonts w:ascii="黑体" w:eastAsia="黑体"/>
      <w:sz w:val="21"/>
    </w:rPr>
  </w:style>
  <w:style w:type="paragraph" w:customStyle="1" w:styleId="316">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17">
    <w:name w:val="发布"/>
    <w:basedOn w:val="40"/>
    <w:qFormat/>
    <w:uiPriority w:val="0"/>
    <w:pPr>
      <w:spacing w:after="0" w:line="280" w:lineRule="exact"/>
      <w:ind w:left="284"/>
    </w:pPr>
    <w:rPr>
      <w:rFonts w:ascii="黑体" w:eastAsia="黑体"/>
      <w:kern w:val="3"/>
      <w:sz w:val="28"/>
    </w:rPr>
  </w:style>
  <w:style w:type="paragraph" w:customStyle="1" w:styleId="318">
    <w:name w:val="标准称谓DB"/>
    <w:next w:val="1"/>
    <w:link w:val="319"/>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19">
    <w:name w:val="标准称谓DB Char"/>
    <w:basedOn w:val="211"/>
    <w:link w:val="318"/>
    <w:qFormat/>
    <w:uiPriority w:val="0"/>
    <w:rPr>
      <w:rFonts w:ascii="Britannic Bold" w:hAnsi="Britannic Bold" w:eastAsia="黑体"/>
      <w:bCs/>
      <w:w w:val="135"/>
      <w:sz w:val="44"/>
    </w:rPr>
  </w:style>
  <w:style w:type="paragraph" w:customStyle="1" w:styleId="320">
    <w:name w:val="标准称谓QB"/>
    <w:next w:val="1"/>
    <w:link w:val="321"/>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21">
    <w:name w:val="标准称谓QB Char"/>
    <w:basedOn w:val="211"/>
    <w:link w:val="320"/>
    <w:qFormat/>
    <w:uiPriority w:val="0"/>
    <w:rPr>
      <w:rFonts w:ascii="Arial Black" w:hAnsi="Arial Black" w:eastAsia="黑体"/>
      <w:bCs/>
      <w:w w:val="135"/>
      <w:sz w:val="44"/>
    </w:rPr>
  </w:style>
  <w:style w:type="paragraph" w:customStyle="1" w:styleId="322">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23">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24">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25">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26">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27">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28">
    <w:name w:val="引言二级条标题"/>
    <w:basedOn w:val="287"/>
    <w:next w:val="239"/>
    <w:qFormat/>
    <w:uiPriority w:val="0"/>
    <w:pPr>
      <w:numPr>
        <w:ilvl w:val="1"/>
      </w:numPr>
      <w:spacing w:before="156" w:after="156"/>
    </w:pPr>
    <w:rPr>
      <w:rFonts w:ascii="黑体"/>
    </w:rPr>
  </w:style>
  <w:style w:type="paragraph" w:customStyle="1" w:styleId="329">
    <w:name w:val="示例X"/>
    <w:basedOn w:val="239"/>
    <w:next w:val="274"/>
    <w:qFormat/>
    <w:uiPriority w:val="0"/>
    <w:rPr>
      <w:sz w:val="18"/>
    </w:rPr>
  </w:style>
  <w:style w:type="paragraph" w:customStyle="1" w:styleId="330">
    <w:name w:val="附录表标号"/>
    <w:basedOn w:val="1"/>
    <w:next w:val="239"/>
    <w:qFormat/>
    <w:uiPriority w:val="0"/>
    <w:pPr>
      <w:numPr>
        <w:ilvl w:val="0"/>
        <w:numId w:val="13"/>
      </w:numPr>
      <w:snapToGrid w:val="0"/>
      <w:spacing w:line="14" w:lineRule="exact"/>
      <w:jc w:val="center"/>
    </w:pPr>
    <w:rPr>
      <w:color w:val="FFFFFF"/>
    </w:rPr>
  </w:style>
  <w:style w:type="paragraph" w:customStyle="1" w:styleId="331">
    <w:name w:val="附录图标号"/>
    <w:basedOn w:val="1"/>
    <w:next w:val="239"/>
    <w:qFormat/>
    <w:uiPriority w:val="0"/>
    <w:pPr>
      <w:numPr>
        <w:ilvl w:val="0"/>
        <w:numId w:val="14"/>
      </w:numPr>
      <w:snapToGrid w:val="0"/>
      <w:spacing w:line="14" w:lineRule="exact"/>
      <w:jc w:val="center"/>
    </w:pPr>
    <w:rPr>
      <w:color w:val="FFFFFF"/>
    </w:rPr>
  </w:style>
  <w:style w:type="paragraph" w:customStyle="1" w:styleId="332">
    <w:name w:val="重要提示"/>
    <w:basedOn w:val="239"/>
    <w:next w:val="239"/>
    <w:qFormat/>
    <w:uiPriority w:val="0"/>
    <w:rPr>
      <w:rFonts w:eastAsia="黑体"/>
    </w:rPr>
  </w:style>
  <w:style w:type="paragraph" w:customStyle="1" w:styleId="333">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34">
    <w:name w:val="TOC 标题1"/>
    <w:basedOn w:val="3"/>
    <w:next w:val="1"/>
    <w:unhideWhenUsed/>
    <w:qFormat/>
    <w:uiPriority w:val="39"/>
    <w:pPr>
      <w:outlineLvl w:val="9"/>
    </w:pPr>
  </w:style>
  <w:style w:type="character" w:customStyle="1" w:styleId="335">
    <w:name w:val="不明显参考1"/>
    <w:basedOn w:val="211"/>
    <w:qFormat/>
    <w:uiPriority w:val="31"/>
    <w:rPr>
      <w:smallCaps/>
      <w:color w:val="585858" w:themeColor="text1" w:themeTint="A6"/>
    </w:rPr>
  </w:style>
  <w:style w:type="character" w:customStyle="1" w:styleId="336">
    <w:name w:val="不明显强调1"/>
    <w:basedOn w:val="211"/>
    <w:qFormat/>
    <w:uiPriority w:val="19"/>
    <w:rPr>
      <w:i/>
      <w:iCs/>
      <w:color w:val="3F3F3F" w:themeColor="text1" w:themeTint="BF"/>
    </w:rPr>
  </w:style>
  <w:style w:type="table" w:customStyle="1" w:styleId="337">
    <w:name w:val="彩色底纹1"/>
    <w:basedOn w:val="88"/>
    <w:semiHidden/>
    <w:unhideWhenUsed/>
    <w:qFormat/>
    <w:uiPriority w:val="71"/>
    <w:rPr>
      <w:color w:val="000000" w:themeColor="text1"/>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338">
    <w:name w:val="彩色列表1"/>
    <w:basedOn w:val="88"/>
    <w:semiHidden/>
    <w:unhideWhenUsed/>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39">
    <w:name w:val="彩色网格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40">
    <w:name w:val="称呼 Char"/>
    <w:basedOn w:val="211"/>
    <w:link w:val="36"/>
    <w:semiHidden/>
    <w:qFormat/>
    <w:uiPriority w:val="99"/>
    <w:rPr>
      <w:kern w:val="2"/>
      <w:sz w:val="21"/>
      <w:szCs w:val="24"/>
    </w:rPr>
  </w:style>
  <w:style w:type="character" w:customStyle="1" w:styleId="341">
    <w:name w:val="纯文本 Char"/>
    <w:basedOn w:val="211"/>
    <w:link w:val="49"/>
    <w:semiHidden/>
    <w:qFormat/>
    <w:uiPriority w:val="99"/>
    <w:rPr>
      <w:rFonts w:ascii="宋体" w:hAnsi="Courier New" w:cs="Courier New"/>
      <w:kern w:val="2"/>
      <w:sz w:val="21"/>
      <w:szCs w:val="21"/>
    </w:rPr>
  </w:style>
  <w:style w:type="character" w:customStyle="1" w:styleId="342">
    <w:name w:val="电子邮件签名 Char"/>
    <w:basedOn w:val="211"/>
    <w:link w:val="25"/>
    <w:semiHidden/>
    <w:qFormat/>
    <w:uiPriority w:val="99"/>
    <w:rPr>
      <w:kern w:val="2"/>
      <w:sz w:val="21"/>
      <w:szCs w:val="24"/>
    </w:rPr>
  </w:style>
  <w:style w:type="character" w:customStyle="1" w:styleId="343">
    <w:name w:val="副标题 Char"/>
    <w:basedOn w:val="211"/>
    <w:link w:val="66"/>
    <w:qFormat/>
    <w:uiPriority w:val="11"/>
    <w:rPr>
      <w:rFonts w:asciiTheme="majorHAnsi" w:hAnsiTheme="majorHAnsi" w:cstheme="majorBidi"/>
      <w:b/>
      <w:bCs/>
      <w:kern w:val="28"/>
      <w:sz w:val="32"/>
      <w:szCs w:val="32"/>
    </w:rPr>
  </w:style>
  <w:style w:type="character" w:customStyle="1" w:styleId="344">
    <w:name w:val="宏文本 Char"/>
    <w:basedOn w:val="211"/>
    <w:link w:val="2"/>
    <w:semiHidden/>
    <w:qFormat/>
    <w:uiPriority w:val="99"/>
    <w:rPr>
      <w:rFonts w:ascii="Courier New" w:hAnsi="Courier New" w:cs="Courier New"/>
      <w:kern w:val="2"/>
      <w:sz w:val="24"/>
      <w:szCs w:val="24"/>
    </w:rPr>
  </w:style>
  <w:style w:type="character" w:customStyle="1" w:styleId="345">
    <w:name w:val="结束语 Char"/>
    <w:basedOn w:val="211"/>
    <w:link w:val="38"/>
    <w:semiHidden/>
    <w:qFormat/>
    <w:uiPriority w:val="99"/>
    <w:rPr>
      <w:kern w:val="2"/>
      <w:sz w:val="21"/>
      <w:szCs w:val="24"/>
    </w:rPr>
  </w:style>
  <w:style w:type="paragraph" w:styleId="346">
    <w:name w:val="List Paragraph"/>
    <w:basedOn w:val="1"/>
    <w:qFormat/>
    <w:uiPriority w:val="99"/>
    <w:pPr>
      <w:ind w:firstLine="420" w:firstLineChars="200"/>
    </w:pPr>
  </w:style>
  <w:style w:type="character" w:customStyle="1" w:styleId="347">
    <w:name w:val="明显参考1"/>
    <w:basedOn w:val="211"/>
    <w:qFormat/>
    <w:uiPriority w:val="32"/>
    <w:rPr>
      <w:b/>
      <w:bCs/>
      <w:smallCaps/>
      <w:color w:val="5B9BD5" w:themeColor="accent1"/>
      <w:spacing w:val="5"/>
    </w:rPr>
  </w:style>
  <w:style w:type="character" w:customStyle="1" w:styleId="348">
    <w:name w:val="明显强调1"/>
    <w:basedOn w:val="211"/>
    <w:qFormat/>
    <w:uiPriority w:val="21"/>
    <w:rPr>
      <w:i/>
      <w:iCs/>
      <w:color w:val="5B9BD5" w:themeColor="accent1"/>
    </w:rPr>
  </w:style>
  <w:style w:type="paragraph" w:styleId="349">
    <w:name w:val="Intense Quote"/>
    <w:basedOn w:val="1"/>
    <w:next w:val="1"/>
    <w:link w:val="350"/>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customStyle="1" w:styleId="350">
    <w:name w:val="明显引用 Char"/>
    <w:basedOn w:val="211"/>
    <w:link w:val="349"/>
    <w:qFormat/>
    <w:uiPriority w:val="30"/>
    <w:rPr>
      <w:i/>
      <w:iCs/>
      <w:color w:val="5B9BD5" w:themeColor="accent1"/>
      <w:kern w:val="2"/>
      <w:sz w:val="21"/>
      <w:szCs w:val="24"/>
    </w:rPr>
  </w:style>
  <w:style w:type="character" w:customStyle="1" w:styleId="351">
    <w:name w:val="批注框文本 Char"/>
    <w:basedOn w:val="211"/>
    <w:link w:val="58"/>
    <w:semiHidden/>
    <w:qFormat/>
    <w:uiPriority w:val="99"/>
    <w:rPr>
      <w:kern w:val="2"/>
      <w:sz w:val="18"/>
      <w:szCs w:val="18"/>
    </w:rPr>
  </w:style>
  <w:style w:type="character" w:customStyle="1" w:styleId="352">
    <w:name w:val="批注文字 Char"/>
    <w:basedOn w:val="211"/>
    <w:link w:val="34"/>
    <w:qFormat/>
    <w:uiPriority w:val="99"/>
    <w:rPr>
      <w:kern w:val="2"/>
      <w:sz w:val="21"/>
      <w:szCs w:val="24"/>
    </w:rPr>
  </w:style>
  <w:style w:type="character" w:customStyle="1" w:styleId="353">
    <w:name w:val="批注主题 Char"/>
    <w:basedOn w:val="352"/>
    <w:link w:val="85"/>
    <w:semiHidden/>
    <w:qFormat/>
    <w:uiPriority w:val="99"/>
    <w:rPr>
      <w:b/>
      <w:bCs/>
      <w:kern w:val="2"/>
      <w:sz w:val="21"/>
      <w:szCs w:val="24"/>
    </w:rPr>
  </w:style>
  <w:style w:type="character" w:customStyle="1" w:styleId="354">
    <w:name w:val="签名 Char"/>
    <w:basedOn w:val="211"/>
    <w:link w:val="62"/>
    <w:semiHidden/>
    <w:qFormat/>
    <w:uiPriority w:val="99"/>
    <w:rPr>
      <w:kern w:val="2"/>
      <w:sz w:val="21"/>
      <w:szCs w:val="24"/>
    </w:rPr>
  </w:style>
  <w:style w:type="table" w:customStyle="1" w:styleId="355">
    <w:name w:val="浅色底纹1"/>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56">
    <w:name w:val="浅色底纹 - 强调文字颜色 11"/>
    <w:basedOn w:val="88"/>
    <w:semiHidden/>
    <w:unhideWhenUsed/>
    <w:qFormat/>
    <w:uiPriority w:val="60"/>
    <w:rPr>
      <w:color w:val="2E75B5"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357">
    <w:name w:val="浅色列表1"/>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58">
    <w:name w:val="浅色列表 - 强调文字颜色 1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5B9BD5" w:themeFill="accent1"/>
      </w:tcPr>
    </w:tblStylePr>
    <w:tblStylePr w:type="lastRow">
      <w:pPr>
        <w:spacing w:before="0" w:after="0" w:line="240" w:lineRule="auto"/>
      </w:pPr>
      <w:rPr>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customStyle="1" w:styleId="359">
    <w:name w:val="浅色网格1"/>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360">
    <w:name w:val="浅色网格 - 强调文字颜色 1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customStyle="1" w:styleId="361">
    <w:name w:val="清单表 1 浅色1"/>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2">
    <w:name w:val="清单表 1 浅色 - 着色 1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3">
    <w:name w:val="清单表 1 浅色 - 着色 21"/>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4">
    <w:name w:val="清单表 1 浅色 - 着色 31"/>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5">
    <w:name w:val="清单表 1 浅色 - 着色 41"/>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6">
    <w:name w:val="清单表 1 浅色 - 着色 51"/>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67">
    <w:name w:val="清单表 1 浅色 - 着色 61"/>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7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7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7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7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8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9">
    <w:name w:val="清单表 5 深色1"/>
    <w:basedOn w:val="88"/>
    <w:qFormat/>
    <w:uiPriority w:val="50"/>
    <w:rPr>
      <w:color w:val="FFFFFF" w:themeColor="background1"/>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0">
    <w:name w:val="清单表 5 深色 - 着色 11"/>
    <w:basedOn w:val="88"/>
    <w:qFormat/>
    <w:uiPriority w:val="50"/>
    <w:rPr>
      <w:color w:val="FFFFFF" w:themeColor="background1"/>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1">
    <w:name w:val="清单表 5 深色 - 着色 21"/>
    <w:basedOn w:val="88"/>
    <w:qFormat/>
    <w:uiPriority w:val="50"/>
    <w:rPr>
      <w:color w:val="FFFFFF" w:themeColor="background1"/>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2">
    <w:name w:val="清单表 5 深色 - 着色 31"/>
    <w:basedOn w:val="88"/>
    <w:qFormat/>
    <w:uiPriority w:val="50"/>
    <w:rPr>
      <w:color w:val="FFFFFF" w:themeColor="background1"/>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3">
    <w:name w:val="清单表 5 深色 - 着色 41"/>
    <w:basedOn w:val="88"/>
    <w:qFormat/>
    <w:uiPriority w:val="50"/>
    <w:rPr>
      <w:color w:val="FFFFFF" w:themeColor="background1"/>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4">
    <w:name w:val="清单表 5 深色 - 着色 51"/>
    <w:basedOn w:val="88"/>
    <w:qFormat/>
    <w:uiPriority w:val="50"/>
    <w:rPr>
      <w:color w:val="FFFFFF" w:themeColor="background1"/>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5">
    <w:name w:val="清单表 5 深色 - 着色 61"/>
    <w:basedOn w:val="88"/>
    <w:qFormat/>
    <w:uiPriority w:val="50"/>
    <w:rPr>
      <w:color w:val="FFFFFF" w:themeColor="background1"/>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6">
    <w:name w:val="清单表 6 彩色1"/>
    <w:basedOn w:val="88"/>
    <w:qFormat/>
    <w:uiPriority w:val="51"/>
    <w:rPr>
      <w:color w:val="000000" w:themeColor="text1"/>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7">
    <w:name w:val="清单表 6 彩色 - 着色 11"/>
    <w:basedOn w:val="88"/>
    <w:qFormat/>
    <w:uiPriority w:val="51"/>
    <w:rPr>
      <w:color w:val="2E75B5"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8">
    <w:name w:val="清单表 6 彩色 - 着色 21"/>
    <w:basedOn w:val="88"/>
    <w:qFormat/>
    <w:uiPriority w:val="51"/>
    <w:rPr>
      <w:color w:val="C559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9">
    <w:name w:val="清单表 6 彩色 - 着色 31"/>
    <w:basedOn w:val="88"/>
    <w:qFormat/>
    <w:uiPriority w:val="51"/>
    <w:rPr>
      <w:color w:val="7B7B7B"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0">
    <w:name w:val="清单表 6 彩色 - 着色 41"/>
    <w:basedOn w:val="88"/>
    <w:qFormat/>
    <w:uiPriority w:val="51"/>
    <w:rPr>
      <w:color w:val="BE8F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1">
    <w:name w:val="清单表 6 彩色 - 着色 51"/>
    <w:basedOn w:val="88"/>
    <w:qFormat/>
    <w:uiPriority w:val="51"/>
    <w:rPr>
      <w:color w:val="2F5496"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02">
    <w:name w:val="清单表 6 彩色 - 着色 61"/>
    <w:basedOn w:val="88"/>
    <w:qFormat/>
    <w:uiPriority w:val="51"/>
    <w:rPr>
      <w:color w:val="5381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3">
    <w:name w:val="清单表 7 彩色1"/>
    <w:basedOn w:val="88"/>
    <w:qFormat/>
    <w:uiPriority w:val="52"/>
    <w:rPr>
      <w:color w:val="000000" w:themeColor="text1"/>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4">
    <w:name w:val="清单表 7 彩色 - 着色 11"/>
    <w:basedOn w:val="88"/>
    <w:qFormat/>
    <w:uiPriority w:val="52"/>
    <w:rPr>
      <w:color w:val="2E75B5"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5">
    <w:name w:val="清单表 7 彩色 - 着色 21"/>
    <w:basedOn w:val="88"/>
    <w:qFormat/>
    <w:uiPriority w:val="52"/>
    <w:rPr>
      <w:color w:val="C559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6">
    <w:name w:val="清单表 7 彩色 - 着色 31"/>
    <w:basedOn w:val="88"/>
    <w:qFormat/>
    <w:uiPriority w:val="52"/>
    <w:rPr>
      <w:color w:val="7B7B7B"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7">
    <w:name w:val="清单表 7 彩色 - 着色 41"/>
    <w:basedOn w:val="88"/>
    <w:qFormat/>
    <w:uiPriority w:val="52"/>
    <w:rPr>
      <w:color w:val="BE8F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8">
    <w:name w:val="清单表 7 彩色 - 着色 51"/>
    <w:basedOn w:val="88"/>
    <w:qFormat/>
    <w:uiPriority w:val="52"/>
    <w:rPr>
      <w:color w:val="2F5496"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9">
    <w:name w:val="清单表 7 彩色 - 着色 61"/>
    <w:basedOn w:val="88"/>
    <w:qFormat/>
    <w:uiPriority w:val="52"/>
    <w:rPr>
      <w:color w:val="5381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0">
    <w:name w:val="日期 Char"/>
    <w:basedOn w:val="211"/>
    <w:link w:val="54"/>
    <w:semiHidden/>
    <w:qFormat/>
    <w:uiPriority w:val="99"/>
    <w:rPr>
      <w:kern w:val="2"/>
      <w:sz w:val="21"/>
      <w:szCs w:val="24"/>
    </w:rPr>
  </w:style>
  <w:style w:type="table" w:customStyle="1" w:styleId="411">
    <w:name w:val="深色列表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character" w:customStyle="1" w:styleId="412">
    <w:name w:val="书籍标题1"/>
    <w:basedOn w:val="211"/>
    <w:qFormat/>
    <w:uiPriority w:val="33"/>
    <w:rPr>
      <w:b/>
      <w:bCs/>
      <w:i/>
      <w:iCs/>
      <w:spacing w:val="5"/>
    </w:rPr>
  </w:style>
  <w:style w:type="paragraph" w:customStyle="1" w:styleId="413">
    <w:name w:val="书目1"/>
    <w:basedOn w:val="1"/>
    <w:next w:val="1"/>
    <w:semiHidden/>
    <w:unhideWhenUsed/>
    <w:qFormat/>
    <w:uiPriority w:val="37"/>
  </w:style>
  <w:style w:type="table" w:customStyle="1" w:styleId="414">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15">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16">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17">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18">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19">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0">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1">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2">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23">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24">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5">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26">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27">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28">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29">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0">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1">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2">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33">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34">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35">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6">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7">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8">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9">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0">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1">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2">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43">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44">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45">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46">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47">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48">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49">
    <w:name w:val="网格表 6 彩色1"/>
    <w:basedOn w:val="88"/>
    <w:qFormat/>
    <w:uiPriority w:val="51"/>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0">
    <w:name w:val="网格表 6 彩色 - 着色 11"/>
    <w:basedOn w:val="88"/>
    <w:qFormat/>
    <w:uiPriority w:val="51"/>
    <w:rPr>
      <w:color w:val="2E75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1">
    <w:name w:val="网格表 6 彩色 - 着色 21"/>
    <w:basedOn w:val="88"/>
    <w:qFormat/>
    <w:uiPriority w:val="51"/>
    <w:rPr>
      <w:color w:val="C559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2">
    <w:name w:val="网格表 6 彩色 - 着色 31"/>
    <w:basedOn w:val="88"/>
    <w:qFormat/>
    <w:uiPriority w:val="51"/>
    <w:rPr>
      <w:color w:val="7B7B7B"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53">
    <w:name w:val="网格表 6 彩色 - 着色 41"/>
    <w:basedOn w:val="88"/>
    <w:qFormat/>
    <w:uiPriority w:val="51"/>
    <w:rPr>
      <w:color w:val="BE8F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4">
    <w:name w:val="网格表 6 彩色 - 着色 51"/>
    <w:basedOn w:val="88"/>
    <w:qFormat/>
    <w:uiPriority w:val="51"/>
    <w:rPr>
      <w:color w:val="2F5496"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5">
    <w:name w:val="网格表 6 彩色 - 着色 61"/>
    <w:basedOn w:val="88"/>
    <w:qFormat/>
    <w:uiPriority w:val="51"/>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6">
    <w:name w:val="网格表 7 彩色1"/>
    <w:basedOn w:val="88"/>
    <w:qFormat/>
    <w:uiPriority w:val="52"/>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57">
    <w:name w:val="网格表 7 彩色 - 着色 11"/>
    <w:basedOn w:val="88"/>
    <w:qFormat/>
    <w:uiPriority w:val="52"/>
    <w:rPr>
      <w:color w:val="2E75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58">
    <w:name w:val="网格表 7 彩色 - 着色 21"/>
    <w:basedOn w:val="88"/>
    <w:qFormat/>
    <w:uiPriority w:val="52"/>
    <w:rPr>
      <w:color w:val="C559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59">
    <w:name w:val="网格表 7 彩色 - 着色 31"/>
    <w:basedOn w:val="88"/>
    <w:qFormat/>
    <w:uiPriority w:val="52"/>
    <w:rPr>
      <w:color w:val="7B7B7B"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0">
    <w:name w:val="网格表 7 彩色 - 着色 41"/>
    <w:basedOn w:val="88"/>
    <w:qFormat/>
    <w:uiPriority w:val="52"/>
    <w:rPr>
      <w:color w:val="BE8F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1">
    <w:name w:val="网格表 7 彩色 - 着色 51"/>
    <w:basedOn w:val="88"/>
    <w:qFormat/>
    <w:uiPriority w:val="52"/>
    <w:rPr>
      <w:color w:val="2F5496"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2">
    <w:name w:val="网格表 7 彩色 - 着色 61"/>
    <w:basedOn w:val="88"/>
    <w:qFormat/>
    <w:uiPriority w:val="52"/>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63">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64">
    <w:name w:val="尾注文本 Char"/>
    <w:basedOn w:val="211"/>
    <w:link w:val="56"/>
    <w:semiHidden/>
    <w:qFormat/>
    <w:uiPriority w:val="99"/>
    <w:rPr>
      <w:kern w:val="2"/>
      <w:sz w:val="21"/>
      <w:szCs w:val="24"/>
    </w:rPr>
  </w:style>
  <w:style w:type="character" w:customStyle="1" w:styleId="465">
    <w:name w:val="文档结构图 Char"/>
    <w:basedOn w:val="211"/>
    <w:link w:val="32"/>
    <w:semiHidden/>
    <w:qFormat/>
    <w:uiPriority w:val="99"/>
    <w:rPr>
      <w:rFonts w:ascii="Microsoft YaHei UI" w:eastAsia="Microsoft YaHei UI"/>
      <w:kern w:val="2"/>
      <w:sz w:val="18"/>
      <w:szCs w:val="18"/>
    </w:rPr>
  </w:style>
  <w:style w:type="table" w:customStyle="1" w:styleId="466">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67">
    <w:name w:val="无格式表格 21"/>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68">
    <w:name w:val="无格式表格 31"/>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69">
    <w:name w:val="无格式表格 41"/>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0">
    <w:name w:val="无格式表格 51"/>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2">
    <w:name w:val="信息标题 Char"/>
    <w:basedOn w:val="211"/>
    <w:link w:val="79"/>
    <w:semiHidden/>
    <w:qFormat/>
    <w:uiPriority w:val="99"/>
    <w:rPr>
      <w:rFonts w:asciiTheme="majorHAnsi" w:hAnsiTheme="majorHAnsi" w:eastAsiaTheme="majorEastAsia" w:cstheme="majorBidi"/>
      <w:kern w:val="2"/>
      <w:sz w:val="24"/>
      <w:szCs w:val="24"/>
      <w:shd w:val="pct20" w:color="auto" w:fill="auto"/>
    </w:rPr>
  </w:style>
  <w:style w:type="paragraph" w:styleId="473">
    <w:name w:val="Quote"/>
    <w:basedOn w:val="1"/>
    <w:next w:val="1"/>
    <w:link w:val="474"/>
    <w:qFormat/>
    <w:uiPriority w:val="29"/>
    <w:pPr>
      <w:spacing w:before="200" w:after="160"/>
      <w:ind w:left="864" w:right="864"/>
      <w:jc w:val="center"/>
    </w:pPr>
    <w:rPr>
      <w:i/>
      <w:iCs/>
      <w:color w:val="3F3F3F" w:themeColor="text1" w:themeTint="BF"/>
    </w:rPr>
  </w:style>
  <w:style w:type="character" w:customStyle="1" w:styleId="474">
    <w:name w:val="引用 Char"/>
    <w:basedOn w:val="211"/>
    <w:link w:val="473"/>
    <w:qFormat/>
    <w:uiPriority w:val="29"/>
    <w:rPr>
      <w:i/>
      <w:iCs/>
      <w:color w:val="3F3F3F" w:themeColor="text1" w:themeTint="BF"/>
      <w:kern w:val="2"/>
      <w:sz w:val="21"/>
      <w:szCs w:val="24"/>
    </w:rPr>
  </w:style>
  <w:style w:type="character" w:styleId="475">
    <w:name w:val="Placeholder Text"/>
    <w:basedOn w:val="211"/>
    <w:semiHidden/>
    <w:qFormat/>
    <w:uiPriority w:val="99"/>
    <w:rPr>
      <w:color w:val="808080"/>
    </w:rPr>
  </w:style>
  <w:style w:type="character" w:customStyle="1" w:styleId="476">
    <w:name w:val="正文首行缩进 Char"/>
    <w:basedOn w:val="314"/>
    <w:link w:val="86"/>
    <w:semiHidden/>
    <w:qFormat/>
    <w:uiPriority w:val="99"/>
    <w:rPr>
      <w:kern w:val="2"/>
      <w:sz w:val="21"/>
      <w:szCs w:val="24"/>
    </w:rPr>
  </w:style>
  <w:style w:type="character" w:customStyle="1" w:styleId="477">
    <w:name w:val="正文文本缩进 Char"/>
    <w:basedOn w:val="211"/>
    <w:link w:val="41"/>
    <w:semiHidden/>
    <w:qFormat/>
    <w:uiPriority w:val="99"/>
    <w:rPr>
      <w:kern w:val="2"/>
      <w:sz w:val="21"/>
      <w:szCs w:val="24"/>
    </w:rPr>
  </w:style>
  <w:style w:type="character" w:customStyle="1" w:styleId="478">
    <w:name w:val="正文首行缩进 2 Char"/>
    <w:basedOn w:val="477"/>
    <w:link w:val="87"/>
    <w:semiHidden/>
    <w:qFormat/>
    <w:uiPriority w:val="99"/>
    <w:rPr>
      <w:kern w:val="2"/>
      <w:sz w:val="21"/>
      <w:szCs w:val="24"/>
    </w:rPr>
  </w:style>
  <w:style w:type="character" w:customStyle="1" w:styleId="479">
    <w:name w:val="正文文本 2 Char"/>
    <w:basedOn w:val="211"/>
    <w:link w:val="76"/>
    <w:semiHidden/>
    <w:qFormat/>
    <w:uiPriority w:val="99"/>
    <w:rPr>
      <w:kern w:val="2"/>
      <w:sz w:val="21"/>
      <w:szCs w:val="24"/>
    </w:rPr>
  </w:style>
  <w:style w:type="character" w:customStyle="1" w:styleId="480">
    <w:name w:val="正文文本 3 Char"/>
    <w:basedOn w:val="211"/>
    <w:link w:val="37"/>
    <w:semiHidden/>
    <w:qFormat/>
    <w:uiPriority w:val="99"/>
    <w:rPr>
      <w:kern w:val="2"/>
      <w:sz w:val="16"/>
      <w:szCs w:val="16"/>
    </w:rPr>
  </w:style>
  <w:style w:type="character" w:customStyle="1" w:styleId="481">
    <w:name w:val="正文文本缩进 2 Char"/>
    <w:basedOn w:val="211"/>
    <w:link w:val="55"/>
    <w:semiHidden/>
    <w:qFormat/>
    <w:uiPriority w:val="99"/>
    <w:rPr>
      <w:kern w:val="2"/>
      <w:sz w:val="21"/>
      <w:szCs w:val="24"/>
    </w:rPr>
  </w:style>
  <w:style w:type="character" w:customStyle="1" w:styleId="482">
    <w:name w:val="正文文本缩进 3 Char"/>
    <w:basedOn w:val="211"/>
    <w:link w:val="71"/>
    <w:semiHidden/>
    <w:qFormat/>
    <w:uiPriority w:val="99"/>
    <w:rPr>
      <w:kern w:val="2"/>
      <w:sz w:val="16"/>
      <w:szCs w:val="16"/>
    </w:rPr>
  </w:style>
  <w:style w:type="table" w:customStyle="1" w:styleId="483">
    <w:name w:val="中等深浅底纹 1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484">
    <w:name w:val="中等深浅底纹 1 - 强调文字颜色 1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6E6F4" w:themeFill="accent1" w:themeFillTint="3F"/>
      </w:tcPr>
    </w:tblStylePr>
    <w:tblStylePr w:type="band1Horz">
      <w:tcPr>
        <w:tcBorders>
          <w:insideH w:val="nil"/>
          <w:insideV w:val="nil"/>
        </w:tcBorders>
        <w:shd w:val="clear" w:color="auto" w:fill="D6E6F4" w:themeFill="accent1" w:themeFillTint="3F"/>
      </w:tcPr>
    </w:tblStylePr>
    <w:tblStylePr w:type="band2Horz">
      <w:tcPr>
        <w:tcBorders>
          <w:insideH w:val="nil"/>
          <w:insideV w:val="nil"/>
        </w:tcBorders>
      </w:tcPr>
    </w:tblStylePr>
  </w:style>
  <w:style w:type="table" w:customStyle="1" w:styleId="485">
    <w:name w:val="中等深浅底纹 2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486">
    <w:name w:val="中等深浅底纹 2 - 强调文字颜色 1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cPr>
        <w:tcBorders>
          <w:left w:val="nil"/>
          <w:right w:val="nil"/>
          <w:insideH w:val="nil"/>
          <w:insideV w:val="nil"/>
        </w:tcBorders>
        <w:shd w:val="clear" w:color="auto" w:fill="5B9BD5"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487">
    <w:name w:val="中等深浅列表 11"/>
    <w:basedOn w:val="88"/>
    <w:semiHidden/>
    <w:unhideWhenUsed/>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488">
    <w:name w:val="中等深浅列表 1 - 强调文字颜色 11"/>
    <w:basedOn w:val="88"/>
    <w:semiHidden/>
    <w:unhideWhenUsed/>
    <w:qFormat/>
    <w:uiPriority w:val="65"/>
    <w:rPr>
      <w:color w:val="000000" w:themeColor="text1"/>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5B9BD5" w:themeColor="accent1" w:sz="8" w:space="0"/>
        </w:tcBorders>
      </w:tcPr>
    </w:tblStylePr>
    <w:tblStylePr w:type="lastRow">
      <w:rPr>
        <w:b/>
        <w:bCs/>
        <w:color w:val="44546A" w:themeColor="text2"/>
      </w:rPr>
      <w:tcPr>
        <w:tcBorders>
          <w:top w:val="single" w:color="5B9BD5" w:themeColor="accent1" w:sz="8" w:space="0"/>
          <w:bottom w:val="single" w:color="5B9BD5" w:themeColor="accent1" w:sz="8" w:space="0"/>
        </w:tcBorders>
      </w:tcPr>
    </w:tblStylePr>
    <w:tblStylePr w:type="firstCol">
      <w:rPr>
        <w:b/>
        <w:bCs/>
      </w:rPr>
    </w:tblStylePr>
    <w:tblStylePr w:type="lastCol">
      <w:rPr>
        <w:b/>
        <w:bCs/>
      </w:rPr>
      <w:tcPr>
        <w:tcBorders>
          <w:top w:val="single" w:color="5B9BD5" w:themeColor="accent1" w:sz="8" w:space="0"/>
          <w:bottom w:val="single" w:color="5B9BD5" w:themeColor="accent1" w:sz="8" w:space="0"/>
        </w:tcBorders>
      </w:tcPr>
    </w:tblStylePr>
    <w:tblStylePr w:type="band1Vert">
      <w:tcPr>
        <w:shd w:val="clear" w:color="auto" w:fill="D6E6F4" w:themeFill="accent1" w:themeFillTint="3F"/>
      </w:tcPr>
    </w:tblStylePr>
    <w:tblStylePr w:type="band1Horz">
      <w:tcPr>
        <w:shd w:val="clear" w:color="auto" w:fill="D6E6F4" w:themeFill="accent1" w:themeFillTint="3F"/>
      </w:tcPr>
    </w:tblStylePr>
  </w:style>
  <w:style w:type="table" w:customStyle="1" w:styleId="489">
    <w:name w:val="中等深浅列表 21"/>
    <w:basedOn w:val="88"/>
    <w:semiHidden/>
    <w:unhideWhenUsed/>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490">
    <w:name w:val="中等深浅网格 1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491">
    <w:name w:val="中等深浅网格 21"/>
    <w:basedOn w:val="88"/>
    <w:semiHidden/>
    <w:unhideWhenUsed/>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492">
    <w:name w:val="中等深浅网格 3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character" w:customStyle="1" w:styleId="493">
    <w:name w:val="注释标题 Char"/>
    <w:basedOn w:val="211"/>
    <w:link w:val="22"/>
    <w:semiHidden/>
    <w:qFormat/>
    <w:uiPriority w:val="99"/>
    <w:rPr>
      <w:kern w:val="2"/>
      <w:sz w:val="21"/>
      <w:szCs w:val="24"/>
    </w:rPr>
  </w:style>
  <w:style w:type="paragraph" w:customStyle="1" w:styleId="494">
    <w:name w:val="附录无标题章"/>
    <w:basedOn w:val="257"/>
    <w:qFormat/>
    <w:uiPriority w:val="0"/>
    <w:pPr>
      <w:spacing w:beforeLines="0" w:afterLines="0"/>
    </w:pPr>
    <w:rPr>
      <w:rFonts w:asciiTheme="majorEastAsia" w:eastAsiaTheme="majorEastAsia"/>
    </w:rPr>
  </w:style>
  <w:style w:type="paragraph" w:customStyle="1" w:styleId="495">
    <w:name w:val="附录一级无标题条"/>
    <w:basedOn w:val="258"/>
    <w:qFormat/>
    <w:uiPriority w:val="0"/>
    <w:pPr>
      <w:spacing w:beforeLines="0" w:afterLines="0"/>
    </w:pPr>
    <w:rPr>
      <w:rFonts w:asciiTheme="majorEastAsia" w:eastAsiaTheme="majorEastAsia"/>
    </w:rPr>
  </w:style>
  <w:style w:type="paragraph" w:customStyle="1" w:styleId="496">
    <w:name w:val="附录二级无标题条"/>
    <w:basedOn w:val="259"/>
    <w:qFormat/>
    <w:uiPriority w:val="0"/>
    <w:pPr>
      <w:spacing w:beforeLines="0" w:afterLines="0"/>
    </w:pPr>
    <w:rPr>
      <w:rFonts w:asciiTheme="majorEastAsia" w:eastAsiaTheme="majorEastAsia"/>
    </w:rPr>
  </w:style>
  <w:style w:type="paragraph" w:customStyle="1" w:styleId="497">
    <w:name w:val="附录三级无标题条"/>
    <w:basedOn w:val="260"/>
    <w:qFormat/>
    <w:uiPriority w:val="0"/>
    <w:pPr>
      <w:spacing w:beforeLines="0" w:afterLines="0"/>
    </w:pPr>
    <w:rPr>
      <w:rFonts w:asciiTheme="majorEastAsia" w:eastAsiaTheme="majorEastAsia"/>
    </w:rPr>
  </w:style>
  <w:style w:type="paragraph" w:customStyle="1" w:styleId="498">
    <w:name w:val="附录四级无标题条"/>
    <w:basedOn w:val="261"/>
    <w:qFormat/>
    <w:uiPriority w:val="0"/>
    <w:pPr>
      <w:spacing w:beforeLines="0" w:afterLines="0"/>
    </w:pPr>
    <w:rPr>
      <w:rFonts w:asciiTheme="majorEastAsia" w:eastAsiaTheme="majorEastAsia"/>
    </w:rPr>
  </w:style>
  <w:style w:type="paragraph" w:customStyle="1" w:styleId="499">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500">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1">
    <w:name w:val="发布GB"/>
    <w:basedOn w:val="40"/>
    <w:qFormat/>
    <w:uiPriority w:val="0"/>
    <w:pPr>
      <w:spacing w:after="0" w:line="280" w:lineRule="exact"/>
      <w:ind w:left="284"/>
    </w:pPr>
    <w:rPr>
      <w:rFonts w:ascii="黑体" w:eastAsia="黑体"/>
      <w:kern w:val="3"/>
      <w:sz w:val="28"/>
    </w:rPr>
  </w:style>
  <w:style w:type="paragraph" w:customStyle="1" w:styleId="502">
    <w:name w:val="发布DB"/>
    <w:basedOn w:val="501"/>
    <w:qFormat/>
    <w:uiPriority w:val="0"/>
    <w:pPr>
      <w:ind w:left="567"/>
    </w:pPr>
  </w:style>
  <w:style w:type="paragraph" w:customStyle="1" w:styleId="503">
    <w:name w:val="发布HB"/>
    <w:basedOn w:val="501"/>
    <w:qFormat/>
    <w:uiPriority w:val="0"/>
    <w:pPr>
      <w:ind w:left="567"/>
    </w:pPr>
  </w:style>
  <w:style w:type="paragraph" w:customStyle="1" w:styleId="504">
    <w:name w:val="发布QB"/>
    <w:basedOn w:val="501"/>
    <w:qFormat/>
    <w:uiPriority w:val="0"/>
    <w:pPr>
      <w:ind w:left="567"/>
    </w:pPr>
  </w:style>
  <w:style w:type="paragraph" w:customStyle="1" w:styleId="505">
    <w:name w:val="发布TB"/>
    <w:basedOn w:val="501"/>
    <w:qFormat/>
    <w:uiPriority w:val="0"/>
    <w:pPr>
      <w:ind w:left="567"/>
    </w:pPr>
  </w:style>
  <w:style w:type="paragraph" w:customStyle="1" w:styleId="50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7">
    <w:name w:val="标准标志CEC"/>
    <w:basedOn w:val="1"/>
    <w:qFormat/>
    <w:uiPriority w:val="0"/>
    <w:pPr>
      <w:jc w:val="right"/>
    </w:pPr>
    <w:rPr>
      <w:rFonts w:eastAsia="Times New Roman"/>
      <w:b/>
      <w:sz w:val="96"/>
    </w:rPr>
  </w:style>
  <w:style w:type="paragraph" w:customStyle="1" w:styleId="508">
    <w:name w:val="标准称谓CEC"/>
    <w:basedOn w:val="1"/>
    <w:qFormat/>
    <w:uiPriority w:val="0"/>
    <w:pPr>
      <w:jc w:val="center"/>
    </w:pPr>
    <w:rPr>
      <w:rFonts w:eastAsia="黑体"/>
      <w:b/>
      <w:w w:val="132"/>
      <w:kern w:val="0"/>
      <w:sz w:val="52"/>
    </w:rPr>
  </w:style>
  <w:style w:type="paragraph" w:customStyle="1" w:styleId="509">
    <w:name w:val="发布CEC"/>
    <w:basedOn w:val="501"/>
    <w:qFormat/>
    <w:uiPriority w:val="0"/>
  </w:style>
  <w:style w:type="paragraph" w:customStyle="1" w:styleId="510">
    <w:name w:val="发布部门CEC"/>
    <w:basedOn w:val="1"/>
    <w:qFormat/>
    <w:uiPriority w:val="0"/>
    <w:pPr>
      <w:snapToGrid w:val="0"/>
    </w:pPr>
    <w:rPr>
      <w:b/>
      <w:w w:val="135"/>
      <w:kern w:val="0"/>
      <w:sz w:val="36"/>
    </w:rPr>
  </w:style>
  <w:style w:type="paragraph" w:customStyle="1" w:styleId="511">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2">
    <w:name w:val="附录公式标号"/>
    <w:basedOn w:val="346"/>
    <w:qFormat/>
    <w:uiPriority w:val="0"/>
    <w:pPr>
      <w:numPr>
        <w:ilvl w:val="0"/>
        <w:numId w:val="27"/>
      </w:numPr>
      <w:snapToGrid w:val="0"/>
      <w:spacing w:line="14" w:lineRule="atLeast"/>
      <w:ind w:firstLineChars="0"/>
    </w:pPr>
    <w:rPr>
      <w:color w:val="FFFFFF" w:themeColor="background1"/>
      <w:sz w:val="2"/>
    </w:rPr>
  </w:style>
  <w:style w:type="paragraph" w:customStyle="1" w:styleId="513">
    <w:name w:val="附录公式编号"/>
    <w:basedOn w:val="40"/>
    <w:qFormat/>
    <w:uiPriority w:val="0"/>
    <w:pPr>
      <w:numPr>
        <w:ilvl w:val="1"/>
        <w:numId w:val="27"/>
      </w:numPr>
    </w:pPr>
  </w:style>
  <w:style w:type="character" w:customStyle="1" w:styleId="514">
    <w:name w:val="段 Char"/>
    <w:link w:val="239"/>
    <w:qFormat/>
    <w:uiPriority w:val="0"/>
    <w:rPr>
      <w:rFonts w:ascii="宋体"/>
      <w:sz w:val="21"/>
    </w:rPr>
  </w:style>
  <w:style w:type="character" w:customStyle="1" w:styleId="515">
    <w:name w:val="未处理的提及1"/>
    <w:basedOn w:val="211"/>
    <w:semiHidden/>
    <w:unhideWhenUsed/>
    <w:qFormat/>
    <w:uiPriority w:val="99"/>
    <w:rPr>
      <w:color w:val="605E5C"/>
      <w:shd w:val="clear" w:color="auto" w:fill="E1DFDD"/>
    </w:rPr>
  </w:style>
  <w:style w:type="paragraph" w:customStyle="1" w:styleId="516">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7">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8">
    <w:name w:val="列项◆（三级）"/>
    <w:basedOn w:val="1"/>
    <w:qFormat/>
    <w:uiPriority w:val="0"/>
    <w:pPr>
      <w:numPr>
        <w:ilvl w:val="2"/>
        <w:numId w:val="28"/>
      </w:numPr>
    </w:pPr>
    <w:rPr>
      <w:rFonts w:ascii="宋体"/>
      <w:szCs w:val="21"/>
    </w:rPr>
  </w:style>
  <w:style w:type="paragraph" w:customStyle="1" w:styleId="5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2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ind w:left="1260" w:hanging="420"/>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0A4"/>
    <w:rsid w:val="00032D66"/>
    <w:rsid w:val="00040411"/>
    <w:rsid w:val="0008494D"/>
    <w:rsid w:val="0009103D"/>
    <w:rsid w:val="00115C00"/>
    <w:rsid w:val="001E3539"/>
    <w:rsid w:val="00232BAC"/>
    <w:rsid w:val="002705B7"/>
    <w:rsid w:val="003059CA"/>
    <w:rsid w:val="00466638"/>
    <w:rsid w:val="004713AF"/>
    <w:rsid w:val="004F1E24"/>
    <w:rsid w:val="004F3B8D"/>
    <w:rsid w:val="0055724A"/>
    <w:rsid w:val="005F5A25"/>
    <w:rsid w:val="005F5A6F"/>
    <w:rsid w:val="0060767D"/>
    <w:rsid w:val="006149A4"/>
    <w:rsid w:val="0065534D"/>
    <w:rsid w:val="00657E46"/>
    <w:rsid w:val="00663483"/>
    <w:rsid w:val="00684BB1"/>
    <w:rsid w:val="006F7088"/>
    <w:rsid w:val="00742121"/>
    <w:rsid w:val="00767AC6"/>
    <w:rsid w:val="007B223A"/>
    <w:rsid w:val="00883868"/>
    <w:rsid w:val="00A25A36"/>
    <w:rsid w:val="00A444B1"/>
    <w:rsid w:val="00A70AC0"/>
    <w:rsid w:val="00AF20A4"/>
    <w:rsid w:val="00B612E9"/>
    <w:rsid w:val="00B93A13"/>
    <w:rsid w:val="00BC45AD"/>
    <w:rsid w:val="00BD02C9"/>
    <w:rsid w:val="00C76D6C"/>
    <w:rsid w:val="00C82F9A"/>
    <w:rsid w:val="00CB7CFF"/>
    <w:rsid w:val="00D1398A"/>
    <w:rsid w:val="00D34FCD"/>
    <w:rsid w:val="00D40D23"/>
    <w:rsid w:val="00DE374A"/>
    <w:rsid w:val="00E46456"/>
    <w:rsid w:val="00EA6900"/>
    <w:rsid w:val="00EF2836"/>
    <w:rsid w:val="00F05EAF"/>
    <w:rsid w:val="00F53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85D1D1529D04B7AA675A5D9960F93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D724D301D2348DD96F0C91041F3F4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DDBC1CE984646A180FBCCC3FBC132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D8855883FBB4020988663CF61910C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4B62C306C1948F0B9FC4803D77DD7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79873ADD1F841D19E9464406C9B8C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8"/>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CFC77-3848-4E8C-9CF5-C43F38EFC5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2727</Words>
  <Characters>15550</Characters>
  <Lines>129</Lines>
  <Paragraphs>36</Paragraphs>
  <TotalTime>4</TotalTime>
  <ScaleCrop>false</ScaleCrop>
  <LinksUpToDate>false</LinksUpToDate>
  <CharactersWithSpaces>18241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2025-05-29T18:05:00Z</dcterms:created>
  <dc:creator>GY</dc:creator>
  <cp:lastModifiedBy>何强</cp:lastModifiedBy>
  <cp:lastPrinted>2025-05-20T08:43:00Z</cp:lastPrinted>
  <dcterms:modified xsi:type="dcterms:W3CDTF">2025-05-30T06:39:28Z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TemplateDocerSaveRecord">
    <vt:lpwstr>eyJoZGlkIjoiZTRhZjM5M2Q4MGU5YjYxNWNiNzY0NjUzNzc0ZGVhOTQiLCJ1c2VySWQiOiI0MTgzNDQ3NTIifQ==</vt:lpwstr>
  </property>
  <property fmtid="{D5CDD505-2E9C-101B-9397-08002B2CF9AE}" pid="22" name="KSOProductBuildVer">
    <vt:lpwstr>2052-11.8.2.9022</vt:lpwstr>
  </property>
  <property fmtid="{D5CDD505-2E9C-101B-9397-08002B2CF9AE}" pid="23" name="ICV">
    <vt:lpwstr>31F662FFD7EA4655A2A9B60432F6B545_13</vt:lpwstr>
  </property>
</Properties>
</file>