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left"/>
        <w:rPr>
          <w:rFonts w:hint="eastAsia" w:ascii="黑体" w:hAnsi="黑体" w:eastAsia="黑体"/>
          <w:b w:val="0"/>
        </w:rPr>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jc w:val="center"/>
        <w:rPr>
          <w:rFonts w:ascii="黑体" w:eastAsia="黑体"/>
          <w:sz w:val="44"/>
          <w:szCs w:val="44"/>
        </w:rPr>
      </w:pPr>
      <w:r>
        <w:rPr>
          <w:rFonts w:hint="eastAsia" w:ascii="黑体" w:eastAsia="黑体"/>
          <w:sz w:val="44"/>
          <w:szCs w:val="44"/>
        </w:rPr>
        <w:t>负荷模拟式继电保护向量检查</w:t>
      </w:r>
    </w:p>
    <w:p>
      <w:pPr>
        <w:pStyle w:val="14"/>
        <w:ind w:firstLine="0" w:firstLineChars="0"/>
        <w:jc w:val="center"/>
        <w:rPr>
          <w:rFonts w:ascii="黑体" w:eastAsia="黑体"/>
          <w:sz w:val="44"/>
          <w:szCs w:val="44"/>
        </w:rPr>
      </w:pPr>
      <w:r>
        <w:rPr>
          <w:rFonts w:hint="eastAsia" w:ascii="黑体" w:eastAsia="黑体"/>
          <w:sz w:val="44"/>
          <w:szCs w:val="44"/>
        </w:rPr>
        <w:t>试验装置技术条件</w:t>
      </w:r>
    </w:p>
    <w:p>
      <w:pPr>
        <w:pStyle w:val="14"/>
      </w:pPr>
    </w:p>
    <w:p>
      <w:pPr>
        <w:pStyle w:val="14"/>
      </w:pPr>
    </w:p>
    <w:p>
      <w:pPr>
        <w:pStyle w:val="15"/>
        <w:numPr>
          <w:ilvl w:val="0"/>
          <w:numId w:val="0"/>
        </w:numPr>
        <w:jc w:val="center"/>
        <w:rPr>
          <w:sz w:val="28"/>
          <w:szCs w:val="28"/>
        </w:rPr>
      </w:pPr>
      <w:bookmarkStart w:id="0" w:name="_Toc298937368"/>
      <w:bookmarkStart w:id="1" w:name="_Toc298937333"/>
      <w:bookmarkStart w:id="2" w:name="_Toc309997060"/>
      <w:bookmarkStart w:id="3" w:name="_Toc309996019"/>
      <w:bookmarkStart w:id="4" w:name="_Toc298938794"/>
      <w:bookmarkStart w:id="5" w:name="_Toc304828086"/>
      <w:bookmarkStart w:id="6" w:name="_Toc309993200"/>
      <w:bookmarkStart w:id="7" w:name="_Toc320020914"/>
      <w:bookmarkStart w:id="8" w:name="_Toc304825020"/>
      <w:bookmarkStart w:id="9" w:name="_Toc318613715"/>
      <w:bookmarkStart w:id="10" w:name="_Toc304402675"/>
      <w:bookmarkStart w:id="11" w:name="_Toc304825093"/>
      <w:bookmarkStart w:id="12" w:name="_Toc309994571"/>
      <w:bookmarkStart w:id="13" w:name="_Toc298937620"/>
      <w:bookmarkStart w:id="14" w:name="_Toc298937560"/>
      <w:bookmarkStart w:id="15" w:name="_Toc304824981"/>
      <w:bookmarkStart w:id="16" w:name="_Toc298937473"/>
      <w:bookmarkStart w:id="17" w:name="_Toc310002657"/>
      <w:bookmarkStart w:id="18" w:name="_Toc309995492"/>
      <w:bookmarkStart w:id="19" w:name="_Toc298938646"/>
      <w:bookmarkStart w:id="20" w:name="_Toc298937430"/>
      <w:bookmarkStart w:id="21" w:name="_Toc309995410"/>
      <w:bookmarkStart w:id="22" w:name="_Toc309995598"/>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14"/>
        <w:ind w:firstLine="560"/>
        <w:jc w:val="center"/>
        <w:rPr>
          <w:rFonts w:ascii="黑体" w:eastAsia="黑体"/>
          <w:sz w:val="28"/>
          <w:szCs w:val="28"/>
        </w:rPr>
      </w:pPr>
    </w:p>
    <w:p>
      <w:pPr>
        <w:pStyle w:val="14"/>
        <w:ind w:firstLine="560"/>
        <w:jc w:val="center"/>
        <w:rPr>
          <w:rFonts w:ascii="黑体" w:eastAsia="黑体"/>
          <w:sz w:val="28"/>
          <w:szCs w:val="28"/>
        </w:rPr>
      </w:pPr>
    </w:p>
    <w:p>
      <w:pPr>
        <w:pStyle w:val="14"/>
        <w:sectPr>
          <w:headerReference r:id="rId4" w:type="first"/>
          <w:footerReference r:id="rId6" w:type="first"/>
          <w:headerReference r:id="rId3" w:type="even"/>
          <w:footerReference r:id="rId5" w:type="even"/>
          <w:pgSz w:w="11906" w:h="16838"/>
          <w:pgMar w:top="567" w:right="1134" w:bottom="1134" w:left="1417" w:header="1418" w:footer="1134" w:gutter="0"/>
          <w:cols w:space="720" w:num="1"/>
          <w:formProt w:val="0"/>
          <w:docGrid w:type="lines" w:linePitch="312" w:charSpace="0"/>
        </w:sectPr>
      </w:pPr>
    </w:p>
    <w:p>
      <w:pPr>
        <w:pStyle w:val="16"/>
      </w:pPr>
      <w:bookmarkStart w:id="23" w:name="_Toc513731021"/>
      <w:bookmarkStart w:id="24" w:name="_Toc309992160"/>
      <w:bookmarkStart w:id="25" w:name="_Toc199512764"/>
      <w:bookmarkStart w:id="26" w:name="_Toc513731109"/>
      <w:r>
        <w:rPr>
          <w:rFonts w:hint="eastAsia"/>
        </w:rPr>
        <w:t>目次</w:t>
      </w:r>
      <w:bookmarkEnd w:id="23"/>
      <w:bookmarkEnd w:id="24"/>
      <w:bookmarkEnd w:id="25"/>
      <w:bookmarkEnd w:id="26"/>
    </w:p>
    <w:p>
      <w:pPr>
        <w:pStyle w:val="7"/>
        <w:spacing w:before="78" w:after="78"/>
        <w:rPr>
          <w:rFonts w:asciiTheme="minorHAnsi" w:hAnsiTheme="minorHAnsi" w:eastAsiaTheme="minorEastAsia" w:cstheme="minorBidi"/>
          <w:sz w:val="22"/>
          <w:szCs w:val="24"/>
          <w14:ligatures w14:val="standardContextual"/>
        </w:rPr>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r>
        <w:fldChar w:fldCharType="begin"/>
      </w:r>
      <w:r>
        <w:instrText xml:space="preserve"> HYPERLINK \l "_Toc199512765" </w:instrText>
      </w:r>
      <w:r>
        <w:fldChar w:fldCharType="separate"/>
      </w:r>
      <w:r>
        <w:rPr>
          <w:rStyle w:val="13"/>
          <w:rFonts w:hint="eastAsia" w:hAnsi="宋体"/>
        </w:rPr>
        <w:t>1 编制背景</w:t>
      </w:r>
      <w:r>
        <w:rPr>
          <w:rFonts w:hint="eastAsia"/>
        </w:rPr>
        <w:tab/>
      </w:r>
      <w:r>
        <w:rPr>
          <w:rFonts w:hint="eastAsia"/>
        </w:rPr>
        <w:t>1</w:t>
      </w:r>
      <w:r>
        <w:rPr>
          <w:rFonts w:hint="eastAsia"/>
        </w:rPr>
        <w:fldChar w:fldCharType="end"/>
      </w:r>
    </w:p>
    <w:p>
      <w:pPr>
        <w:pStyle w:val="7"/>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"_Toc199512766" </w:instrText>
      </w:r>
      <w:r>
        <w:fldChar w:fldCharType="separate"/>
      </w:r>
      <w:r>
        <w:rPr>
          <w:rStyle w:val="13"/>
          <w:rFonts w:hint="eastAsia" w:hAnsi="宋体"/>
        </w:rPr>
        <w:t>2 编制主要原则</w:t>
      </w:r>
      <w:r>
        <w:rPr>
          <w:rFonts w:hint="eastAsia"/>
        </w:rPr>
        <w:tab/>
      </w:r>
      <w:r>
        <w:rPr>
          <w:rFonts w:hint="eastAsia"/>
        </w:rPr>
        <w:t>1</w:t>
      </w:r>
      <w:r>
        <w:rPr>
          <w:rFonts w:hint="eastAsia"/>
        </w:rPr>
        <w:fldChar w:fldCharType="end"/>
      </w:r>
    </w:p>
    <w:p>
      <w:pPr>
        <w:pStyle w:val="7"/>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"_Toc199512767" </w:instrText>
      </w:r>
      <w:r>
        <w:fldChar w:fldCharType="separate"/>
      </w:r>
      <w:r>
        <w:rPr>
          <w:rStyle w:val="13"/>
          <w:rFonts w:hint="eastAsia" w:hAnsi="宋体"/>
        </w:rPr>
        <w:t>4</w:t>
      </w:r>
      <w:r>
        <w:rPr>
          <w:rStyle w:val="13"/>
          <w:rFonts w:hint="eastAsia"/>
        </w:rPr>
        <w:t xml:space="preserve"> 标准结构和内容说明</w:t>
      </w:r>
      <w:r>
        <w:rPr>
          <w:rFonts w:hint="eastAsia"/>
        </w:rPr>
        <w:tab/>
      </w:r>
      <w:r>
        <w:rPr>
          <w:rFonts w:hint="eastAsia"/>
        </w:rPr>
        <w:t>2</w:t>
      </w:r>
      <w:r>
        <w:rPr>
          <w:rFonts w:hint="eastAsia"/>
        </w:rPr>
        <w:fldChar w:fldCharType="end"/>
      </w:r>
    </w:p>
    <w:p>
      <w:pPr>
        <w:pStyle w:val="7"/>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"_Toc199512768" </w:instrText>
      </w:r>
      <w:r>
        <w:fldChar w:fldCharType="separate"/>
      </w:r>
      <w:r>
        <w:rPr>
          <w:rStyle w:val="13"/>
          <w:rFonts w:hint="eastAsia" w:hAnsi="宋体"/>
        </w:rPr>
        <w:t>5相关</w:t>
      </w:r>
      <w:r>
        <w:rPr>
          <w:rStyle w:val="13"/>
          <w:rFonts w:hint="eastAsia"/>
        </w:rPr>
        <w:t>标准对比说明</w:t>
      </w:r>
      <w:r>
        <w:rPr>
          <w:rFonts w:hint="eastAsia"/>
        </w:rPr>
        <w:tab/>
      </w:r>
      <w:r>
        <w:rPr>
          <w:rFonts w:hint="eastAsia"/>
        </w:rPr>
        <w:t>2</w:t>
      </w:r>
      <w:r>
        <w:rPr>
          <w:rFonts w:hint="eastAsia"/>
        </w:rPr>
        <w:fldChar w:fldCharType="end"/>
      </w:r>
    </w:p>
    <w:p>
      <w:pPr>
        <w:pStyle w:val="7"/>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"_Toc199512769" </w:instrText>
      </w:r>
      <w:r>
        <w:fldChar w:fldCharType="separate"/>
      </w:r>
      <w:r>
        <w:rPr>
          <w:rStyle w:val="13"/>
          <w:rFonts w:hint="eastAsia" w:hAnsi="宋体"/>
        </w:rPr>
        <w:t>6相关</w:t>
      </w:r>
      <w:r>
        <w:rPr>
          <w:rStyle w:val="13"/>
          <w:rFonts w:hint="eastAsia"/>
        </w:rPr>
        <w:t>标准名称变更的说明</w:t>
      </w:r>
      <w:r>
        <w:rPr>
          <w:rFonts w:hint="eastAsia"/>
        </w:rPr>
        <w:tab/>
      </w:r>
      <w:r>
        <w:rPr>
          <w:rFonts w:hint="eastAsia"/>
        </w:rPr>
        <w:t>2</w:t>
      </w:r>
      <w:r>
        <w:rPr>
          <w:rFonts w:hint="eastAsia"/>
        </w:rPr>
        <w:fldChar w:fldCharType="end"/>
      </w:r>
    </w:p>
    <w:p>
      <w:pPr>
        <w:pStyle w:val="7"/>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"_Toc199512770" </w:instrText>
      </w:r>
      <w:r>
        <w:fldChar w:fldCharType="separate"/>
      </w:r>
      <w:r>
        <w:rPr>
          <w:rStyle w:val="13"/>
          <w:rFonts w:hint="eastAsia" w:hAnsi="宋体"/>
        </w:rPr>
        <w:t>7标准实施措施说明</w:t>
      </w:r>
      <w:r>
        <w:rPr>
          <w:rFonts w:hint="eastAsia"/>
        </w:rPr>
        <w:tab/>
      </w:r>
      <w:r>
        <w:rPr>
          <w:rFonts w:hint="eastAsia"/>
        </w:rPr>
        <w:t>3</w:t>
      </w:r>
      <w:r>
        <w:rPr>
          <w:rFonts w:hint="eastAsia"/>
        </w:rPr>
        <w:fldChar w:fldCharType="end"/>
      </w:r>
    </w:p>
    <w:p>
      <w:pPr>
        <w:pStyle w:val="14"/>
        <w:rPr>
          <w:rFonts w:hint="eastAsia" w:hAnsi="宋体"/>
          <w:szCs w:val="21"/>
        </w:rPr>
      </w:pPr>
      <w:r>
        <w:rPr>
          <w:rFonts w:hAnsi="宋体"/>
          <w:szCs w:val="21"/>
        </w:rPr>
        <w:fldChar w:fldCharType="end"/>
      </w:r>
    </w:p>
    <w:p>
      <w:pPr>
        <w:pStyle w:val="14"/>
        <w:rPr>
          <w:rFonts w:hint="eastAsia" w:hAnsi="宋体"/>
          <w:szCs w:val="21"/>
        </w:rPr>
      </w:pPr>
    </w:p>
    <w:p>
      <w:pPr>
        <w:pStyle w:val="14"/>
        <w:rPr>
          <w:rFonts w:hint="eastAsia" w:hAnsi="宋体"/>
          <w:szCs w:val="21"/>
        </w:rPr>
      </w:pPr>
    </w:p>
    <w:p>
      <w:pPr>
        <w:pStyle w:val="14"/>
        <w:rPr>
          <w:rFonts w:hint="eastAsia" w:hAnsi="宋体"/>
          <w:szCs w:val="21"/>
        </w:rPr>
      </w:pPr>
    </w:p>
    <w:p>
      <w:pPr>
        <w:pStyle w:val="14"/>
        <w:rPr>
          <w:rFonts w:hint="eastAsia" w:hAnsi="宋体"/>
          <w:szCs w:val="21"/>
        </w:rPr>
        <w:sectPr>
          <w:headerReference r:id="rId7" w:type="default"/>
          <w:footerReference r:id="rId8" w:type="default"/>
          <w:pgSz w:w="11906" w:h="16838"/>
          <w:pgMar w:top="567" w:right="1134" w:bottom="1134" w:left="1417" w:header="1418" w:footer="1134" w:gutter="0"/>
          <w:pgNumType w:start="28"/>
          <w:cols w:space="720" w:num="1"/>
          <w:formProt w:val="0"/>
          <w:docGrid w:type="lines" w:linePitch="312" w:charSpace="0"/>
        </w:sectPr>
      </w:pPr>
    </w:p>
    <w:p>
      <w:pPr>
        <w:pStyle w:val="18"/>
        <w:spacing w:before="312" w:after="312"/>
        <w:rPr>
          <w:rFonts w:hint="eastAsia" w:ascii="宋体" w:hAnsi="宋体"/>
          <w:szCs w:val="21"/>
        </w:rPr>
      </w:pPr>
      <w:bookmarkStart w:id="27" w:name="_Toc199512765"/>
      <w:r>
        <w:rPr>
          <w:rFonts w:hint="eastAsia" w:ascii="宋体" w:hAnsi="宋体"/>
          <w:szCs w:val="21"/>
        </w:rPr>
        <w:t>1 编制背景</w:t>
      </w:r>
      <w:bookmarkEnd w:id="27"/>
    </w:p>
    <w:p>
      <w:pPr>
        <w:ind w:firstLine="420"/>
        <w:rPr>
          <w:rFonts w:ascii="宋体"/>
          <w:kern w:val="0"/>
        </w:rPr>
      </w:pPr>
      <w:r>
        <w:rPr>
          <w:rFonts w:hint="eastAsia" w:ascii="宋体"/>
          <w:kern w:val="0"/>
        </w:rPr>
        <w:t>根据DL/T995《</w:t>
      </w:r>
      <w:r>
        <w:rPr>
          <w:rFonts w:hint="eastAsia"/>
          <w:szCs w:val="21"/>
        </w:rPr>
        <w:t>继电保护和电网安全自动装置检验规程</w:t>
      </w:r>
      <w:r>
        <w:rPr>
          <w:rFonts w:hint="eastAsia" w:ascii="宋体"/>
          <w:kern w:val="0"/>
        </w:rPr>
        <w:t>》的要求，继电保护和电网安全自动装置投运时，应用一次电流及工作电压检验接入装置的电流、电压的幅值、相位关系，对于未经此项检验的装置不能正式投入运行。但是，随着新型电力系统建设的不断推进，越来越多的电力场站在接入电网的初期无法组织有效负荷完成电流、电压的幅值、相位关系检查，通常采用由调度机构调整电网运行方式或场站端租赁大容量负荷的方式进行，极大增加了给电网运行操作的复杂性，增加了新建、改（扩）建工程投产的安全风险，提高了场站端的投资成本高，降低了工程投产效率。</w:t>
      </w:r>
    </w:p>
    <w:p>
      <w:pPr>
        <w:ind w:firstLine="420"/>
      </w:pPr>
      <w:r>
        <w:rPr>
          <w:rFonts w:hint="eastAsia" w:ascii="宋体"/>
          <w:kern w:val="0"/>
        </w:rPr>
        <w:t>接入继电保护和电网安全自动装置的电流、电压的幅值、相位关系检查是新设备送电前的必检项目，电流、电压的幅值、相位错误将导致正常运行状态或故障状态的继电保护误动或拒动，所以继电保护正式投运前必须严格保证接入继电保护和电网安全自动装置的电流、电压的幅值、相位关系的正确性。负荷模拟式继电保护向量检查试验技术是通过模拟变电站一次电流和工作电压的方式，将“带电后”的试验提前至“带电前”完成，实现</w:t>
      </w:r>
      <w:r>
        <w:rPr>
          <w:rFonts w:hint="eastAsia"/>
        </w:rPr>
        <w:t>验证流入继电保护装置电流电压的相位、幅值，与电流电压互感器一次接线相对极性关系正确性的目的，从而简化</w:t>
      </w:r>
      <w:r>
        <w:rPr>
          <w:rFonts w:hint="eastAsia" w:ascii="宋体"/>
          <w:kern w:val="0"/>
        </w:rPr>
        <w:t>新建、改（扩）建工程投产送电操作，保证工程顺利投产。</w:t>
      </w:r>
    </w:p>
    <w:p>
      <w:pPr>
        <w:pStyle w:val="14"/>
        <w:spacing w:line="300" w:lineRule="exact"/>
        <w:rPr>
          <w:kern w:val="2"/>
        </w:rPr>
      </w:pPr>
      <w:r>
        <w:rPr>
          <w:rFonts w:hint="eastAsia"/>
        </w:rPr>
        <w:t>制定本标准可对</w:t>
      </w:r>
      <w:bookmarkStart w:id="28" w:name="_Hlk198910452"/>
      <w:r>
        <w:rPr>
          <w:rFonts w:hint="eastAsia"/>
        </w:rPr>
        <w:t>负荷模拟式继电保护向量检查试验装置的</w:t>
      </w:r>
      <w:bookmarkEnd w:id="28"/>
      <w:r>
        <w:rPr>
          <w:rFonts w:hint="eastAsia"/>
        </w:rPr>
        <w:t>设计、制造、检验工作起到规范作用，有利于保证负荷模拟式继电保护向量检查试验装置的有效性和实用性。</w:t>
      </w:r>
    </w:p>
    <w:p>
      <w:pPr>
        <w:pStyle w:val="18"/>
        <w:spacing w:before="312" w:after="312" w:line="300" w:lineRule="exact"/>
        <w:rPr>
          <w:rFonts w:hint="eastAsia" w:ascii="宋体" w:hAnsi="宋体"/>
          <w:szCs w:val="21"/>
        </w:rPr>
      </w:pPr>
      <w:bookmarkStart w:id="29" w:name="_Toc199512766"/>
      <w:r>
        <w:rPr>
          <w:rFonts w:hint="eastAsia" w:ascii="宋体" w:hAnsi="宋体"/>
          <w:szCs w:val="21"/>
        </w:rPr>
        <w:t>2 编制主要原则</w:t>
      </w:r>
      <w:bookmarkEnd w:id="29"/>
    </w:p>
    <w:p>
      <w:pPr>
        <w:ind w:firstLine="420"/>
        <w:rPr>
          <w:kern w:val="0"/>
        </w:rPr>
      </w:pPr>
      <w:r>
        <w:rPr>
          <w:kern w:val="0"/>
        </w:rPr>
        <w:t>本标准参考了现有的相关国家标准、行业标准，按照《中国电机工程学会团体标准管理办法（暂行）》的要求，依据GB/T1.1—2009《标准化工作导则第1部分：标准的结构和编写》的规则起草。</w:t>
      </w:r>
    </w:p>
    <w:p>
      <w:pPr>
        <w:ind w:firstLine="420"/>
        <w:rPr>
          <w:kern w:val="0"/>
        </w:rPr>
      </w:pPr>
      <w:r>
        <w:rPr>
          <w:kern w:val="0"/>
        </w:rPr>
        <w:t>针对目前负荷模拟式继电保护向量检查试验装置尚无相关国家/国际标准，本标准尽量使条文具有较强的可操作性，便于理解、引用和实施为原则，对负荷模拟式继电保护向量检查试验装置的技术要求、检验规则等进行了规定，适用于负荷模拟式继电保护向量检查试验装置的研发、设计、制造和检验。</w:t>
      </w:r>
    </w:p>
    <w:p>
      <w:pPr>
        <w:pStyle w:val="14"/>
        <w:spacing w:line="300" w:lineRule="exact"/>
      </w:pPr>
      <w:r>
        <w:rPr>
          <w:rFonts w:hint="eastAsia"/>
        </w:rPr>
        <w:t>本标准项目计划名称为“继电保护相量测试装置技术要求”，由于国家电网有限公司在2024年启动了《负荷模拟式继电保护向量检查试验导则》的编制工作，且《负荷模拟式继电保护向量检查试验导则》是本标准要求的继电保护相量测试装置的现场检验实施方案，两项标准具有很强的关联性，所以本标准编写工作组经过慎重的讨论，一致认为本标准更名为《</w:t>
      </w:r>
      <w:r>
        <w:t>负荷模拟式继电保护向量检查试验装置技术</w:t>
      </w:r>
      <w:r>
        <w:rPr>
          <w:rFonts w:hint="eastAsia"/>
        </w:rPr>
        <w:t>条件》。</w:t>
      </w:r>
    </w:p>
    <w:p>
      <w:pPr>
        <w:pStyle w:val="14"/>
        <w:spacing w:line="300" w:lineRule="exact"/>
      </w:pPr>
    </w:p>
    <w:p>
      <w:pPr>
        <w:pStyle w:val="14"/>
        <w:spacing w:line="300" w:lineRule="exact"/>
        <w:ind w:firstLine="0" w:firstLineChars="0"/>
        <w:rPr>
          <w:rFonts w:hint="eastAsia" w:hAnsi="宋体" w:eastAsia="黑体"/>
          <w:kern w:val="44"/>
          <w:szCs w:val="21"/>
        </w:rPr>
      </w:pPr>
      <w:r>
        <w:rPr>
          <w:rFonts w:hint="eastAsia" w:hAnsi="宋体" w:eastAsia="黑体"/>
          <w:kern w:val="44"/>
          <w:szCs w:val="21"/>
        </w:rPr>
        <w:t>3 主要工作过程</w:t>
      </w:r>
    </w:p>
    <w:p>
      <w:pPr>
        <w:pStyle w:val="14"/>
        <w:rPr>
          <w:kern w:val="2"/>
        </w:rPr>
      </w:pPr>
      <w:r>
        <w:rPr>
          <w:kern w:val="2"/>
        </w:rPr>
        <w:t>本</w:t>
      </w:r>
      <w:r>
        <w:rPr>
          <w:rFonts w:hint="eastAsia"/>
          <w:kern w:val="2"/>
        </w:rPr>
        <w:t>标准</w:t>
      </w:r>
      <w:r>
        <w:rPr>
          <w:kern w:val="2"/>
        </w:rPr>
        <w:t>的主要工作过程如下：</w:t>
      </w:r>
    </w:p>
    <w:p>
      <w:pPr>
        <w:ind w:firstLine="420"/>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213360</wp:posOffset>
                </wp:positionV>
                <wp:extent cx="309245" cy="323850"/>
                <wp:effectExtent l="0" t="0" r="0" b="635"/>
                <wp:wrapNone/>
                <wp:docPr id="922861514" name="文本框 1"/>
                <wp:cNvGraphicFramePr/>
                <a:graphic xmlns:a="http://schemas.openxmlformats.org/drawingml/2006/main">
                  <a:graphicData uri="http://schemas.microsoft.com/office/word/2010/wordprocessingShape">
                    <wps:wsp>
                      <wps:cNvSpPr txBox="1"/>
                      <wps:spPr>
                        <a:xfrm>
                          <a:off x="0" y="0"/>
                          <a:ext cx="309489" cy="323557"/>
                        </a:xfrm>
                        <a:prstGeom prst="rect">
                          <a:avLst/>
                        </a:prstGeom>
                        <a:solidFill>
                          <a:schemeClr val="lt1"/>
                        </a:solidFill>
                        <a:ln w="6350">
                          <a:noFill/>
                        </a:ln>
                      </wps:spPr>
                      <wps:txbx>
                        <w:txbxContent>
                          <w:p>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75pt;margin-top:16.8pt;height:25.5pt;width:24.35pt;z-index:251659264;mso-width-relative:page;mso-height-relative:page;" fillcolor="#FFFFFF [3201]" filled="t" stroked="f" coordsize="21600,21600" o:gfxdata="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pYjk0gAAAAcBAAAPAAAAAAAAAAEAIAAAACIAAABkcnMvZG93bnJl&#10;di54bWxQSwECFAAUAAAACACHTuJAiAdscjwCAABIBAAADgAAAAAAAAABACAAAAAhAQAAZHJzL2Uy&#10;b0RvYy54bWxQSwUGAAAAAAYABgBZAQAAzwUAAAAA&#10;">
                <v:fill on="t" focussize="0,0"/>
                <v:stroke on="f" weight="0.5pt"/>
                <v:imagedata o:title=""/>
                <o:lock v:ext="edit" aspectratio="f"/>
                <v:textbox>
                  <w:txbxContent>
                    <w:p>
                      <w:r>
                        <w:rPr>
                          <w:rFonts w:hint="eastAsia"/>
                        </w:rPr>
                        <w:t>1</w:t>
                      </w:r>
                    </w:p>
                  </w:txbxContent>
                </v:textbox>
              </v:shape>
            </w:pict>
          </mc:Fallback>
        </mc:AlternateContent>
      </w:r>
      <w:r>
        <w:rPr>
          <w:rFonts w:hint="eastAsia"/>
        </w:rPr>
        <w:t>继电保护专委会按照中国电机工程学会的要求，于2024年7月组建了中国电机工程学会标准《</w:t>
      </w:r>
      <w:r>
        <w:rPr>
          <w:rFonts w:hint="eastAsia"/>
          <w:kern w:val="0"/>
        </w:rPr>
        <w:t>继电保护相量测试装置技术要求</w:t>
      </w:r>
      <w:r>
        <w:rPr>
          <w:rFonts w:hint="eastAsia"/>
        </w:rPr>
        <w:t>》的编写工作组，并于2024年11月7日在沈阳组织召开了第一次工作组会议。会议讨论并明确了《</w:t>
      </w:r>
      <w:r>
        <w:rPr>
          <w:rFonts w:hint="eastAsia"/>
          <w:kern w:val="0"/>
        </w:rPr>
        <w:t>继电保护相量测试装置技术要求</w:t>
      </w:r>
      <w:r>
        <w:rPr>
          <w:rFonts w:hint="eastAsia"/>
        </w:rPr>
        <w:t xml:space="preserve">》的编制原则和技术思路，确定了标准大纲及编写分工，明确了标准的编制进度及安排，并形成会议纪要。 </w:t>
      </w:r>
    </w:p>
    <w:p>
      <w:pPr>
        <w:ind w:firstLine="420"/>
      </w:pPr>
      <w:r>
        <w:t>2024年11月-2025年4月，标准编写组按照第一次工作组会议纪要的要求，编制了《</w:t>
      </w:r>
      <w:r>
        <w:rPr>
          <w:rFonts w:hint="eastAsia"/>
          <w:kern w:val="0"/>
        </w:rPr>
        <w:t>继电保护相量测试装置技术要求</w:t>
      </w:r>
      <w:r>
        <w:t xml:space="preserve">》标准初稿。 </w:t>
      </w:r>
    </w:p>
    <w:p>
      <w:pPr>
        <w:ind w:firstLine="420"/>
      </w:pPr>
      <w:r>
        <w:t>2025年4月1日，在沈阳召开了标准制定的第二次工作组会议，对标准初稿的各个章节的编写内容进行了详细、充分的梳理和讨论，提出了修改意见，明确了修改进度及安排，并形成会议纪要</w:t>
      </w:r>
      <w:r>
        <w:rPr>
          <w:rFonts w:hint="eastAsia"/>
        </w:rPr>
        <w:t>，商定标准更名为</w:t>
      </w:r>
      <w:r>
        <w:rPr>
          <w:rFonts w:hint="eastAsia"/>
          <w:kern w:val="0"/>
        </w:rPr>
        <w:t>《</w:t>
      </w:r>
      <w:r>
        <w:t>负荷模拟式继电保护向量检查试验装置技术</w:t>
      </w:r>
      <w:r>
        <w:rPr>
          <w:rFonts w:hint="eastAsia"/>
        </w:rPr>
        <w:t>条件</w:t>
      </w:r>
      <w:r>
        <w:rPr>
          <w:rFonts w:hint="eastAsia"/>
          <w:kern w:val="0"/>
        </w:rPr>
        <w:t>》</w:t>
      </w:r>
      <w:r>
        <w:t xml:space="preserve">。 </w:t>
      </w:r>
    </w:p>
    <w:p>
      <w:pPr>
        <w:ind w:firstLine="420"/>
      </w:pPr>
      <w:r>
        <w:t>2025年5月12日-5月16日，标准编写组根据第二次工作组会议纪要要求，对《负荷模拟式继电保护向量检查试验装置</w:t>
      </w:r>
      <w:r>
        <w:rPr>
          <w:rFonts w:hint="eastAsia"/>
        </w:rPr>
        <w:t>技术条件</w:t>
      </w:r>
      <w:r>
        <w:t>》初稿进行修改、补充和完善，形成了《负荷模拟式继电保护向量检查试验装置</w:t>
      </w:r>
      <w:r>
        <w:rPr>
          <w:rFonts w:hint="eastAsia"/>
        </w:rPr>
        <w:t>技术条件</w:t>
      </w:r>
      <w:r>
        <w:t xml:space="preserve">》初稿修改稿。 </w:t>
      </w:r>
    </w:p>
    <w:p>
      <w:pPr>
        <w:pStyle w:val="14"/>
        <w:ind w:left="-4" w:leftChars="-2"/>
        <w:rPr>
          <w:kern w:val="2"/>
          <w:lang w:val="en-GB"/>
        </w:rPr>
      </w:pPr>
      <w:r>
        <w:t>2025年5月17日</w:t>
      </w:r>
      <w:r>
        <w:rPr>
          <w:rFonts w:hint="eastAsia"/>
        </w:rPr>
        <w:t>-</w:t>
      </w:r>
      <w:r>
        <w:t>5月23日，</w:t>
      </w:r>
      <w:r>
        <w:rPr>
          <w:rFonts w:hint="eastAsia"/>
        </w:rPr>
        <w:t>标准召集人在标准编写工作组内征求专家意见，并根据专家意见对标准初稿修改稿进行了完善，编制形成了标准的征求意见稿和编制说明。</w:t>
      </w:r>
    </w:p>
    <w:p>
      <w:pPr>
        <w:pStyle w:val="18"/>
        <w:spacing w:before="312" w:after="312" w:line="300" w:lineRule="exact"/>
      </w:pPr>
      <w:bookmarkStart w:id="30" w:name="_Toc199512767"/>
      <w:r>
        <w:rPr>
          <w:rFonts w:hint="eastAsia" w:ascii="宋体" w:hAnsi="宋体"/>
          <w:szCs w:val="21"/>
        </w:rPr>
        <w:t>4</w:t>
      </w:r>
      <w:r>
        <w:rPr>
          <w:rFonts w:hint="eastAsia"/>
        </w:rPr>
        <w:t xml:space="preserve"> 标准结构和内容说明</w:t>
      </w:r>
      <w:bookmarkEnd w:id="30"/>
    </w:p>
    <w:p>
      <w:pPr>
        <w:ind w:firstLine="420"/>
      </w:pPr>
      <w:r>
        <w:rPr>
          <w:rFonts w:hint="eastAsia"/>
        </w:rPr>
        <w:t xml:space="preserve">本标准依据GB/T 1.1—2020《标准化工作导则 第1部分：标准化文件的结构和起草规则》的编写要求进行标准编制。标准的主要结构和内容如下： </w:t>
      </w:r>
    </w:p>
    <w:p>
      <w:pPr>
        <w:ind w:firstLine="420"/>
      </w:pPr>
      <w:r>
        <w:rPr>
          <w:rFonts w:hint="eastAsia"/>
        </w:rPr>
        <w:t xml:space="preserve">1. 目次； </w:t>
      </w:r>
    </w:p>
    <w:p>
      <w:pPr>
        <w:ind w:firstLine="420"/>
      </w:pPr>
      <w:r>
        <w:rPr>
          <w:rFonts w:hint="eastAsia"/>
        </w:rPr>
        <w:t xml:space="preserve">2. 前言； </w:t>
      </w:r>
    </w:p>
    <w:p>
      <w:pPr>
        <w:ind w:firstLine="420"/>
      </w:pPr>
      <w:r>
        <w:rPr>
          <w:rFonts w:hint="eastAsia"/>
        </w:rPr>
        <w:t xml:space="preserve">3. 标准正文共设7章：范围、规范性引用文件、术语和定义、技术要求、检验规则、标志、包装、运输、贮存、质量保证期限； </w:t>
      </w:r>
    </w:p>
    <w:p>
      <w:pPr>
        <w:overflowPunct w:val="0"/>
        <w:topLinePunct/>
        <w:spacing w:line="320" w:lineRule="exact"/>
        <w:ind w:firstLine="420" w:firstLineChars="200"/>
      </w:pPr>
      <w:r>
        <w:rPr>
          <w:rFonts w:hint="eastAsia"/>
        </w:rPr>
        <w:t>4. 附录A（规范性）向量检查装置试验项目。</w:t>
      </w:r>
    </w:p>
    <w:p>
      <w:pPr>
        <w:pStyle w:val="18"/>
        <w:spacing w:before="312" w:after="312" w:line="300" w:lineRule="exact"/>
      </w:pPr>
      <w:bookmarkStart w:id="31" w:name="_Toc199512768"/>
      <w:r>
        <w:rPr>
          <w:rFonts w:hint="eastAsia" w:ascii="宋体" w:hAnsi="宋体"/>
          <w:szCs w:val="21"/>
        </w:rPr>
        <w:t>5相关</w:t>
      </w:r>
      <w:r>
        <w:rPr>
          <w:rFonts w:hint="eastAsia"/>
        </w:rPr>
        <w:t>标准对比说明</w:t>
      </w:r>
      <w:bookmarkEnd w:id="31"/>
    </w:p>
    <w:p>
      <w:pPr>
        <w:pStyle w:val="20"/>
        <w:spacing w:line="300" w:lineRule="exact"/>
        <w:ind w:firstLineChars="0"/>
      </w:pPr>
      <w:r>
        <w:rPr>
          <w:rFonts w:hint="eastAsia"/>
        </w:rPr>
        <w:t>本标准与相关技术领域的国家现行法律、法规和政策保持一致。</w:t>
      </w:r>
    </w:p>
    <w:p>
      <w:pPr>
        <w:pStyle w:val="20"/>
        <w:spacing w:line="300" w:lineRule="exact"/>
        <w:ind w:firstLineChars="0"/>
      </w:pPr>
      <w:r>
        <w:rPr>
          <w:rFonts w:hint="eastAsia"/>
        </w:rPr>
        <w:t>本标准的某些内容可能涉及专利。本标准的发布机构不承担识别这些专利的责任。</w:t>
      </w:r>
    </w:p>
    <w:p>
      <w:pPr>
        <w:pStyle w:val="18"/>
        <w:spacing w:before="312" w:after="312" w:line="300" w:lineRule="exact"/>
      </w:pPr>
      <w:bookmarkStart w:id="32" w:name="_Toc199512769"/>
      <w:r>
        <w:rPr>
          <w:rFonts w:hint="eastAsia" w:ascii="宋体" w:hAnsi="宋体"/>
          <w:szCs w:val="21"/>
        </w:rPr>
        <w:t>6相关</w:t>
      </w:r>
      <w:r>
        <w:rPr>
          <w:rFonts w:hint="eastAsia"/>
        </w:rPr>
        <w:t>标准名称变更的说明</w:t>
      </w:r>
      <w:bookmarkEnd w:id="32"/>
    </w:p>
    <w:p>
      <w:pPr>
        <w:pStyle w:val="20"/>
        <w:spacing w:line="300" w:lineRule="exact"/>
        <w:ind w:firstLineChars="0"/>
      </w:pPr>
      <w:r>
        <w:rPr>
          <w:rFonts w:hint="eastAsia"/>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1042035</wp:posOffset>
                </wp:positionV>
                <wp:extent cx="302260" cy="316230"/>
                <wp:effectExtent l="0" t="0" r="2540" b="7620"/>
                <wp:wrapNone/>
                <wp:docPr id="843960020" name="文本框 2"/>
                <wp:cNvGraphicFramePr/>
                <a:graphic xmlns:a="http://schemas.openxmlformats.org/drawingml/2006/main">
                  <a:graphicData uri="http://schemas.microsoft.com/office/word/2010/wordprocessingShape">
                    <wps:wsp>
                      <wps:cNvSpPr txBox="1"/>
                      <wps:spPr>
                        <a:xfrm>
                          <a:off x="0" y="0"/>
                          <a:ext cx="302455" cy="316523"/>
                        </a:xfrm>
                        <a:prstGeom prst="rect">
                          <a:avLst/>
                        </a:prstGeom>
                        <a:solidFill>
                          <a:schemeClr val="lt1"/>
                        </a:solidFill>
                        <a:ln w="6350">
                          <a:noFill/>
                        </a:ln>
                      </wps:spPr>
                      <wps:txbx>
                        <w:txbxContent>
                          <w:p>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5.25pt;margin-top:82.05pt;height:24.9pt;width:23.8pt;z-index:251660288;mso-width-relative:page;mso-height-relative:page;" fillcolor="#FFFFFF [3201]" filled="t" stroked="f" coordsize="21600,21600" o:gfxdata="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cHF9D1AAAAAkBAAAPAAAAAAAAAAEAIAAAACIAAABkcnMvZG93bnJl&#10;di54bWxQSwECFAAUAAAACACHTuJAZezPIToCAABIBAAADgAAAAAAAAABACAAAAAjAQAAZHJzL2Uy&#10;b0RvYy54bWxQSwUGAAAAAAYABgBZAQAAzwUAAAAA&#10;">
                <v:fill on="t" focussize="0,0"/>
                <v:stroke on="f" weight="0.5pt"/>
                <v:imagedata o:title=""/>
                <o:lock v:ext="edit" aspectratio="f"/>
                <v:textbox>
                  <w:txbxContent>
                    <w:p>
                      <w:r>
                        <w:rPr>
                          <w:rFonts w:hint="eastAsia"/>
                        </w:rPr>
                        <w:t>2</w:t>
                      </w:r>
                    </w:p>
                  </w:txbxContent>
                </v:textbox>
              </v:shape>
            </w:pict>
          </mc:Fallback>
        </mc:AlternateContent>
      </w:r>
      <w:r>
        <w:rPr>
          <w:rFonts w:hint="eastAsia"/>
        </w:rPr>
        <w:t>立项下达名称：《继电保护相量测试装置技术要求》。在标准编制过程中，经</w:t>
      </w:r>
      <w:r>
        <w:rPr>
          <w:rFonts w:hint="eastAsia"/>
          <w:lang w:val="en-US" w:eastAsia="zh-CN"/>
        </w:rPr>
        <w:t>标准编写组讨论，申请将</w:t>
      </w:r>
      <w:r>
        <w:rPr>
          <w:rFonts w:hint="eastAsia"/>
        </w:rPr>
        <w:t>该标准名称</w:t>
      </w:r>
      <w:bookmarkStart w:id="36" w:name="_GoBack"/>
      <w:bookmarkEnd w:id="36"/>
      <w:r>
        <w:rPr>
          <w:rFonts w:hint="eastAsia"/>
        </w:rPr>
        <w:t>修改为《负荷模拟式继电保护向量检查试验装置技术条件》</w:t>
      </w:r>
      <w:bookmarkStart w:id="33" w:name="OLE_LINK1"/>
      <w:r>
        <w:rPr>
          <w:rFonts w:hint="eastAsia"/>
        </w:rPr>
        <w:t>，</w:t>
      </w:r>
      <w:bookmarkEnd w:id="33"/>
      <w:r>
        <w:rPr>
          <w:rFonts w:hint="eastAsia"/>
        </w:rPr>
        <w:t>理由为：本标准规定了能够在被试设备一次侧模拟施加具有相位关系的试验电流和试验电压，用于验证流入继电保护装置电流电压的相位、幅值，与电流电压互感器一次接线相对极性关系正确性的检查装置应遵循的技术原则，在标准名称中未体现出一次侧模拟施加电气量的试验方式。名称改为“负荷模拟式继电保护向量检查试验装置技术条件”，表述更为准确。</w:t>
      </w:r>
    </w:p>
    <w:p>
      <w:pPr>
        <w:pStyle w:val="18"/>
        <w:spacing w:before="312" w:after="312" w:line="300" w:lineRule="exact"/>
        <w:rPr>
          <w:rFonts w:hint="eastAsia" w:ascii="宋体" w:hAnsi="宋体"/>
          <w:szCs w:val="21"/>
        </w:rPr>
      </w:pPr>
      <w:bookmarkStart w:id="34" w:name="_Toc199512770"/>
      <w:r>
        <w:rPr>
          <w:rFonts w:hint="eastAsia" w:ascii="宋体" w:hAnsi="宋体"/>
          <w:szCs w:val="21"/>
        </w:rPr>
        <w:t>7标准实施措施说明</w:t>
      </w:r>
      <w:bookmarkEnd w:id="34"/>
    </w:p>
    <w:p>
      <w:pPr>
        <w:pStyle w:val="18"/>
        <w:spacing w:before="312" w:after="312" w:line="300" w:lineRule="exact"/>
        <w:rPr>
          <w:rFonts w:ascii="Calibri" w:hAnsi="Calibri" w:eastAsia="宋体"/>
          <w:kern w:val="2"/>
          <w:szCs w:val="22"/>
        </w:rPr>
      </w:pPr>
      <w:bookmarkStart w:id="35" w:name="_Toc199512771"/>
      <w:r>
        <w:rPr>
          <w:rFonts w:hint="eastAsia" w:ascii="Calibri" w:hAnsi="Calibri" w:eastAsia="宋体"/>
          <w:kern w:val="2"/>
          <w:szCs w:val="22"/>
        </w:rPr>
        <w:t>无</w:t>
      </w:r>
      <w:bookmarkEnd w:id="35"/>
    </w:p>
    <w:p>
      <w: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7780655</wp:posOffset>
                </wp:positionV>
                <wp:extent cx="246380" cy="281305"/>
                <wp:effectExtent l="0" t="0" r="1905" b="4445"/>
                <wp:wrapNone/>
                <wp:docPr id="359550133" name="文本框 3"/>
                <wp:cNvGraphicFramePr/>
                <a:graphic xmlns:a="http://schemas.openxmlformats.org/drawingml/2006/main">
                  <a:graphicData uri="http://schemas.microsoft.com/office/word/2010/wordprocessingShape">
                    <wps:wsp>
                      <wps:cNvSpPr txBox="1"/>
                      <wps:spPr>
                        <a:xfrm>
                          <a:off x="0" y="0"/>
                          <a:ext cx="246185" cy="281354"/>
                        </a:xfrm>
                        <a:prstGeom prst="rect">
                          <a:avLst/>
                        </a:prstGeom>
                        <a:solidFill>
                          <a:schemeClr val="lt1"/>
                        </a:solidFill>
                        <a:ln w="6350">
                          <a:noFill/>
                        </a:ln>
                      </wps:spPr>
                      <wps:txbx>
                        <w:txbxContent>
                          <w:p>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6.35pt;margin-top:612.65pt;height:22.15pt;width:19.4pt;z-index:251661312;mso-width-relative:page;mso-height-relative:page;" fillcolor="#FFFFFF [3201]" filled="t" stroked="f" coordsize="21600,21600" o:gfxdata="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MxOR/VAAAACwEAAA8AAAAAAAAAAQAgAAAAIgAAAGRycy9kb3du&#10;cmV2LnhtbFBLAQIUABQAAAAIAIdO4kBcwZg3OwIAAEgEAAAOAAAAAAAAAAEAIAAAACQBAABkcnMv&#10;ZTJvRG9jLnhtbFBLBQYAAAAABgAGAFkBAADRBQAAAAA=&#10;">
                <v:fill on="t" focussize="0,0"/>
                <v:stroke on="f" weight="0.5pt"/>
                <v:imagedata o:title=""/>
                <o:lock v:ext="edit" aspectratio="f"/>
                <v:textbox>
                  <w:txbxContent>
                    <w:p>
                      <w:r>
                        <w:rPr>
                          <w:rFonts w:hint="eastAsia"/>
                        </w:rPr>
                        <w:t>3</w:t>
                      </w:r>
                    </w:p>
                  </w:txbxContent>
                </v:textbox>
              </v:shape>
            </w:pict>
          </mc:Fallback>
        </mc:AlternateConten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5"/>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TRjNDAxMzljMjc4YmViYjE1M2YwYjYwODc2N2IifQ=="/>
  </w:docVars>
  <w:rsids>
    <w:rsidRoot w:val="2626189E"/>
    <w:rsid w:val="0000682A"/>
    <w:rsid w:val="000477AA"/>
    <w:rsid w:val="000D360F"/>
    <w:rsid w:val="000F3267"/>
    <w:rsid w:val="00146227"/>
    <w:rsid w:val="002366A1"/>
    <w:rsid w:val="00247E8B"/>
    <w:rsid w:val="00257CD5"/>
    <w:rsid w:val="00293E9D"/>
    <w:rsid w:val="002D5F3D"/>
    <w:rsid w:val="003D5730"/>
    <w:rsid w:val="003D6AC4"/>
    <w:rsid w:val="005041CC"/>
    <w:rsid w:val="006B6E53"/>
    <w:rsid w:val="006D7734"/>
    <w:rsid w:val="0070225D"/>
    <w:rsid w:val="0078419F"/>
    <w:rsid w:val="007E68A0"/>
    <w:rsid w:val="0086416B"/>
    <w:rsid w:val="008C6D96"/>
    <w:rsid w:val="009775B2"/>
    <w:rsid w:val="009F06C9"/>
    <w:rsid w:val="00A81FCF"/>
    <w:rsid w:val="00A93D4C"/>
    <w:rsid w:val="00AA33A2"/>
    <w:rsid w:val="00B242B9"/>
    <w:rsid w:val="00B34CE2"/>
    <w:rsid w:val="00C53822"/>
    <w:rsid w:val="00C65C1A"/>
    <w:rsid w:val="00D008AD"/>
    <w:rsid w:val="00D3367B"/>
    <w:rsid w:val="00D46B2B"/>
    <w:rsid w:val="00D52223"/>
    <w:rsid w:val="00DA7B32"/>
    <w:rsid w:val="00DE333E"/>
    <w:rsid w:val="00EF31C7"/>
    <w:rsid w:val="00EF37B5"/>
    <w:rsid w:val="00FC2E35"/>
    <w:rsid w:val="02056D00"/>
    <w:rsid w:val="07787CA1"/>
    <w:rsid w:val="0E4874F8"/>
    <w:rsid w:val="0E4B7C02"/>
    <w:rsid w:val="13515E55"/>
    <w:rsid w:val="18DB563A"/>
    <w:rsid w:val="1ACE786A"/>
    <w:rsid w:val="1B7925B4"/>
    <w:rsid w:val="1C0F0CDE"/>
    <w:rsid w:val="225D7D68"/>
    <w:rsid w:val="237C10C0"/>
    <w:rsid w:val="2626189E"/>
    <w:rsid w:val="286B22EE"/>
    <w:rsid w:val="28C00F47"/>
    <w:rsid w:val="2ED378F1"/>
    <w:rsid w:val="31C7282F"/>
    <w:rsid w:val="343A7CCB"/>
    <w:rsid w:val="3B443DF8"/>
    <w:rsid w:val="3D085B96"/>
    <w:rsid w:val="446850D1"/>
    <w:rsid w:val="493132D9"/>
    <w:rsid w:val="4BFE2794"/>
    <w:rsid w:val="4FE84865"/>
    <w:rsid w:val="52D15F58"/>
    <w:rsid w:val="546D32BB"/>
    <w:rsid w:val="58676D06"/>
    <w:rsid w:val="64231050"/>
    <w:rsid w:val="6CD8249C"/>
    <w:rsid w:val="6D247FDC"/>
    <w:rsid w:val="6E0160D3"/>
    <w:rsid w:val="6EFB1762"/>
    <w:rsid w:val="75BD7AE6"/>
    <w:rsid w:val="77E8017E"/>
    <w:rsid w:val="78C31D61"/>
    <w:rsid w:val="7AFA1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jc w:val="left"/>
    </w:pPr>
    <w:rPr>
      <w:rFonts w:ascii="Arial" w:hAnsi="Arial"/>
    </w:rPr>
  </w:style>
  <w:style w:type="paragraph" w:styleId="5">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23"/>
    <w:qFormat/>
    <w:uiPriority w:val="0"/>
    <w:pP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2">
    <w:name w:val="page number"/>
    <w:qFormat/>
    <w:uiPriority w:val="0"/>
    <w:rPr>
      <w:rFonts w:ascii="Times New Roman" w:hAnsi="Times New Roman" w:eastAsia="宋体"/>
      <w:sz w:val="18"/>
    </w:rPr>
  </w:style>
  <w:style w:type="character" w:styleId="13">
    <w:name w:val="Hyperlink"/>
    <w:unhideWhenUsed/>
    <w:qFormat/>
    <w:uiPriority w:val="99"/>
    <w:rPr>
      <w:color w:val="0000FF"/>
      <w:u w:val="single"/>
    </w:rPr>
  </w:style>
  <w:style w:type="paragraph" w:customStyle="1" w:styleId="14">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paragraph" w:customStyle="1" w:styleId="15">
    <w:name w:val="章标题"/>
    <w:next w:val="14"/>
    <w:qFormat/>
    <w:uiPriority w:val="0"/>
    <w:pPr>
      <w:numPr>
        <w:ilvl w:val="0"/>
        <w:numId w:val="1"/>
      </w:numPr>
      <w:spacing w:before="312" w:beforeLines="100" w:after="312" w:afterLines="100" w:line="278" w:lineRule="auto"/>
      <w:jc w:val="both"/>
      <w:outlineLvl w:val="1"/>
    </w:pPr>
    <w:rPr>
      <w:rFonts w:ascii="黑体" w:hAnsi="Times New Roman" w:eastAsia="黑体" w:cs="Times New Roman"/>
      <w:sz w:val="21"/>
      <w:lang w:val="en-US" w:eastAsia="zh-CN" w:bidi="ar-SA"/>
    </w:rPr>
  </w:style>
  <w:style w:type="paragraph" w:customStyle="1" w:styleId="16">
    <w:name w:val="目次、标准名称标题"/>
    <w:basedOn w:val="17"/>
    <w:next w:val="14"/>
    <w:qFormat/>
    <w:uiPriority w:val="0"/>
    <w:pPr>
      <w:keepNext/>
      <w:pageBreakBefore/>
      <w:spacing w:line="460" w:lineRule="exact"/>
    </w:pPr>
  </w:style>
  <w:style w:type="paragraph" w:customStyle="1" w:styleId="17">
    <w:name w:val="前言、引言标题"/>
    <w:next w:val="1"/>
    <w:qFormat/>
    <w:uiPriority w:val="0"/>
    <w:pPr>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18">
    <w:name w:val="样式 标题 1 + 非加粗"/>
    <w:basedOn w:val="4"/>
    <w:qFormat/>
    <w:uiPriority w:val="0"/>
    <w:pPr>
      <w:spacing w:before="100" w:beforeLines="100" w:after="100" w:afterLines="100" w:line="240" w:lineRule="auto"/>
    </w:pPr>
    <w:rPr>
      <w:rFonts w:eastAsia="黑体"/>
      <w:b w:val="0"/>
      <w:bCs w:val="0"/>
      <w:sz w:val="21"/>
    </w:rPr>
  </w:style>
  <w:style w:type="paragraph" w:customStyle="1" w:styleId="19">
    <w:name w:val="附录章标题"/>
    <w:next w:val="14"/>
    <w:qFormat/>
    <w:uiPriority w:val="0"/>
    <w:pPr>
      <w:numPr>
        <w:ilvl w:val="1"/>
        <w:numId w:val="2"/>
      </w:numPr>
      <w:tabs>
        <w:tab w:val="left" w:pos="360"/>
      </w:tabs>
      <w:wordWrap w:val="0"/>
      <w:overflowPunct w:val="0"/>
      <w:autoSpaceDE w:val="0"/>
      <w:spacing w:before="100" w:beforeLines="100" w:after="100" w:afterLines="100" w:line="278" w:lineRule="auto"/>
      <w:jc w:val="both"/>
      <w:textAlignment w:val="baseline"/>
      <w:outlineLvl w:val="1"/>
    </w:pPr>
    <w:rPr>
      <w:rFonts w:ascii="黑体" w:hAnsi="Times New Roman" w:eastAsia="黑体" w:cs="Times New Roman"/>
      <w:kern w:val="21"/>
      <w:sz w:val="21"/>
      <w:lang w:val="en-US" w:eastAsia="zh-CN" w:bidi="ar-SA"/>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标准书眉_奇数页"/>
    <w:next w:val="1"/>
    <w:qFormat/>
    <w:uiPriority w:val="0"/>
    <w:pPr>
      <w:tabs>
        <w:tab w:val="center" w:pos="4154"/>
        <w:tab w:val="right" w:pos="8306"/>
      </w:tabs>
      <w:spacing w:after="220" w:line="278" w:lineRule="auto"/>
      <w:jc w:val="right"/>
    </w:pPr>
    <w:rPr>
      <w:rFonts w:ascii="黑体" w:hAnsi="Times New Roman" w:eastAsia="黑体" w:cs="Times New Roman"/>
      <w:sz w:val="21"/>
      <w:szCs w:val="21"/>
      <w:lang w:val="en-US" w:eastAsia="zh-CN" w:bidi="ar-SA"/>
    </w:rPr>
  </w:style>
  <w:style w:type="paragraph" w:customStyle="1" w:styleId="22">
    <w:name w:val="标准书脚_奇数页"/>
    <w:qFormat/>
    <w:uiPriority w:val="0"/>
    <w:pPr>
      <w:spacing w:before="120" w:after="160" w:line="278" w:lineRule="auto"/>
      <w:ind w:right="198"/>
      <w:jc w:val="right"/>
    </w:pPr>
    <w:rPr>
      <w:rFonts w:ascii="宋体" w:hAnsi="Times New Roman" w:eastAsia="宋体" w:cs="Times New Roman"/>
      <w:sz w:val="18"/>
      <w:szCs w:val="18"/>
      <w:lang w:val="en-US" w:eastAsia="zh-CN" w:bidi="ar-SA"/>
    </w:rPr>
  </w:style>
  <w:style w:type="character" w:customStyle="1" w:styleId="23">
    <w:name w:val="页眉 字符"/>
    <w:basedOn w:val="11"/>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1256</Words>
  <Characters>1283</Characters>
  <Lines>61</Lines>
  <Paragraphs>46</Paragraphs>
  <TotalTime>35</TotalTime>
  <ScaleCrop>false</ScaleCrop>
  <LinksUpToDate>false</LinksUpToDate>
  <CharactersWithSpaces>2493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2025-04-14T07:36:00Z</dcterms:created>
  <dc:creator>还是 一抹暖阳</dc:creator>
  <cp:lastModifiedBy>何强</cp:lastModifiedBy>
  <cp:lastPrinted>2025-05-30T06:43:00Z</cp:lastPrinted>
  <dcterms:modified xsi:type="dcterms:W3CDTF">2025-05-30T08:18:38Z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210BEF84802B413CAC066EB2772108A0_13</vt:lpwstr>
  </property>
  <property fmtid="{D5CDD505-2E9C-101B-9397-08002B2CF9AE}" pid="4" name="KSOTemplateDocerSaveRecord">
    <vt:lpwstr>eyJoZGlkIjoiZWNlZWY4MzExYzQwNGRkMjYwNTgzMWZjMzQzZGZlNjIiLCJ1c2VySWQiOiIzMTQ3NTg5NzUifQ==</vt:lpwstr>
  </property>
</Properties>
</file>