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13"/>
        <w:ind w:firstLine="0" w:firstLineChars="0"/>
        <w:rPr/>
      </w:pPr>
    </w:p>
    <w:p>
      <w:pPr>
        <w:pStyle w:val="style4125"/>
        <w:textAlignment w:val="auto"/>
        <w:rPr>
          <w:rFonts w:ascii="黑体" w:cs="黑体" w:hAnsi="黑体" w:hint="eastAsia"/>
          <w:kern w:val="21"/>
          <w:sz w:val="52"/>
          <w:szCs w:val="52"/>
        </w:rPr>
      </w:pPr>
      <w:r>
        <w:rPr>
          <w:rFonts w:ascii="黑体" w:cs="黑体" w:hAnsi="黑体" w:hint="eastAsia"/>
          <w:kern w:val="21"/>
          <w:sz w:val="52"/>
          <w:szCs w:val="52"/>
        </w:rPr>
        <w:t>油浸式变压器（电抗器）整装搬运更换</w:t>
      </w:r>
    </w:p>
    <w:p>
      <w:pPr>
        <w:pStyle w:val="style4125"/>
        <w:textAlignment w:val="auto"/>
        <w:rPr>
          <w:rFonts w:ascii="黑体" w:cs="黑体" w:hAnsi="黑体" w:hint="eastAsia"/>
          <w:kern w:val="21"/>
          <w:sz w:val="52"/>
          <w:szCs w:val="52"/>
        </w:rPr>
      </w:pPr>
      <w:r>
        <w:rPr>
          <w:rFonts w:ascii="黑体" w:cs="黑体" w:hAnsi="黑体" w:hint="eastAsia"/>
          <w:kern w:val="21"/>
          <w:sz w:val="52"/>
          <w:szCs w:val="52"/>
        </w:rPr>
        <w:t>技术导则</w:t>
      </w:r>
    </w:p>
    <w:p>
      <w:pPr>
        <w:pStyle w:val="style4113"/>
        <w:rPr/>
      </w:pPr>
    </w:p>
    <w:p>
      <w:pPr>
        <w:pStyle w:val="style4113"/>
        <w:rPr/>
      </w:pPr>
    </w:p>
    <w:bookmarkStart w:id="0" w:name="_Toc298937368"/>
    <w:bookmarkStart w:id="1" w:name="_Toc298937333"/>
    <w:bookmarkStart w:id="2" w:name="_Toc309995492"/>
    <w:bookmarkStart w:id="3" w:name="_Toc304825093"/>
    <w:bookmarkStart w:id="4" w:name="_Toc304828086"/>
    <w:bookmarkStart w:id="5" w:name="_Toc304402675"/>
    <w:bookmarkStart w:id="6" w:name="_Toc318613715"/>
    <w:bookmarkStart w:id="7" w:name="_Toc320020914"/>
    <w:bookmarkStart w:id="8" w:name="_Toc309994571"/>
    <w:bookmarkStart w:id="9" w:name="_Toc309997060"/>
    <w:bookmarkStart w:id="10" w:name="_Toc304824981"/>
    <w:bookmarkStart w:id="11" w:name="_Toc309995598"/>
    <w:bookmarkStart w:id="12" w:name="_Toc298937430"/>
    <w:bookmarkStart w:id="13" w:name="_Toc309995410"/>
    <w:bookmarkStart w:id="14" w:name="_Toc298937620"/>
    <w:bookmarkStart w:id="15" w:name="_Toc298938794"/>
    <w:bookmarkStart w:id="16" w:name="_Toc298937560"/>
    <w:bookmarkStart w:id="17" w:name="_Toc309993200"/>
    <w:bookmarkStart w:id="18" w:name="_Toc298938646"/>
    <w:bookmarkStart w:id="19" w:name="_Toc304825020"/>
    <w:bookmarkStart w:id="20" w:name="_Toc309996019"/>
    <w:bookmarkStart w:id="21" w:name="_Toc310002657"/>
    <w:bookmarkStart w:id="22" w:name="_Toc298937473"/>
    <w:p>
      <w:pPr>
        <w:pStyle w:val="style4115"/>
        <w:numPr>
          <w:ilvl w:val="0"/>
          <w:numId w:val="0"/>
        </w:numPr>
        <w:jc w:val="center"/>
        <w:rPr>
          <w:sz w:val="28"/>
          <w:szCs w:val="28"/>
        </w:rPr>
      </w:pPr>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style4113"/>
        <w:ind w:firstLine="560"/>
        <w:jc w:val="center"/>
        <w:rPr>
          <w:rFonts w:ascii="黑体" w:eastAsia="黑体"/>
          <w:sz w:val="28"/>
          <w:szCs w:val="28"/>
        </w:rPr>
      </w:pPr>
    </w:p>
    <w:p>
      <w:pPr>
        <w:pStyle w:val="style4113"/>
        <w:ind w:firstLine="560"/>
        <w:jc w:val="center"/>
        <w:rPr>
          <w:rFonts w:ascii="黑体" w:eastAsia="黑体"/>
          <w:sz w:val="28"/>
          <w:szCs w:val="28"/>
        </w:rPr>
      </w:pPr>
    </w:p>
    <w:p>
      <w:pPr>
        <w:pStyle w:val="style4113"/>
        <w:rPr/>
        <w:sectPr>
          <w:headerReference w:type="even" r:id="rId2"/>
          <w:headerReference w:type="default" r:id="rId3"/>
          <w:pgSz w:w="11906" w:h="16838" w:orient="portrait"/>
          <w:pgMar w:top="567" w:right="1134" w:bottom="1134" w:left="1417" w:header="1418" w:footer="1134" w:gutter="0"/>
          <w:cols w:space="720" w:num="1"/>
          <w:docGrid w:type="lines" w:linePitch="312" w:charSpace="0"/>
        </w:sectPr>
      </w:pPr>
    </w:p>
    <w:bookmarkStart w:id="23" w:name="_Toc513731109"/>
    <w:bookmarkStart w:id="24" w:name="_Toc309992160"/>
    <w:bookmarkStart w:id="25" w:name="_Toc513731021"/>
    <w:p>
      <w:pPr>
        <w:pStyle w:val="style4130"/>
        <w:rPr/>
      </w:pPr>
      <w:r>
        <w:rPr>
          <w:rFonts w:hint="eastAsia"/>
        </w:rPr>
        <w:t>目次</w:t>
      </w:r>
      <w:bookmarkEnd w:id="23"/>
      <w:bookmarkEnd w:id="24"/>
      <w:bookmarkEnd w:id="25"/>
    </w:p>
    <w:p>
      <w:pPr>
        <w:pStyle w:val="style19"/>
        <w:spacing w:before="78" w:after="78"/>
        <w:rPr>
          <w:rFonts w:ascii="Calibri" w:hAnsi="Calibri"/>
          <w:szCs w:val="22"/>
        </w:rPr>
      </w:pPr>
      <w:r>
        <w:rPr>
          <w:rFonts w:hAnsi="宋体"/>
        </w:rPr>
        <w:fldChar w:fldCharType="begin"/>
      </w:r>
      <w:r>
        <w:rPr>
          <w:rFonts w:hAnsi="宋体"/>
        </w:rPr>
        <w:instrText xml:space="preserve"> </w:instrText>
      </w:r>
      <w:r>
        <w:rPr>
          <w:rFonts w:hAnsi="宋体" w:hint="eastAsia"/>
        </w:rPr>
        <w:instrText>TOC \o "1-1" \h \z \u</w:instrText>
      </w:r>
      <w:r>
        <w:rPr>
          <w:rFonts w:hAnsi="宋体"/>
        </w:rPr>
        <w:instrText xml:space="preserve"> </w:instrText>
      </w:r>
      <w:r>
        <w:rPr>
          <w:rFonts w:hAnsi="宋体"/>
        </w:rPr>
        <w:fldChar w:fldCharType="separate"/>
      </w:r>
    </w:p>
    <w:p>
      <w:pPr>
        <w:pStyle w:val="style19"/>
        <w:spacing w:before="78" w:after="78"/>
        <w:rPr>
          <w:rFonts w:ascii="Calibri" w:hAnsi="Calibri"/>
          <w:szCs w:val="22"/>
        </w:rPr>
      </w:pPr>
      <w:r>
        <w:rPr/>
        <w:fldChar w:fldCharType="begin"/>
      </w:r>
      <w:r>
        <w:instrText xml:space="preserve"> HYPERLINK \l "_Toc513731110" </w:instrText>
      </w:r>
      <w:r>
        <w:rPr/>
        <w:fldChar w:fldCharType="separate"/>
      </w:r>
      <w:r>
        <w:rPr>
          <w:rStyle w:val="style85"/>
          <w:rFonts w:hAnsi="宋体"/>
        </w:rPr>
        <w:t xml:space="preserve">1 </w:t>
      </w:r>
      <w:r>
        <w:rPr>
          <w:rStyle w:val="style85"/>
          <w:rFonts w:hAnsi="宋体" w:hint="eastAsia"/>
        </w:rPr>
        <w:t>编制背景</w:t>
      </w:r>
      <w:r>
        <w:tab/>
      </w:r>
      <w:r>
        <w:rPr/>
        <w:fldChar w:fldCharType="begin"/>
      </w:r>
      <w:r>
        <w:instrText xml:space="preserve"> PAGEREF _Toc513731110 \h </w:instrText>
      </w:r>
      <w:r>
        <w:rPr/>
        <w:fldChar w:fldCharType="separate"/>
      </w:r>
      <w:r>
        <w:t>29</w:t>
      </w:r>
      <w:r>
        <w:rPr/>
        <w:fldChar w:fldCharType="end"/>
      </w:r>
      <w:r>
        <w:rPr/>
        <w:fldChar w:fldCharType="end"/>
      </w:r>
    </w:p>
    <w:p>
      <w:pPr>
        <w:pStyle w:val="style19"/>
        <w:spacing w:before="78" w:after="78"/>
        <w:rPr>
          <w:rFonts w:ascii="Calibri" w:hAnsi="Calibri"/>
          <w:szCs w:val="22"/>
        </w:rPr>
      </w:pPr>
      <w:r>
        <w:rPr/>
        <w:fldChar w:fldCharType="begin"/>
      </w:r>
      <w:r>
        <w:instrText xml:space="preserve"> HYPERLINK \l "_Toc513731111" </w:instrText>
      </w:r>
      <w:r>
        <w:rPr/>
        <w:fldChar w:fldCharType="separate"/>
      </w:r>
      <w:r>
        <w:rPr>
          <w:rStyle w:val="style85"/>
          <w:rFonts w:hAnsi="宋体"/>
        </w:rPr>
        <w:t xml:space="preserve">2 </w:t>
      </w:r>
      <w:r>
        <w:rPr>
          <w:rStyle w:val="style85"/>
          <w:rFonts w:hAnsi="宋体" w:hint="eastAsia"/>
        </w:rPr>
        <w:t>编制主要原则</w:t>
      </w:r>
      <w:r>
        <w:tab/>
      </w:r>
      <w:r>
        <w:rPr/>
        <w:fldChar w:fldCharType="begin"/>
      </w:r>
      <w:r>
        <w:instrText xml:space="preserve"> PAGEREF _Toc513731111 \h </w:instrText>
      </w:r>
      <w:r>
        <w:rPr/>
        <w:fldChar w:fldCharType="separate"/>
      </w:r>
      <w:r>
        <w:t>29</w:t>
      </w:r>
      <w:r>
        <w:rPr/>
        <w:fldChar w:fldCharType="end"/>
      </w:r>
      <w:r>
        <w:rPr/>
        <w:fldChar w:fldCharType="end"/>
      </w:r>
    </w:p>
    <w:p>
      <w:pPr>
        <w:pStyle w:val="style19"/>
        <w:spacing w:before="78" w:after="78"/>
        <w:rPr>
          <w:rFonts w:ascii="Calibri" w:hAnsi="Calibri"/>
          <w:szCs w:val="22"/>
        </w:rPr>
      </w:pPr>
      <w:r>
        <w:rPr/>
        <w:fldChar w:fldCharType="begin"/>
      </w:r>
      <w:r>
        <w:instrText xml:space="preserve"> HYPERLINK \l "_Toc513731112" </w:instrText>
      </w:r>
      <w:r>
        <w:rPr/>
        <w:fldChar w:fldCharType="separate"/>
      </w:r>
      <w:r>
        <w:rPr>
          <w:rStyle w:val="style85"/>
          <w:rFonts w:hAnsi="宋体"/>
        </w:rPr>
        <w:t xml:space="preserve">3 </w:t>
      </w:r>
      <w:r>
        <w:rPr>
          <w:rStyle w:val="style85"/>
          <w:rFonts w:hAnsi="宋体" w:hint="eastAsia"/>
        </w:rPr>
        <w:t>主要工作过程</w:t>
      </w:r>
      <w:r>
        <w:tab/>
      </w:r>
      <w:r>
        <w:rPr/>
        <w:fldChar w:fldCharType="begin"/>
      </w:r>
      <w:r>
        <w:instrText xml:space="preserve"> PAGEREF _Toc513731112 \h </w:instrText>
      </w:r>
      <w:r>
        <w:rPr/>
        <w:fldChar w:fldCharType="separate"/>
      </w:r>
      <w:r>
        <w:t>29</w:t>
      </w:r>
      <w:r>
        <w:rPr/>
        <w:fldChar w:fldCharType="end"/>
      </w:r>
      <w:r>
        <w:rPr/>
        <w:fldChar w:fldCharType="end"/>
      </w:r>
    </w:p>
    <w:p>
      <w:pPr>
        <w:pStyle w:val="style19"/>
        <w:spacing w:before="78" w:after="78"/>
        <w:rPr>
          <w:rFonts w:ascii="Calibri" w:hAnsi="Calibri"/>
          <w:szCs w:val="22"/>
        </w:rPr>
      </w:pPr>
      <w:r>
        <w:rPr/>
        <w:fldChar w:fldCharType="begin"/>
      </w:r>
      <w:r>
        <w:instrText xml:space="preserve"> HYPERLINK \l "_Toc513731113" </w:instrText>
      </w:r>
      <w:r>
        <w:rPr/>
        <w:fldChar w:fldCharType="separate"/>
      </w:r>
      <w:r>
        <w:rPr>
          <w:rStyle w:val="style85"/>
          <w:rFonts w:hAnsi="宋体"/>
        </w:rPr>
        <w:t>4</w:t>
      </w:r>
      <w:r>
        <w:rPr>
          <w:rStyle w:val="style85"/>
        </w:rPr>
        <w:t xml:space="preserve"> </w:t>
      </w:r>
      <w:r>
        <w:rPr>
          <w:rStyle w:val="style85"/>
          <w:rFonts w:hint="eastAsia"/>
        </w:rPr>
        <w:t>标准结构和内容说明</w:t>
      </w:r>
      <w:r>
        <w:tab/>
      </w:r>
      <w:r>
        <w:rPr/>
        <w:fldChar w:fldCharType="begin"/>
      </w:r>
      <w:r>
        <w:instrText xml:space="preserve"> PAGEREF _Toc513731113 \h </w:instrText>
      </w:r>
      <w:r>
        <w:rPr/>
        <w:fldChar w:fldCharType="separate"/>
      </w:r>
      <w:r>
        <w:t>30</w:t>
      </w:r>
      <w:r>
        <w:rPr/>
        <w:fldChar w:fldCharType="end"/>
      </w:r>
      <w:r>
        <w:rPr/>
        <w:fldChar w:fldCharType="end"/>
      </w:r>
    </w:p>
    <w:p>
      <w:pPr>
        <w:pStyle w:val="style19"/>
        <w:spacing w:before="78" w:after="78"/>
        <w:rPr>
          <w:rFonts w:ascii="Calibri" w:hAnsi="Calibri"/>
          <w:szCs w:val="22"/>
        </w:rPr>
      </w:pPr>
      <w:r>
        <w:rPr/>
        <w:fldChar w:fldCharType="begin"/>
      </w:r>
      <w:r>
        <w:instrText xml:space="preserve"> HYPERLINK \l "_Toc513731114" </w:instrText>
      </w:r>
      <w:r>
        <w:rPr/>
        <w:fldChar w:fldCharType="separate"/>
      </w:r>
      <w:r>
        <w:rPr>
          <w:rStyle w:val="style85"/>
          <w:rFonts w:hAnsi="宋体"/>
        </w:rPr>
        <w:t>5</w:t>
      </w:r>
      <w:r>
        <w:rPr>
          <w:rStyle w:val="style85"/>
          <w:rFonts w:hint="eastAsia"/>
        </w:rPr>
        <w:t>相关标准对比说明</w:t>
      </w:r>
      <w:r>
        <w:rPr>
          <w:rStyle w:val="style85"/>
        </w:rPr>
        <w:tab/>
      </w:r>
      <w:r>
        <w:rPr/>
        <w:fldChar w:fldCharType="begin"/>
      </w:r>
      <w:r>
        <w:rPr>
          <w:rStyle w:val="style85"/>
        </w:rPr>
        <w:instrText xml:space="preserve"> PAGEREF _Toc513731114 \h </w:instrText>
      </w:r>
      <w:r>
        <w:rPr/>
        <w:fldChar w:fldCharType="separate"/>
      </w:r>
      <w:r>
        <w:rPr>
          <w:rStyle w:val="style85"/>
        </w:rPr>
        <w:t>32</w:t>
      </w:r>
      <w:r>
        <w:rPr/>
        <w:fldChar w:fldCharType="end"/>
      </w:r>
      <w:r>
        <w:rPr/>
        <w:fldChar w:fldCharType="end"/>
      </w:r>
    </w:p>
    <w:p>
      <w:pPr>
        <w:pStyle w:val="style19"/>
        <w:spacing w:before="78" w:after="78"/>
        <w:rPr>
          <w:rFonts w:ascii="Calibri" w:hAnsi="Calibri"/>
          <w:szCs w:val="22"/>
        </w:rPr>
      </w:pPr>
      <w:r>
        <w:rPr/>
        <w:fldChar w:fldCharType="begin"/>
      </w:r>
      <w:r>
        <w:instrText xml:space="preserve"> HYPERLINK \l "_Toc513731115" </w:instrText>
      </w:r>
      <w:r>
        <w:rPr/>
        <w:fldChar w:fldCharType="separate"/>
      </w:r>
      <w:r>
        <w:rPr>
          <w:rStyle w:val="style85"/>
          <w:rFonts w:hAnsi="宋体"/>
        </w:rPr>
        <w:t>6</w:t>
      </w:r>
      <w:r>
        <w:rPr>
          <w:rStyle w:val="style85"/>
          <w:rFonts w:hAnsi="宋体" w:hint="eastAsia"/>
        </w:rPr>
        <w:t>标准实施措施说明</w:t>
      </w:r>
      <w:r>
        <w:tab/>
      </w:r>
      <w:r>
        <w:rPr/>
        <w:fldChar w:fldCharType="begin"/>
      </w:r>
      <w:r>
        <w:instrText xml:space="preserve"> PAGEREF _Toc513731115 \h </w:instrText>
      </w:r>
      <w:r>
        <w:rPr/>
        <w:fldChar w:fldCharType="separate"/>
      </w:r>
      <w:r>
        <w:t>32</w:t>
      </w:r>
      <w:r>
        <w:rPr/>
        <w:fldChar w:fldCharType="end"/>
      </w:r>
      <w:r>
        <w:rPr/>
        <w:fldChar w:fldCharType="end"/>
      </w:r>
    </w:p>
    <w:p>
      <w:pPr>
        <w:pStyle w:val="style4113"/>
        <w:rPr>
          <w:rFonts w:hAnsi="宋体"/>
          <w:szCs w:val="21"/>
        </w:rPr>
      </w:pPr>
      <w:r>
        <w:rPr>
          <w:rFonts w:hAnsi="宋体"/>
          <w:szCs w:val="21"/>
        </w:rPr>
        <w:fldChar w:fldCharType="end"/>
      </w:r>
    </w:p>
    <w:p>
      <w:pPr>
        <w:pStyle w:val="style4113"/>
        <w:rPr>
          <w:rFonts w:hAnsi="宋体"/>
          <w:szCs w:val="21"/>
        </w:rPr>
      </w:pPr>
    </w:p>
    <w:p>
      <w:pPr>
        <w:pStyle w:val="style4113"/>
        <w:rPr>
          <w:rFonts w:hAnsi="宋体"/>
          <w:szCs w:val="21"/>
        </w:rPr>
      </w:pPr>
    </w:p>
    <w:p>
      <w:pPr>
        <w:pStyle w:val="style4113"/>
        <w:rPr>
          <w:rFonts w:hAnsi="宋体"/>
          <w:szCs w:val="21"/>
        </w:rPr>
      </w:pPr>
    </w:p>
    <w:p>
      <w:pPr>
        <w:pStyle w:val="style4113"/>
        <w:rPr>
          <w:rFonts w:hAnsi="宋体"/>
          <w:szCs w:val="21"/>
        </w:rPr>
        <w:sectPr>
          <w:headerReference w:type="default" r:id="rId4"/>
          <w:footerReference w:type="default" r:id="rId5"/>
          <w:pgSz w:w="11906" w:h="16838" w:orient="portrait"/>
          <w:pgMar w:top="567" w:right="1134" w:bottom="1134" w:left="1417" w:header="1418" w:footer="1134" w:gutter="0"/>
          <w:pgNumType w:start="28"/>
          <w:cols w:space="720" w:num="1"/>
          <w:docGrid w:type="lines" w:linePitch="312" w:charSpace="0"/>
        </w:sectPr>
      </w:pPr>
    </w:p>
    <w:bookmarkStart w:id="26" w:name="_Toc513731110"/>
    <w:p>
      <w:pPr>
        <w:pStyle w:val="style4129"/>
        <w:spacing w:before="312" w:after="312"/>
        <w:rPr>
          <w:rFonts w:ascii="宋体" w:hAnsi="宋体" w:hint="eastAsia"/>
          <w:szCs w:val="21"/>
        </w:rPr>
      </w:pPr>
      <w:r>
        <w:rPr>
          <w:rFonts w:ascii="宋体" w:hAnsi="宋体" w:hint="eastAsia"/>
          <w:szCs w:val="21"/>
        </w:rPr>
        <w:t>1 编制背景</w:t>
      </w:r>
      <w:bookmarkEnd w:id="26"/>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油浸式变压器（电抗器）整装搬运更换作业，可显著缩短各电压等级变压器（电抗器）停电时间，提升系统供电能力，提前发现并处置安装、试验阶段存在的问题，有效避免停电工期延长。国内已多次开展220kV及以上电压等级油浸式变压器（电抗器）整装搬运更换作业，该作业实施管控难度大，执行中在作业工序管控标准等方面各单位存在一定的差异性。</w:t>
      </w:r>
      <w:r>
        <w:rPr>
          <w:rFonts w:ascii="微软雅黑" w:eastAsia="微软雅黑" w:hAnsi="微软雅黑" w:hint="eastAsia"/>
        </w:rPr>
        <w:t>亟需编制油浸式变压器（电抗器）整装搬运更换技术</w:t>
      </w:r>
      <w:r>
        <w:rPr>
          <w:rFonts w:ascii="微软雅黑" w:eastAsia="微软雅黑" w:hAnsi="微软雅黑" w:hint="eastAsia"/>
          <w:lang w:val="en-US" w:eastAsia="zh-CN"/>
        </w:rPr>
        <w:t>标准，明确其</w:t>
      </w:r>
      <w:r>
        <w:rPr>
          <w:rFonts w:ascii="微软雅黑" w:eastAsia="微软雅黑" w:hAnsi="微软雅黑" w:hint="eastAsia"/>
        </w:rPr>
        <w:t>运输、拆装与试验等</w:t>
      </w:r>
      <w:r>
        <w:rPr>
          <w:rFonts w:ascii="微软雅黑" w:eastAsia="微软雅黑" w:hAnsi="微软雅黑" w:hint="eastAsia"/>
          <w:lang w:val="en-US" w:eastAsia="zh-CN"/>
        </w:rPr>
        <w:t>要求。</w:t>
      </w:r>
    </w:p>
    <w:p>
      <w:pPr>
        <w:pStyle w:val="style4113"/>
        <w:keepNext w:val="false"/>
        <w:keepLines w:val="false"/>
        <w:pageBreakBefore w:val="false"/>
        <w:widowControl/>
        <w:kinsoku/>
        <w:wordWrap/>
        <w:overflowPunct/>
        <w:topLinePunct w:val="false"/>
        <w:autoSpaceDE w:val="false"/>
        <w:autoSpaceDN w:val="false"/>
        <w:bidi w:val="false"/>
        <w:adjustRightInd/>
        <w:snapToGrid/>
        <w:spacing w:lineRule="exact" w:line="400"/>
        <w:ind w:firstLine="420" w:firstLineChars="200"/>
        <w:textAlignment w:val="auto"/>
        <w:rPr>
          <w:rFonts w:hint="eastAsia"/>
          <w:lang w:val="en-US" w:eastAsia="zh-CN"/>
        </w:rPr>
      </w:pPr>
      <w:r>
        <w:rPr>
          <w:rFonts w:ascii="微软雅黑" w:eastAsia="微软雅黑" w:hAnsi="微软雅黑" w:hint="eastAsia"/>
        </w:rPr>
        <w:t>202</w:t>
      </w:r>
      <w:r>
        <w:rPr>
          <w:rFonts w:ascii="微软雅黑" w:eastAsia="微软雅黑" w:hAnsi="微软雅黑" w:hint="eastAsia"/>
          <w:lang w:val="en-US" w:eastAsia="zh-CN"/>
        </w:rPr>
        <w:t>4</w:t>
      </w:r>
      <w:r>
        <w:rPr>
          <w:rFonts w:ascii="微软雅黑" w:eastAsia="微软雅黑" w:hAnsi="微软雅黑" w:hint="eastAsia"/>
        </w:rPr>
        <w:t>年</w:t>
      </w:r>
      <w:r>
        <w:rPr>
          <w:rFonts w:ascii="微软雅黑" w:eastAsia="微软雅黑" w:hAnsi="微软雅黑" w:hint="eastAsia"/>
          <w:lang w:val="en-US" w:eastAsia="zh-CN"/>
        </w:rPr>
        <w:t>12</w:t>
      </w:r>
      <w:r>
        <w:rPr>
          <w:rFonts w:ascii="微软雅黑" w:eastAsia="微软雅黑" w:hAnsi="微软雅黑" w:hint="eastAsia"/>
        </w:rPr>
        <w:t>月，</w:t>
      </w:r>
      <w:r>
        <w:rPr>
          <w:rFonts w:ascii="微软雅黑" w:eastAsia="微软雅黑" w:hAnsi="微软雅黑"/>
        </w:rPr>
        <w:t>中国电机工程学会印发</w:t>
      </w:r>
      <w:r>
        <w:rPr>
          <w:rFonts w:ascii="微软雅黑" w:eastAsia="微软雅黑" w:hAnsi="微软雅黑" w:hint="eastAsia"/>
        </w:rPr>
        <w:t>了中国电机工程学会关于印发“中国电机工程学会2024年标准计划（第二批）的通知（电机咨〔2024〕535 号文）</w:t>
      </w:r>
      <w:r>
        <w:rPr>
          <w:rFonts w:ascii="微软雅黑" w:eastAsia="微软雅黑" w:hAnsi="微软雅黑" w:hint="eastAsia"/>
          <w:lang w:eastAsia="zh-CN"/>
        </w:rPr>
        <w:t>，</w:t>
      </w:r>
      <w:r>
        <w:rPr>
          <w:rFonts w:ascii="微软雅黑" w:eastAsia="微软雅黑" w:hAnsi="微软雅黑" w:hint="eastAsia"/>
          <w:lang w:val="en-US" w:eastAsia="zh-CN"/>
        </w:rPr>
        <w:t>根据通知</w:t>
      </w:r>
      <w:r>
        <w:rPr>
          <w:rFonts w:ascii="微软雅黑" w:eastAsia="微软雅黑" w:hAnsi="微软雅黑" w:hint="eastAsia"/>
        </w:rPr>
        <w:t>下达的制定任务，本标准对“油浸式变压器（电抗器）整装搬运更换技术导则（编号202410280001）”进行制定，由国网浙江省电力有限公司电力科学研究院单位负责起草。</w:t>
      </w:r>
    </w:p>
    <w:bookmarkStart w:id="27" w:name="_Toc513731111"/>
    <w:p>
      <w:pPr>
        <w:pStyle w:val="style4129"/>
        <w:spacing w:before="312" w:after="312"/>
        <w:rPr>
          <w:rFonts w:ascii="宋体" w:hAnsi="宋体" w:hint="eastAsia"/>
          <w:szCs w:val="21"/>
        </w:rPr>
      </w:pPr>
      <w:r>
        <w:rPr>
          <w:rFonts w:ascii="宋体" w:hAnsi="宋体" w:hint="eastAsia"/>
          <w:szCs w:val="21"/>
        </w:rPr>
        <w:t>2 编制主要原则</w:t>
      </w:r>
      <w:bookmarkEnd w:id="27"/>
    </w:p>
    <w:p>
      <w:pPr>
        <w:pStyle w:val="style0"/>
        <w:spacing w:lineRule="exact" w:line="400"/>
        <w:ind w:firstLine="420" w:firstLineChars="200"/>
        <w:rPr>
          <w:rFonts w:ascii="微软雅黑" w:eastAsia="微软雅黑" w:hAnsi="微软雅黑"/>
        </w:rPr>
      </w:pPr>
      <w:r>
        <w:rPr>
          <w:rFonts w:ascii="微软雅黑" w:eastAsia="微软雅黑" w:hAnsi="微软雅黑" w:hint="eastAsia"/>
        </w:rPr>
        <w:t>本文件主要依据以下原则编制：</w:t>
      </w:r>
    </w:p>
    <w:p>
      <w:pPr>
        <w:pStyle w:val="style0"/>
        <w:spacing w:lineRule="exact" w:line="400"/>
        <w:ind w:firstLine="420" w:firstLineChars="200"/>
        <w:rPr>
          <w:rFonts w:ascii="微软雅黑" w:eastAsia="微软雅黑" w:hAnsi="微软雅黑"/>
        </w:rPr>
      </w:pPr>
      <w:r>
        <w:rPr>
          <w:rFonts w:ascii="微软雅黑" w:eastAsia="微软雅黑" w:hAnsi="微软雅黑"/>
        </w:rPr>
        <w:t>（1）</w:t>
      </w:r>
      <w:r>
        <w:rPr>
          <w:rFonts w:ascii="微软雅黑" w:eastAsia="微软雅黑" w:hAnsi="微软雅黑" w:hint="eastAsia"/>
        </w:rPr>
        <w:t>注重</w:t>
      </w:r>
      <w:r>
        <w:rPr>
          <w:rFonts w:ascii="微软雅黑" w:eastAsia="微软雅黑" w:hAnsi="微软雅黑" w:hint="eastAsia"/>
          <w:lang w:val="en-US" w:eastAsia="zh-CN"/>
        </w:rPr>
        <w:t>建立、细</w:t>
      </w:r>
      <w:r>
        <w:rPr>
          <w:rFonts w:ascii="微软雅黑" w:eastAsia="微软雅黑" w:hAnsi="微软雅黑" w:hint="eastAsia"/>
        </w:rPr>
        <w:t>化</w:t>
      </w:r>
      <w:r>
        <w:rPr>
          <w:rFonts w:ascii="微软雅黑" w:eastAsia="微软雅黑" w:hAnsi="微软雅黑" w:hint="eastAsia"/>
          <w:highlight w:val="none"/>
          <w:lang w:val="en-US" w:eastAsia="zh-CN"/>
        </w:rPr>
        <w:t>整装搬运更换技术</w:t>
      </w:r>
      <w:r>
        <w:rPr>
          <w:rFonts w:ascii="微软雅黑" w:eastAsia="微软雅黑" w:hAnsi="微软雅黑" w:hint="eastAsia"/>
        </w:rPr>
        <w:t>标准体系</w:t>
      </w:r>
      <w:r>
        <w:rPr>
          <w:rFonts w:ascii="微软雅黑" w:eastAsia="微软雅黑" w:hAnsi="微软雅黑"/>
        </w:rPr>
        <w:t>，与</w:t>
      </w:r>
      <w:r>
        <w:rPr>
          <w:rFonts w:ascii="微软雅黑" w:eastAsia="微软雅黑" w:hAnsi="微软雅黑" w:hint="eastAsia"/>
        </w:rPr>
        <w:t>现行</w:t>
      </w:r>
      <w:r>
        <w:rPr>
          <w:rFonts w:ascii="微软雅黑" w:eastAsia="微软雅黑" w:hAnsi="微软雅黑" w:hint="eastAsia"/>
          <w:lang w:val="en-US" w:eastAsia="zh-CN"/>
        </w:rPr>
        <w:t>运检</w:t>
      </w:r>
      <w:r>
        <w:rPr>
          <w:rFonts w:ascii="微软雅黑" w:eastAsia="微软雅黑" w:hAnsi="微软雅黑" w:hint="eastAsia"/>
        </w:rPr>
        <w:t>标准</w:t>
      </w:r>
      <w:r>
        <w:rPr>
          <w:rFonts w:ascii="微软雅黑" w:eastAsia="微软雅黑" w:hAnsi="微软雅黑"/>
        </w:rPr>
        <w:t>配套。</w:t>
      </w:r>
    </w:p>
    <w:p>
      <w:pPr>
        <w:pStyle w:val="style0"/>
        <w:spacing w:lineRule="exact" w:line="400"/>
        <w:ind w:firstLine="420" w:firstLineChars="200"/>
        <w:rPr>
          <w:rFonts w:ascii="微软雅黑" w:eastAsia="微软雅黑" w:hAnsi="微软雅黑"/>
        </w:rPr>
      </w:pPr>
      <w:r>
        <w:rPr>
          <w:rFonts w:ascii="微软雅黑" w:eastAsia="微软雅黑" w:hAnsi="微软雅黑" w:hint="eastAsia"/>
        </w:rPr>
        <w:t>（2）注重与相关国家标准、行业标准、企业标准等技术标准协调。</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（3）注重</w:t>
      </w:r>
      <w:r>
        <w:rPr>
          <w:rFonts w:ascii="微软雅黑" w:eastAsia="微软雅黑" w:hAnsi="微软雅黑" w:hint="eastAsia"/>
          <w:lang w:val="en-US" w:eastAsia="zh-CN"/>
        </w:rPr>
        <w:t>整装搬运更换技术</w:t>
      </w:r>
      <w:r>
        <w:rPr>
          <w:rFonts w:ascii="微软雅黑" w:eastAsia="微软雅黑" w:hAnsi="微软雅黑" w:hint="eastAsia"/>
        </w:rPr>
        <w:t>的特殊要求及实际技术应用等方面的经验积累，保证标准的技术先进性和</w:t>
      </w:r>
      <w:r>
        <w:rPr>
          <w:rFonts w:ascii="微软雅黑" w:eastAsia="微软雅黑" w:hAnsi="微软雅黑" w:hint="eastAsia"/>
          <w:lang w:val="en-US" w:eastAsia="zh-CN"/>
        </w:rPr>
        <w:t>实施安全性</w:t>
      </w:r>
      <w:r>
        <w:rPr>
          <w:rFonts w:ascii="微软雅黑" w:eastAsia="微软雅黑" w:hAnsi="微软雅黑" w:hint="eastAsia"/>
        </w:rPr>
        <w:t>。</w:t>
      </w:r>
    </w:p>
    <w:bookmarkStart w:id="28" w:name="_Toc513731112"/>
    <w:p>
      <w:pPr>
        <w:pStyle w:val="style4129"/>
        <w:spacing w:before="312" w:after="312"/>
        <w:rPr>
          <w:rFonts w:ascii="宋体" w:hAnsi="宋体"/>
          <w:szCs w:val="21"/>
        </w:rPr>
      </w:pPr>
      <w:r>
        <w:rPr>
          <w:rFonts w:ascii="宋体" w:hAnsi="宋体" w:hint="eastAsia"/>
          <w:szCs w:val="21"/>
        </w:rPr>
        <w:t>3 主要工作过程</w:t>
      </w:r>
      <w:bookmarkEnd w:id="28"/>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202</w:t>
      </w:r>
      <w:r>
        <w:rPr>
          <w:rFonts w:ascii="微软雅黑" w:eastAsia="微软雅黑" w:hAnsi="微软雅黑" w:hint="eastAsia"/>
          <w:lang w:val="en-US" w:eastAsia="zh-CN"/>
        </w:rPr>
        <w:t>4</w:t>
      </w:r>
      <w:r>
        <w:rPr>
          <w:rFonts w:ascii="微软雅黑" w:eastAsia="微软雅黑" w:hAnsi="微软雅黑" w:hint="eastAsia"/>
        </w:rPr>
        <w:t xml:space="preserve">年 </w:t>
      </w:r>
      <w:r>
        <w:rPr>
          <w:rFonts w:ascii="微软雅黑" w:eastAsia="微软雅黑" w:hAnsi="微软雅黑" w:hint="eastAsia"/>
          <w:lang w:val="en-US" w:eastAsia="zh-CN"/>
        </w:rPr>
        <w:t>10</w:t>
      </w:r>
      <w:r>
        <w:rPr>
          <w:rFonts w:ascii="微软雅黑" w:eastAsia="微软雅黑" w:hAnsi="微软雅黑" w:hint="eastAsia"/>
        </w:rPr>
        <w:t>月，向中国电机工程学会变电专业标准委员会提交了立项申请并成立了项目工作组。</w:t>
      </w:r>
      <w:bookmarkStart w:id="29" w:name="_GoBack"/>
      <w:bookmarkEnd w:id="29"/>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202</w:t>
      </w:r>
      <w:r>
        <w:rPr>
          <w:rFonts w:ascii="微软雅黑" w:eastAsia="微软雅黑" w:hAnsi="微软雅黑" w:hint="eastAsia"/>
          <w:lang w:val="en-US" w:eastAsia="zh-CN"/>
        </w:rPr>
        <w:t>4</w:t>
      </w:r>
      <w:r>
        <w:rPr>
          <w:rFonts w:ascii="微软雅黑" w:eastAsia="微软雅黑" w:hAnsi="微软雅黑" w:hint="eastAsia"/>
        </w:rPr>
        <w:t xml:space="preserve"> 年12月，中国电机工程学会下达通知，通过了立项申请，同期工作组编写完成了项目任务书。</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202</w:t>
      </w:r>
      <w:r>
        <w:rPr>
          <w:rFonts w:ascii="微软雅黑" w:eastAsia="微软雅黑" w:hAnsi="微软雅黑" w:hint="eastAsia"/>
          <w:lang w:val="en-US" w:eastAsia="zh-CN"/>
        </w:rPr>
        <w:t>5</w:t>
      </w:r>
      <w:r>
        <w:rPr>
          <w:rFonts w:ascii="微软雅黑" w:eastAsia="微软雅黑" w:hAnsi="微软雅黑" w:hint="eastAsia"/>
        </w:rPr>
        <w:t>年2月，工作组依据标准项目任务书，修改了标准草案，形成标准初稿。</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202</w:t>
      </w:r>
      <w:r>
        <w:rPr>
          <w:rFonts w:ascii="微软雅黑" w:eastAsia="微软雅黑" w:hAnsi="微软雅黑" w:hint="eastAsia"/>
          <w:lang w:val="en-US" w:eastAsia="zh-CN"/>
        </w:rPr>
        <w:t>5</w:t>
      </w:r>
      <w:r>
        <w:rPr>
          <w:rFonts w:ascii="微软雅黑" w:eastAsia="微软雅黑" w:hAnsi="微软雅黑" w:hint="eastAsia"/>
        </w:rPr>
        <w:t>年4月，工作组对标准初稿进行内部审查，并按照审查意见修改。</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202</w:t>
      </w:r>
      <w:r>
        <w:rPr>
          <w:rFonts w:ascii="微软雅黑" w:eastAsia="微软雅黑" w:hAnsi="微软雅黑" w:hint="eastAsia"/>
          <w:lang w:val="en-US" w:eastAsia="zh-CN"/>
        </w:rPr>
        <w:t>5</w:t>
      </w:r>
      <w:r>
        <w:rPr>
          <w:rFonts w:ascii="微软雅黑" w:eastAsia="微软雅黑" w:hAnsi="微软雅黑" w:hint="eastAsia"/>
        </w:rPr>
        <w:t>年6月，工作组邀请专家对标准初稿进行审查，并按照审查意见修改，形成征求意见稿。</w:t>
      </w:r>
    </w:p>
    <w:bookmarkStart w:id="30" w:name="_Toc513731113"/>
    <w:p>
      <w:pPr>
        <w:pStyle w:val="style4129"/>
        <w:spacing w:before="312" w:after="312"/>
        <w:rPr/>
      </w:pPr>
      <w:r>
        <w:rPr>
          <w:rFonts w:ascii="宋体" w:hAnsi="宋体" w:hint="eastAsia"/>
          <w:szCs w:val="21"/>
        </w:rPr>
        <w:t>4</w:t>
      </w:r>
      <w:r>
        <w:rPr>
          <w:rFonts w:hint="eastAsia"/>
        </w:rPr>
        <w:t xml:space="preserve"> 标准结构和内容说明</w:t>
      </w:r>
      <w:bookmarkEnd w:id="30"/>
    </w:p>
    <w:p>
      <w:pPr>
        <w:pStyle w:val="style4132"/>
        <w:numPr>
          <w:ilvl w:val="0"/>
          <w:numId w:val="0"/>
        </w:numPr>
        <w:spacing w:before="156" w:beforeLines="50" w:after="156" w:afterLines="50"/>
        <w:rPr>
          <w:rFonts w:hint="eastAsia"/>
        </w:rPr>
      </w:pPr>
      <w:r>
        <w:t>4</w:t>
      </w:r>
      <w:r>
        <w:rPr>
          <w:rFonts w:hint="eastAsia"/>
        </w:rPr>
        <w:t>.1 标准结构和主要内容</w:t>
      </w:r>
    </w:p>
    <w:p>
      <w:pPr>
        <w:pStyle w:val="style0"/>
        <w:spacing w:lineRule="exact" w:line="400"/>
        <w:ind w:firstLine="420" w:firstLineChars="200"/>
        <w:rPr>
          <w:rFonts w:ascii="微软雅黑" w:eastAsia="微软雅黑" w:hAnsi="微软雅黑"/>
        </w:rPr>
      </w:pPr>
      <w:r>
        <w:rPr>
          <w:rFonts w:ascii="微软雅黑" w:eastAsia="微软雅黑" w:hAnsi="微软雅黑"/>
        </w:rPr>
        <w:t>本</w:t>
      </w:r>
      <w:r>
        <w:rPr>
          <w:rFonts w:ascii="微软雅黑" w:eastAsia="微软雅黑" w:hAnsi="微软雅黑" w:hint="eastAsia"/>
        </w:rPr>
        <w:t>文件</w:t>
      </w:r>
      <w:r>
        <w:rPr>
          <w:rFonts w:ascii="微软雅黑" w:eastAsia="微软雅黑" w:hAnsi="微软雅黑"/>
        </w:rPr>
        <w:t>的</w:t>
      </w:r>
      <w:r>
        <w:rPr>
          <w:rFonts w:ascii="微软雅黑" w:eastAsia="微软雅黑" w:hAnsi="微软雅黑" w:hint="eastAsia"/>
        </w:rPr>
        <w:t>主题章</w:t>
      </w:r>
      <w:r>
        <w:rPr>
          <w:rFonts w:ascii="微软雅黑" w:eastAsia="微软雅黑" w:hAnsi="微软雅黑"/>
        </w:rPr>
        <w:t>为</w:t>
      </w:r>
      <w:r>
        <w:rPr>
          <w:rFonts w:ascii="微软雅黑" w:eastAsia="微软雅黑" w:hAnsi="微软雅黑" w:hint="eastAsia"/>
          <w:lang w:val="en-US" w:eastAsia="zh-CN"/>
        </w:rPr>
        <w:t>7</w:t>
      </w:r>
      <w:r>
        <w:rPr>
          <w:rFonts w:ascii="微软雅黑" w:eastAsia="微软雅黑" w:hAnsi="微软雅黑"/>
        </w:rPr>
        <w:t>章，</w:t>
      </w:r>
      <w:r>
        <w:rPr>
          <w:rFonts w:ascii="微软雅黑" w:eastAsia="微软雅黑" w:hAnsi="微软雅黑" w:hint="eastAsia"/>
        </w:rPr>
        <w:t>其中</w:t>
      </w:r>
      <w:r>
        <w:rPr>
          <w:rFonts w:ascii="微软雅黑" w:eastAsia="微软雅黑" w:hAnsi="微软雅黑"/>
        </w:rPr>
        <w:t>第</w:t>
      </w:r>
      <w:r>
        <w:rPr>
          <w:rFonts w:ascii="微软雅黑" w:eastAsia="微软雅黑" w:hAnsi="微软雅黑" w:hint="eastAsia"/>
          <w:lang w:val="en-US" w:eastAsia="zh-CN"/>
        </w:rPr>
        <w:t>4</w:t>
      </w:r>
      <w:r>
        <w:rPr>
          <w:rFonts w:ascii="微软雅黑" w:eastAsia="微软雅黑" w:hAnsi="微软雅黑"/>
        </w:rPr>
        <w:t>章至第</w:t>
      </w:r>
      <w:r>
        <w:rPr>
          <w:rFonts w:ascii="微软雅黑" w:eastAsia="微软雅黑" w:hAnsi="微软雅黑" w:hint="eastAsia"/>
          <w:lang w:val="en-US" w:eastAsia="zh-CN"/>
        </w:rPr>
        <w:t>7</w:t>
      </w:r>
      <w:r>
        <w:rPr>
          <w:rFonts w:ascii="微软雅黑" w:eastAsia="微软雅黑" w:hAnsi="微软雅黑"/>
        </w:rPr>
        <w:t>章</w:t>
      </w:r>
      <w:r>
        <w:rPr>
          <w:rFonts w:ascii="微软雅黑" w:eastAsia="微软雅黑" w:hAnsi="微软雅黑" w:hint="eastAsia"/>
        </w:rPr>
        <w:t>为核心内容</w:t>
      </w:r>
      <w:r>
        <w:rPr>
          <w:rFonts w:ascii="微软雅黑" w:eastAsia="微软雅黑" w:hAnsi="微软雅黑"/>
        </w:rPr>
        <w:t>。</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第</w:t>
      </w:r>
      <w:r>
        <w:rPr>
          <w:rFonts w:ascii="微软雅黑" w:eastAsia="微软雅黑" w:hAnsi="微软雅黑" w:hint="eastAsia"/>
          <w:lang w:val="en-US" w:eastAsia="zh-CN"/>
        </w:rPr>
        <w:t>4</w:t>
      </w:r>
      <w:r>
        <w:rPr>
          <w:rFonts w:ascii="微软雅黑" w:eastAsia="微软雅黑" w:hAnsi="微软雅黑" w:hint="eastAsia"/>
        </w:rPr>
        <w:t>章规定了</w:t>
      </w:r>
      <w:r>
        <w:rPr>
          <w:rFonts w:ascii="微软雅黑" w:eastAsia="微软雅黑" w:hAnsi="微软雅黑" w:hint="eastAsia"/>
          <w:lang w:val="en-US" w:eastAsia="zh-CN"/>
        </w:rPr>
        <w:t>变压器（电抗器）整装更换作业</w:t>
      </w:r>
      <w:r>
        <w:rPr>
          <w:rFonts w:ascii="微软雅黑" w:eastAsia="微软雅黑" w:hAnsi="微软雅黑" w:hint="eastAsia"/>
        </w:rPr>
        <w:t>的</w:t>
      </w:r>
      <w:r>
        <w:rPr>
          <w:rFonts w:ascii="微软雅黑" w:eastAsia="微软雅黑" w:hAnsi="微软雅黑" w:hint="eastAsia"/>
          <w:lang w:val="en-US" w:eastAsia="zh-CN"/>
        </w:rPr>
        <w:t>安全距离、停电工期等要求</w:t>
      </w:r>
      <w:r>
        <w:rPr>
          <w:rFonts w:ascii="微软雅黑" w:eastAsia="微软雅黑" w:hAnsi="微软雅黑" w:hint="eastAsia"/>
        </w:rPr>
        <w:t>；</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第</w:t>
      </w:r>
      <w:r>
        <w:rPr>
          <w:rFonts w:ascii="微软雅黑" w:eastAsia="微软雅黑" w:hAnsi="微软雅黑" w:hint="eastAsia"/>
          <w:lang w:val="en-US" w:eastAsia="zh-CN"/>
        </w:rPr>
        <w:t>5</w:t>
      </w:r>
      <w:r>
        <w:rPr>
          <w:rFonts w:ascii="微软雅黑" w:eastAsia="微软雅黑" w:hAnsi="微软雅黑" w:hint="eastAsia"/>
        </w:rPr>
        <w:t>章规定了</w:t>
      </w:r>
      <w:r>
        <w:rPr>
          <w:rFonts w:ascii="微软雅黑" w:eastAsia="微软雅黑" w:hAnsi="微软雅黑" w:hint="eastAsia"/>
          <w:lang w:val="en-US" w:eastAsia="zh-CN"/>
        </w:rPr>
        <w:t>变压器（电抗器）整装更换作业</w:t>
      </w:r>
      <w:r>
        <w:rPr>
          <w:rFonts w:ascii="微软雅黑" w:eastAsia="微软雅黑" w:hAnsi="微软雅黑" w:hint="eastAsia"/>
        </w:rPr>
        <w:t>的</w:t>
      </w:r>
      <w:r>
        <w:rPr>
          <w:rFonts w:ascii="微软雅黑" w:eastAsia="微软雅黑" w:hAnsi="微软雅黑" w:hint="eastAsia"/>
          <w:lang w:val="en-US" w:eastAsia="zh-CN"/>
        </w:rPr>
        <w:t>待用设备定置、转运方式、运输道路、顶升顶推及运输状态监视等要求</w:t>
      </w:r>
      <w:r>
        <w:rPr>
          <w:rFonts w:ascii="微软雅黑" w:eastAsia="微软雅黑" w:hAnsi="微软雅黑" w:hint="eastAsia"/>
        </w:rPr>
        <w:t>；</w:t>
      </w:r>
    </w:p>
    <w:p>
      <w:pPr>
        <w:pStyle w:val="style0"/>
        <w:spacing w:lineRule="exact" w:line="400"/>
        <w:ind w:firstLine="420" w:firstLineChars="200"/>
        <w:rPr>
          <w:rFonts w:ascii="微软雅黑" w:eastAsia="微软雅黑" w:hAnsi="微软雅黑" w:hint="eastAsia"/>
        </w:rPr>
      </w:pPr>
      <w:r>
        <w:rPr>
          <w:rFonts w:ascii="微软雅黑" w:eastAsia="微软雅黑" w:hAnsi="微软雅黑" w:hint="eastAsia"/>
        </w:rPr>
        <w:t>第</w:t>
      </w:r>
      <w:r>
        <w:rPr>
          <w:rFonts w:ascii="微软雅黑" w:eastAsia="微软雅黑" w:hAnsi="微软雅黑" w:hint="eastAsia"/>
          <w:lang w:val="en-US" w:eastAsia="zh-CN"/>
        </w:rPr>
        <w:t>6</w:t>
      </w:r>
      <w:r>
        <w:rPr>
          <w:rFonts w:ascii="微软雅黑" w:eastAsia="微软雅黑" w:hAnsi="微软雅黑" w:hint="eastAsia"/>
        </w:rPr>
        <w:t>章规定了</w:t>
      </w:r>
      <w:r>
        <w:rPr>
          <w:rFonts w:ascii="微软雅黑" w:eastAsia="微软雅黑" w:hAnsi="微软雅黑" w:hint="eastAsia"/>
          <w:lang w:val="en-US" w:eastAsia="zh-CN"/>
        </w:rPr>
        <w:t>变压器（电抗器）整装更换作业</w:t>
      </w:r>
      <w:r>
        <w:rPr>
          <w:rFonts w:ascii="微软雅黑" w:eastAsia="微软雅黑" w:hAnsi="微软雅黑" w:hint="eastAsia"/>
        </w:rPr>
        <w:t>的</w:t>
      </w:r>
      <w:r>
        <w:rPr>
          <w:rFonts w:ascii="微软雅黑" w:eastAsia="微软雅黑" w:hAnsi="微软雅黑" w:hint="eastAsia"/>
          <w:lang w:val="en-US" w:eastAsia="zh-CN"/>
        </w:rPr>
        <w:t>原运行设备拆除、待用设备安装、巡视及就位后检查等要求</w:t>
      </w:r>
      <w:r>
        <w:rPr>
          <w:rFonts w:ascii="微软雅黑" w:eastAsia="微软雅黑" w:hAnsi="微软雅黑" w:hint="eastAsia"/>
        </w:rPr>
        <w:t>；</w:t>
      </w:r>
    </w:p>
    <w:p>
      <w:pPr>
        <w:pStyle w:val="style0"/>
        <w:spacing w:lineRule="exact" w:line="400"/>
        <w:ind w:firstLine="420" w:firstLineChars="200"/>
        <w:rPr>
          <w:rFonts w:ascii="微软雅黑" w:eastAsia="微软雅黑" w:hAnsi="微软雅黑"/>
        </w:rPr>
      </w:pPr>
      <w:r>
        <w:rPr>
          <w:rFonts w:ascii="微软雅黑" w:eastAsia="微软雅黑" w:hAnsi="微软雅黑" w:hint="eastAsia"/>
        </w:rPr>
        <w:t>第</w:t>
      </w:r>
      <w:r>
        <w:rPr>
          <w:rFonts w:ascii="微软雅黑" w:eastAsia="微软雅黑" w:hAnsi="微软雅黑" w:hint="eastAsia"/>
          <w:lang w:val="en-US" w:eastAsia="zh-CN"/>
        </w:rPr>
        <w:t>7</w:t>
      </w:r>
      <w:r>
        <w:rPr>
          <w:rFonts w:ascii="微软雅黑" w:eastAsia="微软雅黑" w:hAnsi="微软雅黑" w:hint="eastAsia"/>
        </w:rPr>
        <w:t>章规定了</w:t>
      </w:r>
      <w:r>
        <w:rPr>
          <w:rFonts w:ascii="微软雅黑" w:eastAsia="微软雅黑" w:hAnsi="微软雅黑" w:hint="eastAsia"/>
          <w:lang w:val="en-US" w:eastAsia="zh-CN"/>
        </w:rPr>
        <w:t>变压器（电抗器）整装更换作业</w:t>
      </w:r>
      <w:r>
        <w:rPr>
          <w:rFonts w:ascii="微软雅黑" w:eastAsia="微软雅黑" w:hAnsi="微软雅黑" w:hint="eastAsia"/>
        </w:rPr>
        <w:t>的</w:t>
      </w:r>
      <w:r>
        <w:rPr>
          <w:rFonts w:ascii="微软雅黑" w:eastAsia="微软雅黑" w:hAnsi="微软雅黑" w:hint="eastAsia"/>
          <w:lang w:val="en-US" w:eastAsia="zh-CN"/>
        </w:rPr>
        <w:t>待用设备运输前、就位后试验等要求。</w:t>
      </w:r>
    </w:p>
    <w:p>
      <w:pPr>
        <w:pStyle w:val="style4132"/>
        <w:numPr>
          <w:ilvl w:val="0"/>
          <w:numId w:val="0"/>
        </w:numPr>
        <w:spacing w:before="156" w:beforeLines="50" w:after="156" w:afterLines="50"/>
        <w:rPr/>
      </w:pPr>
      <w:r>
        <w:rPr>
          <w:rFonts w:hint="eastAsia"/>
        </w:rPr>
        <w:t>4</w:t>
      </w:r>
      <w:r>
        <w:t>.</w:t>
      </w:r>
      <w:r>
        <w:rPr>
          <w:rFonts w:hint="eastAsia"/>
          <w:lang w:val="en-US" w:eastAsia="zh-CN"/>
        </w:rPr>
        <w:t>2</w:t>
      </w:r>
      <w:r>
        <w:t xml:space="preserve"> </w:t>
      </w:r>
      <w:r>
        <w:rPr>
          <w:rFonts w:hint="eastAsia"/>
        </w:rPr>
        <w:t>重要条文的说明</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第4章 一般要求</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考虑到变压器（电抗器）整装搬运作业的安全性，对整装搬运作业与不同电压等级的带电体安全距离提出了一般性要求，形成了“表1 整装搬运更换与带电体的安全距离”。</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考虑到整装搬运作业的可靠性与高效性，并结合工程实践，对不同电压等级变压器（电抗器）整装搬运作业工期提出了一般性要求，形成了“表2 单台</w:t>
      </w:r>
      <w:bookmarkStart w:id="31" w:name="_Hlk199436937"/>
      <w:r>
        <w:rPr>
          <w:rFonts w:ascii="微软雅黑" w:eastAsia="微软雅黑" w:hAnsi="微软雅黑" w:hint="eastAsia"/>
          <w:lang w:val="en-US" w:eastAsia="zh-CN"/>
        </w:rPr>
        <w:t>整装搬运更换停电</w:t>
      </w:r>
      <w:bookmarkEnd w:id="31"/>
      <w:r>
        <w:rPr>
          <w:rFonts w:ascii="微软雅黑" w:eastAsia="微软雅黑" w:hAnsi="微软雅黑" w:hint="eastAsia"/>
          <w:lang w:val="en-US" w:eastAsia="zh-CN"/>
        </w:rPr>
        <w:t>时间”。同时，考虑作业环境的差异性，推荐了适当延长停电工期的情况，包括“变压器（电抗器）周围装设隔声屏等其他附属设备导致拆装工作量明显增加的可适当延长停电工期，延长的停电工期不宜超过3天”。</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rPr>
        <w:t>第</w:t>
      </w:r>
      <w:r>
        <w:rPr>
          <w:rFonts w:ascii="微软雅黑" w:eastAsia="微软雅黑" w:hAnsi="微软雅黑" w:hint="eastAsia"/>
          <w:lang w:val="en-US" w:eastAsia="zh-CN"/>
        </w:rPr>
        <w:t>5</w:t>
      </w:r>
      <w:r>
        <w:rPr>
          <w:rFonts w:ascii="微软雅黑" w:eastAsia="微软雅黑" w:hAnsi="微软雅黑" w:hint="eastAsia"/>
        </w:rPr>
        <w:t>.1条 待用设备位置</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c) 待用设备定置位置的基础台地面，在放置千斤顶顶升部位区域的承载力不应小于100t/m2。DL/T 1071标准规定了电力大件运输途中的技术要求，未提及大件在运输前长期定置及运输中的基础要求，为防止定置及运输期间基础沉陷，因此提出了相关承载力的要求，类似条款包括</w:t>
      </w:r>
      <w:r>
        <w:rPr>
          <w:rFonts w:ascii="微软雅黑" w:eastAsia="微软雅黑" w:hAnsi="微软雅黑" w:hint="eastAsia"/>
        </w:rPr>
        <w:t>第</w:t>
      </w:r>
      <w:r>
        <w:rPr>
          <w:rFonts w:ascii="微软雅黑" w:eastAsia="微软雅黑" w:hAnsi="微软雅黑" w:hint="eastAsia"/>
          <w:lang w:val="en-US" w:eastAsia="zh-CN"/>
        </w:rPr>
        <w:t>5.3</w:t>
      </w:r>
      <w:r>
        <w:rPr>
          <w:rFonts w:ascii="微软雅黑" w:eastAsia="微软雅黑" w:hAnsi="微软雅黑" w:hint="eastAsia"/>
        </w:rPr>
        <w:t>条</w:t>
      </w:r>
      <w:r>
        <w:rPr>
          <w:rFonts w:ascii="微软雅黑" w:eastAsia="微软雅黑" w:hAnsi="微软雅黑" w:hint="eastAsia"/>
          <w:lang w:val="en-US" w:eastAsia="zh-CN"/>
        </w:rPr>
        <w:t>a）、5.3</w:t>
      </w:r>
      <w:r>
        <w:rPr>
          <w:rFonts w:ascii="微软雅黑" w:eastAsia="微软雅黑" w:hAnsi="微软雅黑" w:hint="eastAsia"/>
        </w:rPr>
        <w:t>条</w:t>
      </w:r>
      <w:r>
        <w:rPr>
          <w:rFonts w:ascii="微软雅黑" w:eastAsia="微软雅黑" w:hAnsi="微软雅黑" w:hint="eastAsia"/>
          <w:lang w:val="en-US" w:eastAsia="zh-CN"/>
        </w:rPr>
        <w:t>b）、5.3</w:t>
      </w:r>
      <w:r>
        <w:rPr>
          <w:rFonts w:ascii="微软雅黑" w:eastAsia="微软雅黑" w:hAnsi="微软雅黑" w:hint="eastAsia"/>
        </w:rPr>
        <w:t>条</w:t>
      </w:r>
      <w:r>
        <w:rPr>
          <w:rFonts w:ascii="微软雅黑" w:eastAsia="微软雅黑" w:hAnsi="微软雅黑" w:hint="eastAsia"/>
          <w:lang w:val="en-US" w:eastAsia="zh-CN"/>
        </w:rPr>
        <w:t>c）。</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 xml:space="preserve">d) </w:t>
      </w:r>
      <w:r>
        <w:rPr>
          <w:rFonts w:ascii="微软雅黑" w:eastAsia="微软雅黑" w:hAnsi="微软雅黑" w:hint="default"/>
          <w:lang w:val="en-US" w:eastAsia="zh-CN"/>
        </w:rPr>
        <w:t>待用设备临时基础放置方向应与运行设备方向一致。</w:t>
      </w:r>
      <w:r>
        <w:rPr>
          <w:rFonts w:ascii="微软雅黑" w:eastAsia="微软雅黑" w:hAnsi="微软雅黑" w:hint="eastAsia"/>
          <w:lang w:val="en-US" w:eastAsia="zh-CN"/>
        </w:rPr>
        <w:t>变压器（电抗器）整装搬运作业较常规运输重量和高度明显增加，为避免整装搬运过程中的转向操作导致的高振动对待用设备的不利影响，因此提出待用设备定置方向的要求。</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rPr>
        <w:t>第</w:t>
      </w:r>
      <w:r>
        <w:rPr>
          <w:rFonts w:ascii="微软雅黑" w:eastAsia="微软雅黑" w:hAnsi="微软雅黑" w:hint="eastAsia"/>
          <w:lang w:val="en-US" w:eastAsia="zh-CN"/>
        </w:rPr>
        <w:t>5</w:t>
      </w:r>
      <w:r>
        <w:rPr>
          <w:rFonts w:ascii="微软雅黑" w:eastAsia="微软雅黑" w:hAnsi="微软雅黑" w:hint="eastAsia"/>
        </w:rPr>
        <w:t>.</w:t>
      </w:r>
      <w:r>
        <w:rPr>
          <w:rFonts w:ascii="微软雅黑" w:eastAsia="微软雅黑" w:hAnsi="微软雅黑" w:hint="eastAsia"/>
          <w:lang w:val="en-US" w:eastAsia="zh-CN"/>
        </w:rPr>
        <w:t>2</w:t>
      </w:r>
      <w:r>
        <w:rPr>
          <w:rFonts w:ascii="微软雅黑" w:eastAsia="微软雅黑" w:hAnsi="微软雅黑" w:hint="eastAsia"/>
        </w:rPr>
        <w:t xml:space="preserve">条 </w:t>
      </w:r>
      <w:r>
        <w:rPr>
          <w:rFonts w:ascii="微软雅黑" w:eastAsia="微软雅黑" w:hAnsi="微软雅黑" w:hint="eastAsia"/>
          <w:lang w:val="en-US" w:eastAsia="zh-CN"/>
        </w:rPr>
        <w:t>转运方式</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default"/>
          <w:lang w:val="en-US" w:eastAsia="zh-CN"/>
        </w:rPr>
        <w:t>b)</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待用设备低于200t时宜采用单联滑轨运输，高于200t时宜采用双联滑轨运输。</w:t>
      </w:r>
      <w:r>
        <w:rPr>
          <w:rFonts w:ascii="微软雅黑" w:eastAsia="微软雅黑" w:hAnsi="微软雅黑" w:hint="eastAsia"/>
          <w:lang w:val="en-US" w:eastAsia="zh-CN"/>
        </w:rPr>
        <w:t>DL/T 1071标准规定了较长的电力大件应考虑多组滑道，未明确电力大件的重量要求。综合考虑低电压等级变压器（电抗器）运输便捷性与高电压等级变压器（电抗器）运输安全性以及工程实践经验积累，因此推荐了不同重量的变压器（电抗器）整装搬运轨道配置要求。</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d</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整装搬运道路运输长度超100m或转运路径有转弯时，整装搬运道路运输时宜选用自行式液压平板车，其余情况宜采用人工液压顶推滑移法运输。</w:t>
      </w:r>
      <w:r>
        <w:rPr>
          <w:rFonts w:ascii="微软雅黑" w:eastAsia="微软雅黑" w:hAnsi="微软雅黑" w:hint="eastAsia"/>
          <w:lang w:val="en-US" w:eastAsia="zh-CN"/>
        </w:rPr>
        <w:t>DL/T 1071标准规定了常规运输时车辆运输、液压顶推滑移法的技术要求，未涉及整装搬运更换时运输方式的选择。考虑到整装搬运更换对于运输稳定性要求高以及停电工期短的矛盾，结合工程实际推荐了不同运输道路情况下整装搬运车辆运输及液压顶推滑移法的选择要求。</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第</w:t>
      </w:r>
      <w:r>
        <w:rPr>
          <w:rFonts w:ascii="微软雅黑" w:eastAsia="微软雅黑" w:hAnsi="微软雅黑" w:hint="default"/>
          <w:lang w:val="en-US" w:eastAsia="zh-CN"/>
        </w:rPr>
        <w:t>5.</w:t>
      </w:r>
      <w:r>
        <w:rPr>
          <w:rFonts w:ascii="微软雅黑" w:eastAsia="微软雅黑" w:hAnsi="微软雅黑" w:hint="eastAsia"/>
          <w:lang w:val="en-US" w:eastAsia="zh-CN"/>
        </w:rPr>
        <w:t xml:space="preserve">5.1条 </w:t>
      </w:r>
      <w:r>
        <w:rPr>
          <w:rFonts w:ascii="微软雅黑" w:eastAsia="微软雅黑" w:hAnsi="微软雅黑" w:hint="default"/>
          <w:lang w:val="en-US" w:eastAsia="zh-CN"/>
        </w:rPr>
        <w:t>冲击记录仪</w:t>
      </w:r>
      <w:r>
        <w:rPr>
          <w:rFonts w:ascii="微软雅黑" w:eastAsia="微软雅黑" w:hAnsi="微软雅黑" w:hint="eastAsia"/>
          <w:lang w:val="en-US" w:eastAsia="zh-CN"/>
        </w:rPr>
        <w:t>安装</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a</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冲击记录仪应至少装设在待用设备本体、高压套管升高座安装法兰上，高压套管顶部宜装设冲击记录仪，冲击记录仪应至少1台具备远程实时数据传输功能。</w:t>
      </w:r>
      <w:r>
        <w:rPr>
          <w:rFonts w:ascii="微软雅黑" w:eastAsia="微软雅黑" w:hAnsi="微软雅黑" w:hint="eastAsia"/>
          <w:lang w:val="en-US" w:eastAsia="zh-CN"/>
        </w:rPr>
        <w:t>d) 冲击记录仪均应采用螺栓固定，固定应可靠、水平。冲击记录仪的配置及安装要求在GB 50148、GB 50835、DL/T 1071中均未提及，本标准结合整装搬运工程实践，考虑运输中的全过程监视需求，提出了冲击记录仪的配置及安装要求。</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第</w:t>
      </w:r>
      <w:r>
        <w:rPr>
          <w:rFonts w:ascii="微软雅黑" w:eastAsia="微软雅黑" w:hAnsi="微软雅黑" w:hint="default"/>
          <w:lang w:val="en-US" w:eastAsia="zh-CN"/>
        </w:rPr>
        <w:t>5.</w:t>
      </w:r>
      <w:r>
        <w:rPr>
          <w:rFonts w:ascii="微软雅黑" w:eastAsia="微软雅黑" w:hAnsi="微软雅黑" w:hint="eastAsia"/>
          <w:lang w:val="en-US" w:eastAsia="zh-CN"/>
        </w:rPr>
        <w:t xml:space="preserve">5.2条 </w:t>
      </w:r>
      <w:r>
        <w:rPr>
          <w:rFonts w:ascii="微软雅黑" w:eastAsia="微软雅黑" w:hAnsi="微软雅黑" w:hint="default"/>
          <w:lang w:val="en-US" w:eastAsia="zh-CN"/>
        </w:rPr>
        <w:t>冲击记录仪</w:t>
      </w:r>
      <w:r>
        <w:rPr>
          <w:rFonts w:ascii="微软雅黑" w:eastAsia="微软雅黑" w:hAnsi="微软雅黑" w:hint="eastAsia"/>
          <w:lang w:val="en-US" w:eastAsia="zh-CN"/>
        </w:rPr>
        <w:t>合格标准</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a</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本体、高压套管升高座法兰、套管顶部冲击记录仪在水平、垂直方向的振动加速度均不应超1g</w:t>
      </w:r>
      <w:r>
        <w:rPr>
          <w:rFonts w:ascii="微软雅黑" w:eastAsia="微软雅黑" w:hAnsi="微软雅黑" w:hint="eastAsia"/>
          <w:lang w:val="en-US" w:eastAsia="zh-CN"/>
        </w:rPr>
        <w:t>。GB 50148、GB 50835、DL/T 1071中明确了常规运输时加速度要求不超过3g的标准，考虑到变压器（电抗器）整装后附属设备多、套管高度较高等因素，为防止运输中的振动对附件的损伤，结合工程实践本标准提出了整装搬运作业振动加速度的要求。</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第</w:t>
      </w:r>
      <w:r>
        <w:rPr>
          <w:rFonts w:ascii="微软雅黑" w:eastAsia="微软雅黑" w:hAnsi="微软雅黑" w:hint="default"/>
          <w:lang w:val="en-US" w:eastAsia="zh-CN"/>
        </w:rPr>
        <w:t>6.2</w:t>
      </w:r>
      <w:r>
        <w:rPr>
          <w:rFonts w:ascii="微软雅黑" w:eastAsia="微软雅黑" w:hAnsi="微软雅黑" w:hint="eastAsia"/>
          <w:lang w:val="en-US" w:eastAsia="zh-CN"/>
        </w:rPr>
        <w:t>条</w:t>
      </w:r>
      <w:r>
        <w:rPr>
          <w:rFonts w:ascii="微软雅黑" w:eastAsia="微软雅黑" w:hAnsi="微软雅黑" w:hint="default"/>
          <w:lang w:val="en-US" w:eastAsia="zh-CN"/>
        </w:rPr>
        <w:t>　原运行设备拆除</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b</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原运行设备附件拆除后，本体应抽真空至133Pa</w:t>
      </w:r>
      <w:r>
        <w:rPr>
          <w:rFonts w:ascii="微软雅黑" w:eastAsia="微软雅黑" w:hAnsi="微软雅黑" w:hint="eastAsia"/>
          <w:lang w:val="en-US" w:eastAsia="zh-CN"/>
        </w:rPr>
        <w:t>。GB 50148、GB 50835中明确了新设备安装后的抽真空要求，考虑到原运行设备需再利用，为补偿拆除过程中原运行设备的露空时间，加强原运行设备保护，本标准提出了原运行设备拆除后保管的要求。</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第6.3条　待用设备附件安装</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b</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w:t>
      </w:r>
      <w:r>
        <w:rPr>
          <w:rFonts w:ascii="微软雅黑" w:eastAsia="微软雅黑" w:hAnsi="微软雅黑" w:hint="default"/>
          <w:lang w:val="en-US" w:eastAsia="zh-CN"/>
        </w:rPr>
        <w:t>待用设备高压套管升高座为间接出线结构时，整装搬运前应安装升高座运输临时支撑架</w:t>
      </w:r>
      <w:r>
        <w:rPr>
          <w:rFonts w:ascii="微软雅黑" w:eastAsia="微软雅黑" w:hAnsi="微软雅黑" w:hint="eastAsia"/>
          <w:lang w:val="en-US" w:eastAsia="zh-CN"/>
        </w:rPr>
        <w:t>。为加强高压套管升高座间接出线结构的运输支撑，结合工程实践，本标准提出了间接出线结构运输加固的要求。同时，条款6.5条c）提出了就位后支撑架拆除的技术要求。</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第6.6条　待用设备就位后安装</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a</w:t>
      </w:r>
      <w:r>
        <w:rPr>
          <w:rFonts w:ascii="微软雅黑" w:eastAsia="微软雅黑" w:hAnsi="微软雅黑" w:hint="default"/>
          <w:lang w:val="en-US" w:eastAsia="zh-CN"/>
        </w:rPr>
        <w:t>)</w:t>
      </w:r>
      <w:r>
        <w:rPr>
          <w:rFonts w:ascii="微软雅黑" w:eastAsia="微软雅黑" w:hAnsi="微软雅黑" w:hint="eastAsia"/>
          <w:lang w:val="en-US" w:eastAsia="zh-CN"/>
        </w:rPr>
        <w:t xml:space="preserve"> 将未安装的附件完整安装，新安装的附件均应抽真空至133Pa，并开展真空注油，按油温-油位曲线对油位调整，开展静置及排气。</w:t>
      </w:r>
      <w:bookmarkStart w:id="32" w:name="_Hlk199437647"/>
      <w:r>
        <w:rPr>
          <w:rFonts w:ascii="微软雅黑" w:eastAsia="微软雅黑" w:hAnsi="微软雅黑" w:hint="eastAsia"/>
          <w:lang w:val="en-US" w:eastAsia="zh-CN"/>
        </w:rPr>
        <w:t>待用设备</w:t>
      </w:r>
      <w:bookmarkEnd w:id="32"/>
      <w:r>
        <w:rPr>
          <w:rFonts w:ascii="微软雅黑" w:eastAsia="微软雅黑" w:hAnsi="微软雅黑" w:hint="eastAsia"/>
          <w:lang w:val="en-US" w:eastAsia="zh-CN"/>
        </w:rPr>
        <w:t>投运前的静置时间应符合表3的规定。考虑到部分变压器（电抗器）可能存在与本体无刚性连接的附件，该部分附件可在运输就位后安装，本标准明确了新安装附件的抽真空、注油、静置要求，并明确了不同电压等级变压器（电抗器）投运前静置要求，形成“表3 待用设备运投运前静置时间”。</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第7.1条　待用设备搬运前试验</w:t>
      </w:r>
    </w:p>
    <w:p>
      <w:pPr>
        <w:pStyle w:val="style0"/>
        <w:spacing w:lineRule="exact" w:line="400"/>
        <w:ind w:firstLine="420" w:firstLineChars="200"/>
        <w:rPr>
          <w:rFonts w:ascii="微软雅黑" w:eastAsia="微软雅黑" w:hAnsi="微软雅黑" w:hint="default"/>
          <w:lang w:val="en-US" w:eastAsia="zh-CN"/>
        </w:rPr>
      </w:pPr>
      <w:r>
        <w:rPr>
          <w:rFonts w:ascii="微软雅黑" w:eastAsia="微软雅黑" w:hAnsi="微软雅黑" w:hint="eastAsia"/>
          <w:lang w:val="en-US" w:eastAsia="zh-CN"/>
        </w:rPr>
        <w:t>待用设备在待用设备基础上安装试验合格后超过6个月未投入运行，搬运前应按DL/T 393的规定重新进行例行试验；待用设备安装试验合格后超过12个月未投入运行，搬运前应按GB 50150、GB 50832的规定重新进行产品交接试验，试验合格方可使用。DL/T 393规定了待用设备超6个月未投运的试验要求，未细化明确不同时间区间的试验要求，为确保待用设备状态可用，结合工程实践，本标准规定了整装搬运前待用设备投运前不同时间区间的试验要求。</w:t>
      </w:r>
    </w:p>
    <w:bookmarkStart w:id="33" w:name="_Toc513731114"/>
    <w:p>
      <w:pPr>
        <w:pStyle w:val="style4129"/>
        <w:spacing w:before="312" w:after="312"/>
        <w:rPr/>
      </w:pPr>
      <w:r>
        <w:rPr>
          <w:rFonts w:ascii="宋体" w:hAnsi="宋体" w:hint="eastAsia"/>
          <w:szCs w:val="21"/>
        </w:rPr>
        <w:t>5相关</w:t>
      </w:r>
      <w:r>
        <w:rPr>
          <w:rFonts w:hint="eastAsia"/>
        </w:rPr>
        <w:t>标准对比说明</w:t>
      </w:r>
      <w:bookmarkEnd w:id="33"/>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（1）本文件遵从相关技术领域的国家法律、法规和行业有关规定。</w:t>
      </w:r>
    </w:p>
    <w:bookmarkStart w:id="34" w:name="sys5386073"/>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（2）本文件的核心技术及指标暂无相关的国内和国际标准。</w:t>
      </w:r>
    </w:p>
    <w:p>
      <w:pPr>
        <w:pStyle w:val="style0"/>
        <w:spacing w:lineRule="exact" w:line="400"/>
        <w:ind w:firstLine="420" w:firstLineChars="200"/>
        <w:rPr>
          <w:rFonts w:ascii="微软雅黑" w:eastAsia="微软雅黑" w:hAnsi="微软雅黑" w:hint="eastAsia"/>
          <w:lang w:val="en-US" w:eastAsia="zh-CN"/>
        </w:rPr>
      </w:pPr>
      <w:r>
        <w:rPr>
          <w:rFonts w:ascii="微软雅黑" w:eastAsia="微软雅黑" w:hAnsi="微软雅黑" w:hint="eastAsia"/>
          <w:lang w:val="en-US" w:eastAsia="zh-CN"/>
        </w:rPr>
        <w:t>（3）本文件参考了DL/T 1071-2023 《电力大件运输规范》的编写规范和要求。</w:t>
      </w:r>
    </w:p>
    <w:bookmarkStart w:id="35" w:name="_Toc513731115"/>
    <w:bookmarkEnd w:id="34"/>
    <w:p>
      <w:pPr>
        <w:pStyle w:val="style4129"/>
        <w:spacing w:before="312" w:after="312"/>
        <w:rPr>
          <w:rFonts w:ascii="宋体" w:hAnsi="宋体" w:hint="eastAsia"/>
          <w:szCs w:val="21"/>
        </w:rPr>
      </w:pPr>
      <w:r>
        <w:rPr>
          <w:rFonts w:ascii="宋体" w:hAnsi="宋体" w:hint="eastAsia"/>
          <w:szCs w:val="21"/>
        </w:rPr>
        <w:t>6标准实施措施说明</w:t>
      </w:r>
      <w:bookmarkEnd w:id="35"/>
    </w:p>
    <w:p>
      <w:pPr>
        <w:pStyle w:val="style0"/>
        <w:spacing w:lineRule="exact" w:line="400"/>
        <w:ind w:firstLine="420" w:firstLineChars="200"/>
        <w:rPr>
          <w:rFonts w:ascii="微软雅黑" w:eastAsia="微软雅黑" w:hAnsi="微软雅黑" w:hint="eastAsia"/>
        </w:rPr>
      </w:pPr>
      <w:r>
        <w:rPr>
          <w:rFonts w:ascii="微软雅黑" w:eastAsia="微软雅黑" w:hAnsi="微软雅黑"/>
        </w:rPr>
        <w:t>本标准规定的</w:t>
      </w:r>
      <w:r>
        <w:rPr>
          <w:rFonts w:ascii="微软雅黑" w:eastAsia="微软雅黑" w:hAnsi="微软雅黑" w:hint="eastAsia"/>
          <w:lang w:val="en-US" w:eastAsia="zh-CN"/>
        </w:rPr>
        <w:t>技术要求</w:t>
      </w:r>
      <w:r>
        <w:rPr>
          <w:rFonts w:ascii="微软雅黑" w:eastAsia="微软雅黑" w:hAnsi="微软雅黑"/>
        </w:rPr>
        <w:t>主要用于指导现阶段</w:t>
      </w:r>
      <w:r>
        <w:rPr>
          <w:rFonts w:ascii="微软雅黑" w:eastAsia="微软雅黑" w:hAnsi="微软雅黑" w:hint="eastAsia"/>
        </w:rPr>
        <w:t>油浸式变压器（电抗器）整装搬运更换的运输、拆装与试验</w:t>
      </w:r>
      <w:r>
        <w:rPr>
          <w:rFonts w:ascii="微软雅黑" w:eastAsia="微软雅黑" w:hAnsi="微软雅黑"/>
        </w:rPr>
        <w:t>，随着技术水平的发展和</w:t>
      </w:r>
      <w:r>
        <w:rPr>
          <w:rFonts w:ascii="微软雅黑" w:eastAsia="微软雅黑" w:hAnsi="微软雅黑" w:hint="eastAsia"/>
          <w:lang w:val="en-US" w:eastAsia="zh-CN"/>
        </w:rPr>
        <w:t>整装搬运更换作业</w:t>
      </w:r>
      <w:r>
        <w:rPr>
          <w:rFonts w:ascii="微软雅黑" w:eastAsia="微软雅黑" w:hAnsi="微软雅黑"/>
        </w:rPr>
        <w:t>规模的增加，应及时对相应</w:t>
      </w:r>
      <w:r>
        <w:rPr>
          <w:rFonts w:ascii="微软雅黑" w:eastAsia="微软雅黑" w:hAnsi="微软雅黑" w:hint="eastAsia"/>
          <w:lang w:val="en-US" w:eastAsia="zh-CN"/>
        </w:rPr>
        <w:t>的要求</w:t>
      </w:r>
      <w:r>
        <w:rPr>
          <w:rFonts w:ascii="微软雅黑" w:eastAsia="微软雅黑" w:hAnsi="微软雅黑"/>
        </w:rPr>
        <w:t>进行修正完善</w:t>
      </w:r>
      <w:r>
        <w:rPr>
          <w:rFonts w:ascii="微软雅黑" w:eastAsia="微软雅黑" w:hAnsi="微软雅黑" w:hint="eastAsia"/>
        </w:rPr>
        <w:t>。</w:t>
      </w:r>
    </w:p>
    <w:p>
      <w:pPr>
        <w:pStyle w:val="style4129"/>
        <w:spacing w:before="312" w:after="312"/>
        <w:rPr>
          <w:rFonts w:ascii="宋体" w:hAnsi="宋体" w:hint="eastAsia"/>
          <w:szCs w:val="21"/>
        </w:rPr>
      </w:pPr>
    </w:p>
    <w:sectPr>
      <w:headerReference w:type="default" r:id="rId6"/>
      <w:footerReference w:type="default" r:id="rId7"/>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a"/>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4"/>
      <w:spacing w:before="120" w:after="120"/>
      <w:jc w:val="both"/>
      <w:rPr/>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4"/>
      <w:wordWrap w:val="false"/>
      <w:rPr/>
    </w:pPr>
    <w:r>
      <w:rPr>
        <w:rFonts w:hint="eastAsia"/>
      </w:rPr>
      <w:t>T</w:t>
    </w:r>
    <w:r>
      <w:t>/</w:t>
    </w:r>
    <w:r>
      <w:rPr>
        <w:rFonts w:hint="eastAsia"/>
      </w:rPr>
      <w:t>CSEE</w:t>
    </w:r>
    <w:r>
      <w:rPr>
        <w:rFonts w:hAnsi="黑体" w:hint="eastAsia"/>
      </w:rPr>
      <w:t xml:space="preserve"> XXXX-YYYY</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4"/>
      <w:wordWrap w:val="false"/>
      <w:spacing w:before="120" w:after="12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FC91163"/>
    <w:lvl w:ilvl="0">
      <w:start w:val="1"/>
      <w:numFmt w:val="decimal"/>
      <w:pStyle w:val="style4115"/>
      <w:suff w:val="nothing"/>
      <w:lvlText w:val="%1　"/>
      <w:lvlJc w:val="left"/>
      <w:pPr>
        <w:ind w:left="426" w:firstLine="0"/>
      </w:pPr>
      <w:rPr>
        <w:rFonts w:ascii="黑体" w:eastAsia="黑体" w:hAnsi="Times New Roman" w:hint="eastAsia"/>
        <w:b w:val="false"/>
        <w:i w:val="false"/>
        <w:sz w:val="21"/>
        <w:szCs w:val="21"/>
      </w:rPr>
    </w:lvl>
    <w:lvl w:ilvl="1">
      <w:start w:val="1"/>
      <w:numFmt w:val="decimal"/>
      <w:pStyle w:val="style4112"/>
      <w:suff w:val="nothing"/>
      <w:lvlText w:val="%1.%2　"/>
      <w:lvlJc w:val="left"/>
      <w:pPr>
        <w:ind w:left="142" w:firstLine="0"/>
      </w:pPr>
      <w:rPr>
        <w:rFonts w:ascii="黑体" w:cs="Times New Roman" w:eastAsia="黑体" w:hAnsi="Times New Roman" w:hint="eastAsia"/>
        <w:b w:val="false"/>
        <w:bCs w:val="false"/>
        <w:i w:val="false"/>
        <w:iCs w:val="false"/>
        <w:caps w:val="false"/>
        <w:vanish w:val="false"/>
        <w:color w:val="000000"/>
        <w:spacing w:val="0"/>
        <w:kern w:val="0"/>
        <w:position w:val="0"/>
        <w:sz w:val="21"/>
        <w:szCs w:val="21"/>
        <w:u w:val="none"/>
        <w:vertAlign w:val="baseline"/>
        <w14:shadow w14:blurRad="0" w14:ky="0" w14:dir="0" w14:kx="0" w14:algn="none" w14:sy="0" w14:sx="0" w14:dist="0">
          <w14:srgbClr w14:val="000000"/>
        </w14:shadow>
      </w:rPr>
    </w:lvl>
    <w:lvl w:ilvl="2">
      <w:start w:val="1"/>
      <w:numFmt w:val="decimal"/>
      <w:suff w:val="nothing"/>
      <w:lvlText w:val="%1.%2.%3　"/>
      <w:lvlJc w:val="left"/>
      <w:pPr>
        <w:ind w:left="568" w:firstLine="0"/>
      </w:pPr>
      <w:rPr>
        <w:rFonts w:ascii="黑体" w:eastAsia="黑体" w:hAnsi="Times New Roman" w:hint="eastAsia"/>
        <w:b w:val="false"/>
        <w:i w:val="false"/>
        <w:sz w:val="21"/>
      </w:rPr>
    </w:lvl>
    <w:lvl w:ilvl="3">
      <w:start w:val="1"/>
      <w:numFmt w:val="decimal"/>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51"/>
        </w:tabs>
        <w:ind w:left="3969" w:hanging="1418"/>
      </w:pPr>
      <w:rPr>
        <w:rFonts w:hint="eastAsia"/>
      </w:rPr>
    </w:lvl>
    <w:lvl w:ilvl="8">
      <w:start w:val="1"/>
      <w:numFmt w:val="decimal"/>
      <w:lvlText w:val="%1.%2.%3.%4.%5.%6.%7.%8.%9"/>
      <w:lvlJc w:val="left"/>
      <w:pPr>
        <w:tabs>
          <w:tab w:val="left" w:leader="none" w:pos="4777"/>
        </w:tabs>
        <w:ind w:left="4677" w:hanging="1700"/>
      </w:pPr>
      <w:rPr>
        <w:rFonts w:hint="eastAsia"/>
      </w:rPr>
    </w:lvl>
  </w:abstractNum>
  <w:abstractNum w:abstractNumId="1">
    <w:nsid w:val="00000001"/>
    <w:multiLevelType w:val="multilevel"/>
    <w:tmpl w:val="2A8F7113"/>
    <w:lvl w:ilvl="0">
      <w:start w:val="1"/>
      <w:numFmt w:val="upperLetter"/>
      <w:pStyle w:val="style4140"/>
      <w:suff w:val="space"/>
      <w:lvlText w:val="%1"/>
      <w:lvlJc w:val="left"/>
      <w:pPr>
        <w:ind w:left="0" w:firstLine="0"/>
      </w:pPr>
      <w:rPr>
        <w:rFonts w:hint="eastAsia"/>
        <w:color w:val="ffffff"/>
        <w:sz w:val="2"/>
      </w:rPr>
    </w:lvl>
    <w:lvl w:ilvl="1">
      <w:start w:val="1"/>
      <w:numFmt w:val="decimal"/>
      <w:suff w:val="nothing"/>
      <w:lvlText w:val="图%1.%2　"/>
      <w:lvlJc w:val="left"/>
      <w:pPr>
        <w:ind w:left="0" w:firstLine="0"/>
      </w:pPr>
      <w:rPr>
        <w:rFonts w:eastAsia="黑体" w:hint="eastAsia"/>
        <w:b w:val="false"/>
        <w:i w:val="false"/>
        <w:sz w:val="21"/>
      </w:rPr>
    </w:lvl>
    <w:lvl w:ilvl="2">
      <w:start w:val="1"/>
      <w:numFmt w:val="decimal"/>
      <w:lvlText w:val="%1.%2.%3"/>
      <w:lvlJc w:val="left"/>
      <w:pPr>
        <w:tabs>
          <w:tab w:val="left" w:leader="none" w:pos="1616"/>
        </w:tabs>
        <w:ind w:left="1616" w:hanging="567"/>
      </w:pPr>
      <w:rPr>
        <w:rFonts w:hint="eastAsia"/>
      </w:rPr>
    </w:lvl>
    <w:lvl w:ilvl="3">
      <w:start w:val="1"/>
      <w:numFmt w:val="decimal"/>
      <w:lvlText w:val="%1.%2.%3.%4"/>
      <w:lvlJc w:val="left"/>
      <w:pPr>
        <w:tabs>
          <w:tab w:val="left" w:leader="none" w:pos="2914"/>
        </w:tabs>
        <w:ind w:left="2182" w:hanging="708"/>
      </w:pPr>
      <w:rPr>
        <w:rFonts w:hint="eastAsia"/>
      </w:rPr>
    </w:lvl>
    <w:lvl w:ilvl="4">
      <w:start w:val="1"/>
      <w:numFmt w:val="decimal"/>
      <w:lvlText w:val="%1.%2.%3.%4.%5"/>
      <w:lvlJc w:val="left"/>
      <w:pPr>
        <w:tabs>
          <w:tab w:val="left" w:leader="none" w:pos="3699"/>
        </w:tabs>
        <w:ind w:left="2749" w:hanging="850"/>
      </w:pPr>
      <w:rPr>
        <w:rFonts w:hint="eastAsia"/>
      </w:rPr>
    </w:lvl>
    <w:lvl w:ilvl="5">
      <w:start w:val="1"/>
      <w:numFmt w:val="decimal"/>
      <w:lvlText w:val="%1.%2.%3.%4.%5.%6"/>
      <w:lvlJc w:val="left"/>
      <w:pPr>
        <w:tabs>
          <w:tab w:val="left" w:leader="none" w:pos="4484"/>
        </w:tabs>
        <w:ind w:left="3458" w:hanging="1134"/>
      </w:pPr>
      <w:rPr>
        <w:rFonts w:hint="eastAsia"/>
      </w:rPr>
    </w:lvl>
    <w:lvl w:ilvl="6">
      <w:start w:val="1"/>
      <w:numFmt w:val="decimal"/>
      <w:lvlText w:val="%1.%2.%3.%4.%5.%6.%7"/>
      <w:lvlJc w:val="left"/>
      <w:pPr>
        <w:tabs>
          <w:tab w:val="left" w:leader="none" w:pos="5269"/>
        </w:tabs>
        <w:ind w:left="4025" w:hanging="1276"/>
      </w:pPr>
      <w:rPr>
        <w:rFonts w:hint="eastAsia"/>
      </w:rPr>
    </w:lvl>
    <w:lvl w:ilvl="7">
      <w:start w:val="1"/>
      <w:numFmt w:val="decimal"/>
      <w:lvlText w:val="%1.%2.%3.%4.%5.%6.%7.%8"/>
      <w:lvlJc w:val="left"/>
      <w:pPr>
        <w:tabs>
          <w:tab w:val="left" w:leader="none" w:pos="6054"/>
        </w:tabs>
        <w:ind w:left="4592" w:hanging="1418"/>
      </w:pPr>
      <w:rPr>
        <w:rFonts w:hint="eastAsia"/>
      </w:rPr>
    </w:lvl>
    <w:lvl w:ilvl="8">
      <w:start w:val="1"/>
      <w:numFmt w:val="decimal"/>
      <w:lvlText w:val="%1.%2.%3.%4.%5.%6.%7.%8.%9"/>
      <w:lvlJc w:val="left"/>
      <w:pPr>
        <w:tabs>
          <w:tab w:val="left" w:leader="none" w:pos="6840"/>
        </w:tabs>
        <w:ind w:left="5300" w:hanging="1700"/>
      </w:pPr>
      <w:rPr>
        <w:rFonts w:hint="eastAsia"/>
      </w:rPr>
    </w:lvl>
  </w:abstractNum>
  <w:abstractNum w:abstractNumId="2">
    <w:nsid w:val="00000002"/>
    <w:multiLevelType w:val="multilevel"/>
    <w:tmpl w:val="2C5917C3"/>
    <w:lvl w:ilvl="0">
      <w:start w:val="1"/>
      <w:numFmt w:val="none"/>
      <w:pStyle w:val="style4136"/>
      <w:suff w:val="nothing"/>
      <w:lvlText w:val="%1——"/>
      <w:lvlJc w:val="left"/>
      <w:pPr>
        <w:ind w:left="833" w:hanging="408"/>
      </w:pPr>
      <w:rPr>
        <w:rFonts w:hint="eastAsia"/>
      </w:rPr>
    </w:lvl>
    <w:lvl w:ilvl="1">
      <w:start w:val="1"/>
      <w:numFmt w:val="bullet"/>
      <w:lvlText w:val=""/>
      <w:lvlJc w:val="left"/>
      <w:pPr>
        <w:tabs>
          <w:tab w:val="left" w:leader="none" w:pos="760"/>
        </w:tabs>
        <w:ind w:left="1264" w:hanging="413"/>
      </w:pPr>
      <w:rPr>
        <w:rFonts w:ascii="Symbol" w:hAnsi="Symbol" w:hint="default"/>
        <w:color w:val="auto"/>
      </w:rPr>
    </w:lvl>
    <w:lvl w:ilvl="2">
      <w:start w:val="1"/>
      <w:numFmt w:val="bullet"/>
      <w:lvlText w:val=""/>
      <w:lvlJc w:val="left"/>
      <w:pPr>
        <w:tabs>
          <w:tab w:val="left" w:leader="none" w:pos="1678"/>
        </w:tabs>
        <w:ind w:left="1678" w:hanging="414"/>
      </w:pPr>
      <w:rPr>
        <w:rFonts w:ascii="Symbol" w:hAnsi="Symbol" w:hint="default"/>
        <w:color w:val="auto"/>
      </w:rPr>
    </w:lvl>
    <w:lvl w:ilvl="3">
      <w:start w:val="1"/>
      <w:numFmt w:val="decimal"/>
      <w:lvlText w:val="%4."/>
      <w:lvlJc w:val="left"/>
      <w:pPr>
        <w:tabs>
          <w:tab w:val="left" w:leader="none" w:pos="2071"/>
        </w:tabs>
        <w:ind w:left="1884" w:hanging="528"/>
      </w:pPr>
      <w:rPr>
        <w:rFonts w:hint="eastAsia"/>
      </w:rPr>
    </w:lvl>
    <w:lvl w:ilvl="4">
      <w:start w:val="1"/>
      <w:numFmt w:val="lowerLetter"/>
      <w:lvlText w:val="%5)"/>
      <w:lvlJc w:val="left"/>
      <w:pPr>
        <w:tabs>
          <w:tab w:val="left" w:leader="none" w:pos="2383"/>
        </w:tabs>
        <w:ind w:left="2196" w:hanging="528"/>
      </w:pPr>
      <w:rPr>
        <w:rFonts w:hint="eastAsia"/>
      </w:rPr>
    </w:lvl>
    <w:lvl w:ilvl="5">
      <w:start w:val="1"/>
      <w:numFmt w:val="lowerRoman"/>
      <w:lvlText w:val="%6."/>
      <w:lvlJc w:val="right"/>
      <w:pPr>
        <w:tabs>
          <w:tab w:val="left" w:leader="none" w:pos="2695"/>
        </w:tabs>
        <w:ind w:left="2508" w:hanging="528"/>
      </w:pPr>
      <w:rPr>
        <w:rFonts w:hint="eastAsia"/>
      </w:rPr>
    </w:lvl>
    <w:lvl w:ilvl="6">
      <w:start w:val="1"/>
      <w:numFmt w:val="decimal"/>
      <w:lvlText w:val="%7."/>
      <w:lvlJc w:val="left"/>
      <w:pPr>
        <w:tabs>
          <w:tab w:val="left" w:leader="none" w:pos="3007"/>
        </w:tabs>
        <w:ind w:left="2820" w:hanging="528"/>
      </w:pPr>
      <w:rPr>
        <w:rFonts w:hint="eastAsia"/>
      </w:rPr>
    </w:lvl>
    <w:lvl w:ilvl="7">
      <w:start w:val="1"/>
      <w:numFmt w:val="lowerLetter"/>
      <w:lvlText w:val="%8)"/>
      <w:lvlJc w:val="left"/>
      <w:pPr>
        <w:tabs>
          <w:tab w:val="left" w:leader="none" w:pos="3319"/>
        </w:tabs>
        <w:ind w:left="3132" w:hanging="528"/>
      </w:pPr>
      <w:rPr>
        <w:rFonts w:hint="eastAsia"/>
      </w:rPr>
    </w:lvl>
    <w:lvl w:ilvl="8">
      <w:start w:val="1"/>
      <w:numFmt w:val="lowerRoman"/>
      <w:lvlText w:val="%9."/>
      <w:lvlJc w:val="right"/>
      <w:pPr>
        <w:tabs>
          <w:tab w:val="left" w:leader="none" w:pos="3631"/>
        </w:tabs>
        <w:ind w:left="3444" w:hanging="528"/>
      </w:pPr>
      <w:rPr>
        <w:rFonts w:hint="eastAsia"/>
      </w:rPr>
    </w:lvl>
  </w:abstractNum>
  <w:abstractNum w:abstractNumId="3">
    <w:nsid w:val="00000003"/>
    <w:multiLevelType w:val="multilevel"/>
    <w:tmpl w:val="44C50F90"/>
    <w:lvl w:ilvl="0">
      <w:start w:val="1"/>
      <w:numFmt w:val="lowerLetter"/>
      <w:pStyle w:val="style4142"/>
      <w:lvlText w:val="%1)"/>
      <w:lvlJc w:val="left"/>
      <w:pPr>
        <w:tabs>
          <w:tab w:val="left" w:leader="none" w:pos="840"/>
        </w:tabs>
        <w:ind w:left="839" w:hanging="419"/>
      </w:pPr>
      <w:rPr>
        <w:rFonts w:ascii="宋体" w:eastAsia="宋体" w:hint="eastAsia"/>
        <w:b w:val="false"/>
        <w:i w:val="false"/>
        <w:sz w:val="21"/>
        <w:szCs w:val="21"/>
      </w:rPr>
    </w:lvl>
    <w:lvl w:ilvl="1">
      <w:start w:val="1"/>
      <w:numFmt w:val="decimal"/>
      <w:lvlText w:val="%2)"/>
      <w:lvlJc w:val="left"/>
      <w:pPr>
        <w:tabs>
          <w:tab w:val="left" w:leader="none" w:pos="1260"/>
        </w:tabs>
        <w:ind w:left="1259" w:hanging="419"/>
      </w:pPr>
      <w:rPr>
        <w:rFonts w:hint="eastAsia"/>
      </w:rPr>
    </w:lvl>
    <w:lvl w:ilvl="2">
      <w:start w:val="1"/>
      <w:numFmt w:val="decimal"/>
      <w:lvlText w:val="(%3)"/>
      <w:lvlJc w:val="left"/>
      <w:pPr>
        <w:tabs>
          <w:tab w:val="left" w:leader="none" w:pos="0"/>
        </w:tabs>
        <w:ind w:left="1679" w:hanging="420"/>
      </w:pPr>
      <w:rPr>
        <w:rFonts w:ascii="宋体" w:eastAsia="宋体" w:hint="eastAsia"/>
        <w:b w:val="false"/>
        <w:i w:val="false"/>
        <w:sz w:val="21"/>
        <w:szCs w:val="21"/>
      </w:rPr>
    </w:lvl>
    <w:lvl w:ilvl="3">
      <w:start w:val="1"/>
      <w:numFmt w:val="decimal"/>
      <w:lvlText w:val="%4."/>
      <w:lvlJc w:val="left"/>
      <w:pPr>
        <w:tabs>
          <w:tab w:val="left" w:leader="none" w:pos="2100"/>
        </w:tabs>
        <w:ind w:left="2099" w:hanging="419"/>
      </w:pPr>
      <w:rPr>
        <w:rFonts w:hint="eastAsia"/>
      </w:rPr>
    </w:lvl>
    <w:lvl w:ilvl="4">
      <w:start w:val="1"/>
      <w:numFmt w:val="lowerLetter"/>
      <w:lvlText w:val="%5)"/>
      <w:lvlJc w:val="left"/>
      <w:pPr>
        <w:tabs>
          <w:tab w:val="left" w:leader="none" w:pos="2520"/>
        </w:tabs>
        <w:ind w:left="2519" w:hanging="419"/>
      </w:pPr>
      <w:rPr>
        <w:rFonts w:hint="eastAsia"/>
      </w:rPr>
    </w:lvl>
    <w:lvl w:ilvl="5">
      <w:start w:val="1"/>
      <w:numFmt w:val="lowerRoman"/>
      <w:lvlText w:val="%6."/>
      <w:lvlJc w:val="right"/>
      <w:pPr>
        <w:tabs>
          <w:tab w:val="left" w:leader="none" w:pos="2940"/>
        </w:tabs>
        <w:ind w:left="2939" w:hanging="419"/>
      </w:pPr>
      <w:rPr>
        <w:rFonts w:hint="eastAsia"/>
      </w:rPr>
    </w:lvl>
    <w:lvl w:ilvl="6">
      <w:start w:val="1"/>
      <w:numFmt w:val="decimal"/>
      <w:lvlText w:val="%7."/>
      <w:lvlJc w:val="left"/>
      <w:pPr>
        <w:tabs>
          <w:tab w:val="left" w:leader="none" w:pos="3360"/>
        </w:tabs>
        <w:ind w:left="3359" w:hanging="419"/>
      </w:pPr>
      <w:rPr>
        <w:rFonts w:hint="eastAsia"/>
      </w:rPr>
    </w:lvl>
    <w:lvl w:ilvl="7">
      <w:start w:val="1"/>
      <w:numFmt w:val="lowerLetter"/>
      <w:lvlText w:val="%8)"/>
      <w:lvlJc w:val="left"/>
      <w:pPr>
        <w:tabs>
          <w:tab w:val="left" w:leader="none" w:pos="3780"/>
        </w:tabs>
        <w:ind w:left="3779" w:hanging="419"/>
      </w:pPr>
      <w:rPr>
        <w:rFonts w:hint="eastAsia"/>
      </w:rPr>
    </w:lvl>
    <w:lvl w:ilvl="8">
      <w:start w:val="1"/>
      <w:numFmt w:val="lowerRoman"/>
      <w:lvlText w:val="%9."/>
      <w:lvlJc w:val="right"/>
      <w:pPr>
        <w:tabs>
          <w:tab w:val="left" w:leader="none" w:pos="4200"/>
        </w:tabs>
        <w:ind w:left="4199" w:hanging="419"/>
      </w:pPr>
      <w:rPr>
        <w:rFonts w:hint="eastAsia"/>
      </w:rPr>
    </w:lvl>
  </w:abstractNum>
  <w:abstractNum w:abstractNumId="4">
    <w:nsid w:val="00000004"/>
    <w:multiLevelType w:val="multilevel"/>
    <w:tmpl w:val="60B55DC2"/>
    <w:lvl w:ilvl="0">
      <w:start w:val="1"/>
      <w:numFmt w:val="upperLetter"/>
      <w:pStyle w:val="style4128"/>
      <w:lvlText w:val="%1"/>
      <w:lvlJc w:val="left"/>
      <w:pPr>
        <w:tabs>
          <w:tab w:val="left" w:leader="none" w:pos="0"/>
        </w:tabs>
        <w:ind w:left="0" w:firstLine="0"/>
      </w:pPr>
      <w:rPr>
        <w:rFonts w:hint="eastAsia"/>
        <w:color w:val="ffffff"/>
        <w:sz w:val="2"/>
      </w:rPr>
    </w:lvl>
    <w:lvl w:ilvl="1">
      <w:start w:val="1"/>
      <w:numFmt w:val="decimal"/>
      <w:suff w:val="nothing"/>
      <w:lvlText w:val="表%1.%2　"/>
      <w:lvlJc w:val="left"/>
      <w:pPr>
        <w:ind w:left="0" w:firstLine="0"/>
      </w:pPr>
      <w:rPr>
        <w:rFonts w:ascii="黑体" w:eastAsia="黑体" w:hAnsi="黑体" w:hint="eastAsia"/>
        <w:b w:val="false"/>
        <w:i w:val="false"/>
        <w:caps w:val="false"/>
        <w:snapToGrid w:val="false"/>
        <w:vanish w:val="false"/>
        <w:kern w:val="0"/>
        <w:sz w:val="21"/>
        <w:vertAlign w:val="baseline"/>
      </w:rPr>
    </w:lvl>
    <w:lvl w:ilvl="2">
      <w:start w:val="1"/>
      <w:numFmt w:val="none"/>
      <w:suff w:val="nothing"/>
      <w:lvlText w:val="表%1.%2　"/>
      <w:lvlJc w:val="left"/>
      <w:pPr>
        <w:ind w:left="0" w:firstLine="0"/>
      </w:pPr>
      <w:rPr>
        <w:rFonts w:ascii="黑体" w:eastAsia="黑体" w:hAnsi="黑体" w:hint="eastAsia"/>
        <w:b w:val="false"/>
        <w:i w:val="false"/>
        <w:sz w:val="21"/>
      </w:rPr>
    </w:lvl>
    <w:lvl w:ilvl="3">
      <w:start w:val="1"/>
      <w:numFmt w:val="decimal"/>
      <w:lvlText w:val="%1.%2.%3.%4"/>
      <w:lvlJc w:val="left"/>
      <w:pPr>
        <w:tabs>
          <w:tab w:val="left" w:leader="none" w:pos="2291"/>
        </w:tabs>
        <w:ind w:left="1559" w:hanging="708"/>
      </w:pPr>
      <w:rPr>
        <w:rFonts w:hint="eastAsia"/>
      </w:rPr>
    </w:lvl>
    <w:lvl w:ilvl="4">
      <w:start w:val="1"/>
      <w:numFmt w:val="decimal"/>
      <w:lvlText w:val="%1.%2.%3.%4.%5"/>
      <w:lvlJc w:val="left"/>
      <w:pPr>
        <w:tabs>
          <w:tab w:val="left" w:leader="none" w:pos="3076"/>
        </w:tabs>
        <w:ind w:left="2126" w:hanging="850"/>
      </w:pPr>
      <w:rPr>
        <w:rFonts w:hint="eastAsia"/>
      </w:rPr>
    </w:lvl>
    <w:lvl w:ilvl="5">
      <w:start w:val="1"/>
      <w:numFmt w:val="decimal"/>
      <w:lvlText w:val="%1.%2.%3.%4.%5.%6"/>
      <w:lvlJc w:val="left"/>
      <w:pPr>
        <w:tabs>
          <w:tab w:val="left" w:leader="none" w:pos="3861"/>
        </w:tabs>
        <w:ind w:left="2835" w:hanging="1134"/>
      </w:pPr>
      <w:rPr>
        <w:rFonts w:hint="eastAsia"/>
      </w:rPr>
    </w:lvl>
    <w:lvl w:ilvl="6">
      <w:start w:val="1"/>
      <w:numFmt w:val="decimal"/>
      <w:lvlText w:val="%1.%2.%3.%4.%5.%6.%7"/>
      <w:lvlJc w:val="left"/>
      <w:pPr>
        <w:tabs>
          <w:tab w:val="left" w:leader="none" w:pos="4646"/>
        </w:tabs>
        <w:ind w:left="3402" w:hanging="1276"/>
      </w:pPr>
      <w:rPr>
        <w:rFonts w:hint="eastAsia"/>
      </w:rPr>
    </w:lvl>
    <w:lvl w:ilvl="7">
      <w:start w:val="1"/>
      <w:numFmt w:val="decimal"/>
      <w:lvlText w:val="%1.%2.%3.%4.%5.%6.%7.%8"/>
      <w:lvlJc w:val="left"/>
      <w:pPr>
        <w:tabs>
          <w:tab w:val="left" w:leader="none" w:pos="5431"/>
        </w:tabs>
        <w:ind w:left="3969" w:hanging="1418"/>
      </w:pPr>
      <w:rPr>
        <w:rFonts w:hint="eastAsia"/>
      </w:rPr>
    </w:lvl>
    <w:lvl w:ilvl="8">
      <w:start w:val="1"/>
      <w:numFmt w:val="decimal"/>
      <w:lvlText w:val="%1.%2.%3.%4.%5.%6.%7.%8.%9"/>
      <w:lvlJc w:val="left"/>
      <w:pPr>
        <w:tabs>
          <w:tab w:val="left" w:leader="none" w:pos="6217"/>
        </w:tabs>
        <w:ind w:left="4677" w:hanging="1700"/>
      </w:pPr>
      <w:rPr>
        <w:rFonts w:hint="eastAsia"/>
      </w:rPr>
    </w:lvl>
  </w:abstractNum>
  <w:abstractNum w:abstractNumId="5">
    <w:nsid w:val="00000005"/>
    <w:multiLevelType w:val="multilevel"/>
    <w:tmpl w:val="657D3FBC"/>
    <w:lvl w:ilvl="0">
      <w:start w:val="1"/>
      <w:numFmt w:val="upperLetter"/>
      <w:pStyle w:val="style4122"/>
      <w:suff w:val="nothing"/>
      <w:lvlText w:val="附　录　%1"/>
      <w:lvlJc w:val="left"/>
      <w:pPr>
        <w:ind w:left="0" w:firstLine="0"/>
      </w:pPr>
      <w:rPr>
        <w:rFonts w:ascii="黑体" w:eastAsia="黑体" w:hAnsi="Times New Roman" w:hint="eastAsia"/>
        <w:b w:val="false"/>
        <w:i w:val="false"/>
        <w:spacing w:val="0"/>
        <w:w w:val="100"/>
        <w:sz w:val="21"/>
      </w:rPr>
    </w:lvl>
    <w:lvl w:ilvl="1">
      <w:start w:val="1"/>
      <w:numFmt w:val="decimal"/>
      <w:pStyle w:val="style4132"/>
      <w:suff w:val="nothing"/>
      <w:lvlText w:val="%1.%2　"/>
      <w:lvlJc w:val="left"/>
      <w:pPr>
        <w:ind w:left="0" w:firstLine="0"/>
      </w:pPr>
      <w:rPr>
        <w:rFonts w:ascii="黑体" w:eastAsia="黑体" w:hAnsi="Times New Roman" w:hint="eastAsia"/>
        <w:b w:val="false"/>
        <w:i w:val="false"/>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false"/>
        <w:i w:val="false"/>
        <w:sz w:val="21"/>
      </w:rPr>
    </w:lvl>
    <w:lvl w:ilvl="3">
      <w:start w:val="1"/>
      <w:numFmt w:val="decimal"/>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94"/>
        </w:tabs>
        <w:ind w:left="4394" w:hanging="1418"/>
      </w:pPr>
      <w:rPr>
        <w:rFonts w:hint="eastAsia"/>
      </w:rPr>
    </w:lvl>
    <w:lvl w:ilvl="8">
      <w:start w:val="1"/>
      <w:numFmt w:val="decimal"/>
      <w:lvlText w:val="%1.%2.%3.%4.%5.%6.%7.%8.%9"/>
      <w:lvlJc w:val="left"/>
      <w:pPr>
        <w:tabs>
          <w:tab w:val="left" w:leader="none"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doNotDisplayPageBoundari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paragraph" w:styleId="style1">
    <w:name w:val="heading 1"/>
    <w:basedOn w:val="style0"/>
    <w:next w:val="style0"/>
    <w:link w:val="style4097"/>
    <w:qFormat/>
    <w:uiPriority w:val="9"/>
    <w:pPr>
      <w:keepNext/>
      <w:keepLines/>
      <w:spacing w:before="340" w:after="330" w:lineRule="auto" w:line="578"/>
      <w:outlineLvl w:val="0"/>
    </w:pPr>
    <w:rPr>
      <w:rFonts w:ascii="Times New Roman" w:hAnsi="Times New Roman"/>
      <w:b/>
      <w:bCs/>
      <w:kern w:val="44"/>
      <w:sz w:val="44"/>
      <w:szCs w:val="4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8"/>
    <w:qFormat/>
    <w:uiPriority w:val="99"/>
    <w:pPr>
      <w:jc w:val="left"/>
    </w:pPr>
    <w:rPr/>
  </w:style>
  <w:style w:type="paragraph" w:styleId="style66">
    <w:name w:val="Body Text"/>
    <w:basedOn w:val="style0"/>
    <w:next w:val="style66"/>
    <w:link w:val="style4106"/>
    <w:qFormat/>
    <w:uiPriority w:val="99"/>
    <w:pPr>
      <w:spacing w:after="120"/>
    </w:pPr>
    <w:rPr>
      <w:rFonts w:ascii="Times New Roman" w:hAnsi="Times New Roman"/>
      <w:szCs w:val="20"/>
    </w:rPr>
  </w:style>
  <w:style w:type="paragraph" w:styleId="style21">
    <w:name w:val="toc 3"/>
    <w:basedOn w:val="style20"/>
    <w:next w:val="style0"/>
    <w:qFormat/>
    <w:uiPriority w:val="39"/>
    <w:pPr>
      <w:tabs>
        <w:tab w:val="right" w:leader="dot" w:pos="9241"/>
      </w:tabs>
      <w:ind w:left="100" w:leftChars="100"/>
    </w:pPr>
    <w:rPr/>
  </w:style>
  <w:style w:type="paragraph" w:styleId="style20">
    <w:name w:val="toc 2"/>
    <w:basedOn w:val="style19"/>
    <w:next w:val="style0"/>
    <w:qFormat/>
    <w:uiPriority w:val="39"/>
    <w:pPr>
      <w:tabs>
        <w:tab w:val="right" w:leader="dot" w:pos="9241"/>
      </w:tabs>
    </w:pPr>
    <w:rPr/>
  </w:style>
  <w:style w:type="paragraph" w:styleId="style19">
    <w:name w:val="toc 1"/>
    <w:basedOn w:val="style0"/>
    <w:next w:val="style0"/>
    <w:qFormat/>
    <w:uiPriority w:val="39"/>
    <w:pPr>
      <w:tabs>
        <w:tab w:val="right" w:leader="dot" w:pos="9241"/>
      </w:tabs>
      <w:spacing w:before="25" w:beforeLines="25" w:after="25" w:afterLines="25"/>
      <w:jc w:val="left"/>
    </w:pPr>
    <w:rPr>
      <w:rFonts w:ascii="宋体" w:hAnsi="Times New Roman"/>
      <w:szCs w:val="21"/>
    </w:rPr>
  </w:style>
  <w:style w:type="paragraph" w:styleId="style153">
    <w:name w:val="Balloon Text"/>
    <w:basedOn w:val="style0"/>
    <w:next w:val="style153"/>
    <w:link w:val="style4100"/>
    <w:qFormat/>
    <w:uiPriority w:val="99"/>
    <w:pPr/>
    <w:rPr>
      <w:kern w:val="0"/>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kern w:val="0"/>
      <w:sz w:val="18"/>
      <w:szCs w:val="18"/>
    </w:rPr>
  </w:style>
  <w:style w:type="paragraph" w:styleId="style31">
    <w:name w:val="header"/>
    <w:basedOn w:val="style0"/>
    <w:next w:val="style31"/>
    <w:link w:val="style4102"/>
    <w:qFormat/>
    <w:uiPriority w:val="99"/>
    <w:pPr>
      <w:pBdr>
        <w:bottom w:val="single" w:sz="6" w:space="1" w:color="auto"/>
      </w:pBdr>
      <w:tabs>
        <w:tab w:val="center" w:leader="none" w:pos="4153"/>
        <w:tab w:val="right" w:leader="none" w:pos="8306"/>
      </w:tabs>
      <w:snapToGrid w:val="false"/>
      <w:jc w:val="center"/>
    </w:pPr>
    <w:rPr>
      <w:kern w:val="0"/>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szCs w:val="24"/>
    </w:rPr>
  </w:style>
  <w:style w:type="paragraph" w:styleId="style62">
    <w:name w:val="Title"/>
    <w:basedOn w:val="style0"/>
    <w:next w:val="style0"/>
    <w:link w:val="style4103"/>
    <w:qFormat/>
    <w:uiPriority w:val="0"/>
    <w:pPr>
      <w:spacing w:before="240" w:after="60"/>
      <w:jc w:val="center"/>
      <w:outlineLvl w:val="0"/>
    </w:pPr>
    <w:rPr>
      <w:rFonts w:ascii="Cambria" w:hAnsi="Cambria"/>
      <w:b/>
      <w:bCs/>
      <w:sz w:val="32"/>
      <w:szCs w:val="32"/>
    </w:rPr>
  </w:style>
  <w:style w:type="paragraph" w:styleId="style106">
    <w:name w:val="annotation subject"/>
    <w:basedOn w:val="style30"/>
    <w:next w:val="style30"/>
    <w:link w:val="style4099"/>
    <w:qFormat/>
    <w:uiPriority w:val="99"/>
    <w:pPr/>
    <w:rPr>
      <w:b/>
      <w:bCs/>
    </w:rPr>
  </w:style>
  <w:style w:type="character" w:styleId="style41">
    <w:name w:val="page number"/>
    <w:next w:val="style41"/>
    <w:qFormat/>
    <w:uiPriority w:val="0"/>
    <w:rPr>
      <w:rFonts w:ascii="Times New Roman" w:eastAsia="宋体" w:hAnsi="Times New Roman"/>
      <w:sz w:val="18"/>
    </w:rPr>
  </w:style>
  <w:style w:type="character" w:styleId="style86">
    <w:name w:val="FollowedHyperlink"/>
    <w:basedOn w:val="style65"/>
    <w:next w:val="style86"/>
    <w:qFormat/>
    <w:uiPriority w:val="99"/>
    <w:rPr>
      <w:color w:val="800080"/>
      <w:u w:val="single"/>
    </w:rPr>
  </w:style>
  <w:style w:type="character" w:styleId="style85">
    <w:name w:val="Hyperlink"/>
    <w:next w:val="style85"/>
    <w:qFormat/>
    <w:uiPriority w:val="99"/>
    <w:rPr>
      <w:rFonts w:cs="Times New Roman"/>
      <w:color w:val="0563c1"/>
      <w:u w:val="single"/>
    </w:rPr>
  </w:style>
  <w:style w:type="character" w:styleId="style39">
    <w:name w:val="annotation reference"/>
    <w:next w:val="style39"/>
    <w:qFormat/>
    <w:uiPriority w:val="99"/>
    <w:rPr>
      <w:sz w:val="21"/>
      <w:szCs w:val="21"/>
    </w:rPr>
  </w:style>
  <w:style w:type="character" w:customStyle="1" w:styleId="style4097">
    <w:name w:val="标题 1 Char"/>
    <w:basedOn w:val="style65"/>
    <w:next w:val="style4097"/>
    <w:link w:val="style1"/>
    <w:qFormat/>
    <w:uiPriority w:val="9"/>
    <w:rPr>
      <w:rFonts w:ascii="Times New Roman" w:cs="Times New Roman" w:hAnsi="Times New Roman"/>
      <w:b/>
      <w:bCs/>
      <w:kern w:val="44"/>
      <w:sz w:val="44"/>
      <w:szCs w:val="44"/>
    </w:rPr>
  </w:style>
  <w:style w:type="character" w:customStyle="1" w:styleId="style4098">
    <w:name w:val="批注文字 Char"/>
    <w:next w:val="style4098"/>
    <w:link w:val="style30"/>
    <w:qFormat/>
    <w:uiPriority w:val="99"/>
    <w:rPr>
      <w:kern w:val="2"/>
      <w:sz w:val="21"/>
      <w:szCs w:val="22"/>
    </w:rPr>
  </w:style>
  <w:style w:type="character" w:customStyle="1" w:styleId="style4099">
    <w:name w:val="批注主题 Char"/>
    <w:next w:val="style4099"/>
    <w:link w:val="style106"/>
    <w:qFormat/>
    <w:uiPriority w:val="99"/>
    <w:rPr>
      <w:b/>
      <w:bCs/>
      <w:kern w:val="2"/>
      <w:sz w:val="21"/>
      <w:szCs w:val="22"/>
    </w:rPr>
  </w:style>
  <w:style w:type="character" w:customStyle="1" w:styleId="style4100">
    <w:name w:val="批注框文本 Char"/>
    <w:next w:val="style4100"/>
    <w:link w:val="style153"/>
    <w:qFormat/>
    <w:uiPriority w:val="99"/>
    <w:rPr>
      <w:rFonts w:cs="Times New Roman"/>
      <w:sz w:val="18"/>
      <w:szCs w:val="18"/>
    </w:rPr>
  </w:style>
  <w:style w:type="character" w:customStyle="1" w:styleId="style4101">
    <w:name w:val="页脚 Char"/>
    <w:next w:val="style4101"/>
    <w:link w:val="style32"/>
    <w:qFormat/>
    <w:uiPriority w:val="99"/>
    <w:rPr>
      <w:rFonts w:ascii="Calibri" w:cs="Times New Roman" w:eastAsia="宋体" w:hAnsi="Calibri"/>
      <w:kern w:val="0"/>
      <w:sz w:val="18"/>
      <w:szCs w:val="18"/>
    </w:rPr>
  </w:style>
  <w:style w:type="character" w:customStyle="1" w:styleId="style4102">
    <w:name w:val="页眉 Char"/>
    <w:next w:val="style4102"/>
    <w:link w:val="style31"/>
    <w:qFormat/>
    <w:uiPriority w:val="99"/>
    <w:rPr>
      <w:rFonts w:ascii="Calibri" w:cs="Times New Roman" w:eastAsia="宋体" w:hAnsi="Calibri"/>
      <w:kern w:val="0"/>
      <w:sz w:val="18"/>
      <w:szCs w:val="18"/>
    </w:rPr>
  </w:style>
  <w:style w:type="character" w:customStyle="1" w:styleId="style4103">
    <w:name w:val="标题 Char"/>
    <w:next w:val="style4103"/>
    <w:link w:val="style62"/>
    <w:qFormat/>
    <w:uiPriority w:val="0"/>
    <w:rPr>
      <w:rFonts w:ascii="Cambria" w:cs="Times New Roman" w:hAnsi="Cambria"/>
      <w:b/>
      <w:bCs/>
      <w:kern w:val="2"/>
      <w:sz w:val="32"/>
      <w:szCs w:val="32"/>
    </w:rPr>
  </w:style>
  <w:style w:type="paragraph" w:customStyle="1" w:styleId="style4104">
    <w:name w:val="列出段落1"/>
    <w:basedOn w:val="style0"/>
    <w:next w:val="style4104"/>
    <w:qFormat/>
    <w:uiPriority w:val="99"/>
    <w:pPr>
      <w:widowControl/>
      <w:ind w:firstLine="420" w:firstLineChars="200"/>
      <w:jc w:val="left"/>
    </w:pPr>
    <w:rPr>
      <w:rFonts w:ascii="宋体" w:cs="宋体" w:hAnsi="宋体"/>
      <w:kern w:val="0"/>
      <w:sz w:val="24"/>
      <w:szCs w:val="24"/>
    </w:rPr>
  </w:style>
  <w:style w:type="paragraph" w:customStyle="1" w:styleId="style4105">
    <w:name w:val="修订1"/>
    <w:next w:val="style4105"/>
    <w:qFormat/>
    <w:uiPriority w:val="99"/>
    <w:pPr/>
    <w:rPr>
      <w:rFonts w:ascii="Calibri" w:cs="Calibri" w:eastAsia="宋体" w:hAnsi="Calibri"/>
      <w:kern w:val="2"/>
      <w:sz w:val="21"/>
      <w:szCs w:val="22"/>
      <w:lang w:val="en-US" w:bidi="ar-SA" w:eastAsia="zh-CN"/>
    </w:rPr>
  </w:style>
  <w:style w:type="character" w:customStyle="1" w:styleId="style4106">
    <w:name w:val="正文文本 Char"/>
    <w:basedOn w:val="style65"/>
    <w:next w:val="style4106"/>
    <w:link w:val="style66"/>
    <w:qFormat/>
    <w:uiPriority w:val="99"/>
    <w:rPr>
      <w:rFonts w:ascii="Times New Roman" w:cs="Times New Roman" w:hAnsi="Times New Roman"/>
      <w:kern w:val="2"/>
      <w:sz w:val="21"/>
    </w:rPr>
  </w:style>
  <w:style w:type="paragraph" w:customStyle="1" w:styleId="style4107">
    <w:name w:val="封面一致性程度标识"/>
    <w:next w:val="style4107"/>
    <w:qFormat/>
    <w:uiPriority w:val="0"/>
    <w:pPr>
      <w:spacing w:before="680" w:lineRule="exact" w:line="400"/>
      <w:jc w:val="center"/>
    </w:pPr>
    <w:rPr>
      <w:rFonts w:ascii="黑体" w:cs="Times New Roman" w:eastAsia="黑体" w:hAnsi="黑体"/>
      <w:sz w:val="28"/>
      <w:lang w:val="en-US" w:bidi="ar-SA" w:eastAsia="zh-CN"/>
    </w:rPr>
  </w:style>
  <w:style w:type="paragraph" w:customStyle="1" w:styleId="style4108">
    <w:name w:val="封面标准名称"/>
    <w:next w:val="style4108"/>
    <w:qFormat/>
    <w:uiPriority w:val="0"/>
    <w:pPr>
      <w:widowControl w:val="false"/>
      <w:spacing w:lineRule="exact" w:line="680"/>
      <w:jc w:val="center"/>
      <w:textAlignment w:val="center"/>
    </w:pPr>
    <w:rPr>
      <w:rFonts w:ascii="黑体" w:cs="Times New Roman" w:eastAsia="黑体" w:hAnsi="Times New Roman"/>
      <w:sz w:val="52"/>
      <w:lang w:val="en-US" w:bidi="ar-SA" w:eastAsia="zh-CN"/>
    </w:rPr>
  </w:style>
  <w:style w:type="paragraph" w:customStyle="1" w:styleId="style4109">
    <w:name w:val="发布GB"/>
    <w:basedOn w:val="style66"/>
    <w:next w:val="style4109"/>
    <w:qFormat/>
    <w:uiPriority w:val="0"/>
    <w:pPr>
      <w:spacing w:after="0" w:lineRule="exact" w:line="280"/>
      <w:ind w:left="284"/>
    </w:pPr>
    <w:rPr>
      <w:rFonts w:ascii="黑体" w:eastAsia="黑体"/>
      <w:kern w:val="3"/>
      <w:sz w:val="28"/>
    </w:rPr>
  </w:style>
  <w:style w:type="paragraph" w:customStyle="1" w:styleId="style4110">
    <w:name w:val="二级无标题条"/>
    <w:basedOn w:val="style4111"/>
    <w:next w:val="style4110"/>
    <w:qFormat/>
    <w:uiPriority w:val="0"/>
    <w:pPr>
      <w:spacing w:before="0" w:after="0"/>
    </w:pPr>
    <w:rPr>
      <w:rFonts w:eastAsia="宋体"/>
    </w:rPr>
  </w:style>
  <w:style w:type="paragraph" w:customStyle="1" w:styleId="style4111">
    <w:name w:val="二级条标题"/>
    <w:basedOn w:val="style4112"/>
    <w:next w:val="style4113"/>
    <w:qFormat/>
    <w:uiPriority w:val="0"/>
    <w:pPr>
      <w:numPr>
        <w:ilvl w:val="0"/>
        <w:numId w:val="0"/>
      </w:numPr>
      <w:spacing w:before="50" w:after="50"/>
      <w:ind w:left="568"/>
      <w:outlineLvl w:val="9"/>
    </w:pPr>
    <w:rPr/>
  </w:style>
  <w:style w:type="paragraph" w:customStyle="1" w:styleId="style4112">
    <w:name w:val="一级条标题"/>
    <w:next w:val="style4113"/>
    <w:qFormat/>
    <w:uiPriority w:val="0"/>
    <w:pPr>
      <w:numPr>
        <w:ilvl w:val="1"/>
        <w:numId w:val="1"/>
      </w:numPr>
      <w:spacing w:before="156" w:beforeLines="50" w:after="156" w:afterLines="50"/>
      <w:outlineLvl w:val="2"/>
    </w:pPr>
    <w:rPr>
      <w:rFonts w:ascii="黑体" w:cs="Times New Roman" w:eastAsia="黑体" w:hAnsi="Times New Roman"/>
      <w:sz w:val="21"/>
      <w:szCs w:val="21"/>
      <w:lang w:val="en-US" w:bidi="ar-SA" w:eastAsia="zh-CN"/>
    </w:rPr>
  </w:style>
  <w:style w:type="paragraph" w:customStyle="1" w:styleId="style4113">
    <w:name w:val="段"/>
    <w:next w:val="style4113"/>
    <w:qFormat/>
    <w:uiPriority w:val="0"/>
    <w:pPr>
      <w:tabs>
        <w:tab w:val="center" w:leader="none" w:pos="4201"/>
        <w:tab w:val="right" w:leader="dot" w:pos="9298"/>
      </w:tabs>
      <w:autoSpaceDE w:val="false"/>
      <w:autoSpaceDN w:val="false"/>
      <w:ind w:firstLine="420" w:firstLineChars="200"/>
      <w:jc w:val="both"/>
    </w:pPr>
    <w:rPr>
      <w:rFonts w:ascii="宋体" w:cs="Times New Roman" w:eastAsia="宋体" w:hAnsi="Times New Roman"/>
      <w:sz w:val="21"/>
      <w:lang w:val="en-US" w:bidi="ar-SA" w:eastAsia="zh-CN"/>
    </w:rPr>
  </w:style>
  <w:style w:type="paragraph" w:customStyle="1" w:styleId="style4114">
    <w:name w:val="标准书眉_奇数页"/>
    <w:next w:val="style0"/>
    <w:qFormat/>
    <w:uiPriority w:val="0"/>
    <w:pPr>
      <w:tabs>
        <w:tab w:val="center" w:leader="none" w:pos="4154"/>
        <w:tab w:val="right" w:leader="none" w:pos="8306"/>
      </w:tabs>
      <w:spacing w:after="220"/>
      <w:jc w:val="right"/>
    </w:pPr>
    <w:rPr>
      <w:rFonts w:ascii="黑体" w:cs="Times New Roman" w:eastAsia="黑体" w:hAnsi="Times New Roman"/>
      <w:sz w:val="21"/>
      <w:szCs w:val="21"/>
      <w:lang w:val="en-US" w:bidi="ar-SA" w:eastAsia="zh-CN"/>
    </w:rPr>
  </w:style>
  <w:style w:type="paragraph" w:customStyle="1" w:styleId="style4115">
    <w:name w:val="章标题"/>
    <w:next w:val="style4113"/>
    <w:qFormat/>
    <w:uiPriority w:val="0"/>
    <w:pPr>
      <w:numPr>
        <w:ilvl w:val="0"/>
        <w:numId w:val="1"/>
      </w:numPr>
      <w:spacing w:before="312" w:beforeLines="100" w:after="312" w:afterLines="100"/>
      <w:jc w:val="both"/>
      <w:outlineLvl w:val="1"/>
    </w:pPr>
    <w:rPr>
      <w:rFonts w:ascii="黑体" w:cs="Times New Roman" w:eastAsia="黑体" w:hAnsi="Times New Roman"/>
      <w:sz w:val="21"/>
      <w:lang w:val="en-US" w:bidi="ar-SA" w:eastAsia="zh-CN"/>
    </w:rPr>
  </w:style>
  <w:style w:type="paragraph" w:customStyle="1" w:styleId="style4116">
    <w:name w:val="标准书眉一"/>
    <w:next w:val="style4116"/>
    <w:qFormat/>
    <w:uiPriority w:val="0"/>
    <w:pPr>
      <w:jc w:val="both"/>
    </w:pPr>
    <w:rPr>
      <w:rFonts w:ascii="Times New Roman" w:cs="Times New Roman" w:eastAsia="宋体" w:hAnsi="Times New Roman"/>
      <w:lang w:val="en-US" w:bidi="ar-SA" w:eastAsia="zh-CN"/>
    </w:rPr>
  </w:style>
  <w:style w:type="paragraph" w:customStyle="1" w:styleId="style4117">
    <w:name w:val="封面标准代替信息"/>
    <w:basedOn w:val="style4118"/>
    <w:next w:val="style4117"/>
    <w:qFormat/>
    <w:uiPriority w:val="0"/>
    <w:pPr>
      <w:spacing w:before="0" w:lineRule="exact" w:line="360"/>
    </w:pPr>
    <w:rPr>
      <w:rFonts w:hAnsi="黑体"/>
      <w:sz w:val="21"/>
    </w:rPr>
  </w:style>
  <w:style w:type="paragraph" w:customStyle="1" w:styleId="style4118">
    <w:name w:val="封面标准号2"/>
    <w:basedOn w:val="style4119"/>
    <w:next w:val="style4118"/>
    <w:qFormat/>
    <w:uiPriority w:val="0"/>
    <w:pPr>
      <w:adjustRightInd w:val="false"/>
      <w:spacing w:before="357" w:lineRule="exact" w:line="280"/>
    </w:pPr>
    <w:rPr/>
  </w:style>
  <w:style w:type="paragraph" w:customStyle="1" w:styleId="style4119">
    <w:name w:val="封面标准号1"/>
    <w:next w:val="style4119"/>
    <w:qFormat/>
    <w:uiPriority w:val="0"/>
    <w:pPr>
      <w:widowControl w:val="false"/>
      <w:kinsoku w:val="false"/>
      <w:overflowPunct w:val="false"/>
      <w:autoSpaceDE w:val="false"/>
      <w:autoSpaceDN w:val="false"/>
      <w:spacing w:lineRule="exact" w:line="360"/>
      <w:jc w:val="right"/>
      <w:textAlignment w:val="center"/>
    </w:pPr>
    <w:rPr>
      <w:rFonts w:ascii="黑体" w:cs="Times New Roman" w:eastAsia="黑体" w:hAnsi="Times New Roman"/>
      <w:sz w:val="28"/>
      <w:lang w:val="en-US" w:bidi="ar-SA" w:eastAsia="zh-CN"/>
    </w:rPr>
  </w:style>
  <w:style w:type="paragraph" w:customStyle="1" w:styleId="style4120">
    <w:name w:val="名称"/>
    <w:basedOn w:val="style4121"/>
    <w:next w:val="style4113"/>
    <w:qFormat/>
    <w:uiPriority w:val="0"/>
    <w:pPr>
      <w:spacing w:lineRule="exact" w:line="460"/>
      <w:outlineLvl w:val="9"/>
    </w:pPr>
    <w:rPr/>
  </w:style>
  <w:style w:type="paragraph" w:customStyle="1" w:styleId="style4121">
    <w:name w:val="前言、引言标题"/>
    <w:next w:val="style0"/>
    <w:qFormat/>
    <w:uiPriority w:val="0"/>
    <w:pPr>
      <w:shd w:val="clear" w:color="ffffff" w:fill="ffffff"/>
      <w:spacing w:before="640" w:after="560"/>
      <w:jc w:val="center"/>
      <w:outlineLvl w:val="0"/>
    </w:pPr>
    <w:rPr>
      <w:rFonts w:ascii="黑体" w:cs="Times New Roman" w:eastAsia="黑体" w:hAnsi="Times New Roman"/>
      <w:sz w:val="32"/>
      <w:lang w:val="en-US" w:bidi="ar-SA" w:eastAsia="zh-CN"/>
    </w:rPr>
  </w:style>
  <w:style w:type="paragraph" w:customStyle="1" w:styleId="style4122">
    <w:name w:val="附录标识"/>
    <w:basedOn w:val="style0"/>
    <w:next w:val="style0"/>
    <w:qFormat/>
    <w:uiPriority w:val="0"/>
    <w:pPr>
      <w:keepNext/>
      <w:widowControl/>
      <w:numPr>
        <w:ilvl w:val="0"/>
        <w:numId w:val="2"/>
      </w:numPr>
      <w:shd w:val="clear" w:color="ffffff" w:fill="ffffff"/>
      <w:tabs>
        <w:tab w:val="left" w:leader="none" w:pos="6405"/>
      </w:tabs>
      <w:spacing w:before="640" w:after="280"/>
      <w:jc w:val="center"/>
      <w:outlineLvl w:val="0"/>
    </w:pPr>
    <w:rPr>
      <w:rFonts w:ascii="黑体" w:eastAsia="黑体" w:hAnsi="Times New Roman"/>
      <w:kern w:val="0"/>
      <w:szCs w:val="20"/>
    </w:rPr>
  </w:style>
  <w:style w:type="paragraph" w:customStyle="1" w:styleId="style4123">
    <w:name w:val="一级无标题条"/>
    <w:basedOn w:val="style4112"/>
    <w:next w:val="style4123"/>
    <w:qFormat/>
    <w:uiPriority w:val="0"/>
    <w:pPr>
      <w:spacing w:before="0" w:after="0"/>
      <w:outlineLvl w:val="9"/>
    </w:pPr>
    <w:rPr>
      <w:rFonts w:eastAsia="宋体"/>
    </w:rPr>
  </w:style>
  <w:style w:type="paragraph" w:customStyle="1" w:styleId="style4124">
    <w:name w:val="标准书眉_偶数页"/>
    <w:basedOn w:val="style4114"/>
    <w:next w:val="style0"/>
    <w:qFormat/>
    <w:uiPriority w:val="0"/>
    <w:pPr>
      <w:jc w:val="left"/>
    </w:pPr>
    <w:rPr/>
  </w:style>
  <w:style w:type="paragraph" w:customStyle="1" w:styleId="style4125">
    <w:name w:val="封面标准英文名称"/>
    <w:basedOn w:val="style4108"/>
    <w:next w:val="style4125"/>
    <w:qFormat/>
    <w:uiPriority w:val="0"/>
    <w:pPr>
      <w:widowControl w:val="false"/>
      <w:spacing w:before="330" w:lineRule="exact" w:line="400"/>
      <w:jc w:val="center"/>
    </w:pPr>
    <w:rPr>
      <w:rFonts w:ascii="黑体" w:cs="Times New Roman" w:eastAsia="黑体" w:hAnsi="Times New Roman"/>
      <w:sz w:val="28"/>
      <w:lang w:val="en-US" w:bidi="ar-SA" w:eastAsia="zh-CN"/>
    </w:rPr>
  </w:style>
  <w:style w:type="paragraph" w:customStyle="1" w:styleId="style4126">
    <w:name w:val="实施日期"/>
    <w:basedOn w:val="style4127"/>
    <w:next w:val="style4126"/>
    <w:qFormat/>
    <w:uiPriority w:val="0"/>
    <w:pPr>
      <w:jc w:val="right"/>
    </w:pPr>
    <w:rPr/>
  </w:style>
  <w:style w:type="paragraph" w:customStyle="1" w:styleId="style4127">
    <w:name w:val="发布日期"/>
    <w:next w:val="style4127"/>
    <w:qFormat/>
    <w:uiPriority w:val="0"/>
    <w:pPr/>
    <w:rPr>
      <w:rFonts w:ascii="黑体" w:cs="Times New Roman" w:eastAsia="黑体" w:hAnsi="黑体"/>
      <w:sz w:val="28"/>
      <w:lang w:val="en-US" w:bidi="ar-SA" w:eastAsia="zh-CN"/>
    </w:rPr>
  </w:style>
  <w:style w:type="paragraph" w:customStyle="1" w:styleId="style4128">
    <w:name w:val="附录表标号"/>
    <w:basedOn w:val="style0"/>
    <w:next w:val="style4113"/>
    <w:qFormat/>
    <w:uiPriority w:val="0"/>
    <w:pPr>
      <w:numPr>
        <w:ilvl w:val="0"/>
        <w:numId w:val="3"/>
      </w:numPr>
      <w:snapToGrid w:val="false"/>
      <w:spacing w:lineRule="exact" w:line="14"/>
      <w:jc w:val="center"/>
    </w:pPr>
    <w:rPr>
      <w:rFonts w:ascii="Times New Roman" w:hAnsi="Times New Roman"/>
      <w:color w:val="ffffff"/>
      <w:szCs w:val="20"/>
    </w:rPr>
  </w:style>
  <w:style w:type="paragraph" w:customStyle="1" w:styleId="style4129">
    <w:name w:val="样式 标题 1 + 非加粗"/>
    <w:basedOn w:val="style1"/>
    <w:next w:val="style4129"/>
    <w:qFormat/>
    <w:uiPriority w:val="0"/>
    <w:pPr>
      <w:spacing w:before="100" w:beforeLines="100" w:after="100" w:afterLines="100" w:lineRule="auto" w:line="240"/>
    </w:pPr>
    <w:rPr>
      <w:rFonts w:eastAsia="黑体"/>
      <w:b w:val="false"/>
      <w:bCs w:val="false"/>
      <w:sz w:val="21"/>
    </w:rPr>
  </w:style>
  <w:style w:type="paragraph" w:customStyle="1" w:styleId="style4130">
    <w:name w:val="目次、标准名称标题"/>
    <w:basedOn w:val="style4121"/>
    <w:next w:val="style4113"/>
    <w:qFormat/>
    <w:uiPriority w:val="0"/>
    <w:pPr>
      <w:keepNext/>
      <w:pageBreakBefore/>
      <w:spacing w:lineRule="exact" w:line="460"/>
    </w:pPr>
    <w:rPr/>
  </w:style>
  <w:style w:type="paragraph" w:customStyle="1" w:styleId="style4131">
    <w:name w:val="发布TB"/>
    <w:basedOn w:val="style4109"/>
    <w:next w:val="style4131"/>
    <w:qFormat/>
    <w:uiPriority w:val="0"/>
    <w:pPr>
      <w:ind w:left="567"/>
    </w:pPr>
    <w:rPr/>
  </w:style>
  <w:style w:type="paragraph" w:styleId="style179">
    <w:name w:val="List Paragraph"/>
    <w:basedOn w:val="style0"/>
    <w:next w:val="style179"/>
    <w:qFormat/>
    <w:uiPriority w:val="34"/>
    <w:pPr>
      <w:ind w:firstLine="420" w:firstLineChars="200"/>
    </w:pPr>
    <w:rPr/>
  </w:style>
  <w:style w:type="paragraph" w:customStyle="1" w:styleId="style4132">
    <w:name w:val="附录章标题"/>
    <w:next w:val="style4113"/>
    <w:qFormat/>
    <w:uiPriority w:val="0"/>
    <w:pPr>
      <w:numPr>
        <w:ilvl w:val="1"/>
        <w:numId w:val="2"/>
      </w:numPr>
      <w:tabs>
        <w:tab w:val="left" w:leader="none" w:pos="360"/>
      </w:tabs>
      <w:wordWrap w:val="false"/>
      <w:overflowPunct w:val="false"/>
      <w:autoSpaceDE w:val="false"/>
      <w:spacing w:before="100" w:beforeLines="100" w:after="100" w:afterLines="100"/>
      <w:jc w:val="both"/>
      <w:textAlignment w:val="baseline"/>
      <w:outlineLvl w:val="1"/>
    </w:pPr>
    <w:rPr>
      <w:rFonts w:ascii="黑体" w:cs="Times New Roman" w:eastAsia="黑体" w:hAnsi="Times New Roman"/>
      <w:kern w:val="21"/>
      <w:sz w:val="21"/>
      <w:lang w:val="en-US" w:bidi="ar-SA" w:eastAsia="zh-CN"/>
    </w:rPr>
  </w:style>
  <w:style w:type="paragraph" w:customStyle="1" w:styleId="style4133">
    <w:name w:val="发布部门TB"/>
    <w:basedOn w:val="style0"/>
    <w:next w:val="style4133"/>
    <w:qFormat/>
    <w:uiPriority w:val="0"/>
    <w:pPr>
      <w:widowControl/>
      <w:spacing w:lineRule="exact" w:line="360"/>
      <w:jc w:val="center"/>
    </w:pPr>
    <w:rPr>
      <w:rFonts w:ascii="黑体" w:eastAsia="黑体" w:hAnsi="黑体"/>
      <w:spacing w:val="20"/>
      <w:w w:val="135"/>
      <w:kern w:val="0"/>
      <w:sz w:val="36"/>
      <w:szCs w:val="20"/>
    </w:rPr>
  </w:style>
  <w:style w:type="paragraph" w:customStyle="1" w:styleId="style4134">
    <w:name w:val="Char"/>
    <w:basedOn w:val="style0"/>
    <w:next w:val="style4134"/>
    <w:qFormat/>
    <w:uiPriority w:val="0"/>
    <w:pPr/>
    <w:rPr>
      <w:rFonts w:ascii="Times New Roman" w:hAnsi="Times New Roman"/>
      <w:szCs w:val="24"/>
    </w:rPr>
  </w:style>
  <w:style w:type="paragraph" w:customStyle="1" w:styleId="style4135">
    <w:name w:val="封面正文"/>
    <w:next w:val="style4135"/>
    <w:qFormat/>
    <w:uiPriority w:val="0"/>
    <w:pPr>
      <w:jc w:val="both"/>
    </w:pPr>
    <w:rPr>
      <w:rFonts w:ascii="Times New Roman" w:cs="Times New Roman" w:eastAsia="宋体" w:hAnsi="Times New Roman"/>
      <w:lang w:val="en-US" w:bidi="ar-SA" w:eastAsia="zh-CN"/>
    </w:rPr>
  </w:style>
  <w:style w:type="paragraph" w:customStyle="1" w:styleId="style4136">
    <w:name w:val="列项——（一级）"/>
    <w:next w:val="style4136"/>
    <w:qFormat/>
    <w:uiPriority w:val="0"/>
    <w:pPr>
      <w:widowControl w:val="false"/>
      <w:numPr>
        <w:ilvl w:val="0"/>
        <w:numId w:val="4"/>
      </w:numPr>
      <w:jc w:val="both"/>
    </w:pPr>
    <w:rPr>
      <w:rFonts w:ascii="宋体" w:cs="Times New Roman" w:eastAsia="宋体" w:hAnsi="Times New Roman"/>
      <w:sz w:val="21"/>
      <w:lang w:val="en-US" w:bidi="ar-SA" w:eastAsia="zh-CN"/>
    </w:rPr>
  </w:style>
  <w:style w:type="paragraph" w:customStyle="1" w:styleId="style4137">
    <w:name w:val="标准书脚_奇数页"/>
    <w:next w:val="style4137"/>
    <w:qFormat/>
    <w:uiPriority w:val="0"/>
    <w:pPr>
      <w:spacing w:before="120"/>
      <w:ind w:right="198"/>
      <w:jc w:val="right"/>
    </w:pPr>
    <w:rPr>
      <w:rFonts w:ascii="宋体" w:cs="Times New Roman" w:eastAsia="宋体" w:hAnsi="Times New Roman"/>
      <w:sz w:val="18"/>
      <w:szCs w:val="18"/>
      <w:lang w:val="en-US" w:bidi="ar-SA" w:eastAsia="zh-CN"/>
    </w:rPr>
  </w:style>
  <w:style w:type="paragraph" w:customStyle="1" w:styleId="style4138">
    <w:name w:val="标准书脚_偶数页"/>
    <w:next w:val="style4138"/>
    <w:qFormat/>
    <w:uiPriority w:val="0"/>
    <w:pPr>
      <w:spacing w:before="120"/>
    </w:pPr>
    <w:rPr>
      <w:rFonts w:ascii="Times New Roman" w:cs="Times New Roman" w:eastAsia="宋体" w:hAnsi="Times New Roman"/>
      <w:sz w:val="18"/>
      <w:lang w:val="en-US" w:bidi="ar-SA" w:eastAsia="zh-CN"/>
    </w:rPr>
  </w:style>
  <w:style w:type="paragraph" w:customStyle="1" w:styleId="style4139">
    <w:name w:val="ICS"/>
    <w:basedOn w:val="style4135"/>
    <w:next w:val="style4139"/>
    <w:qFormat/>
    <w:uiPriority w:val="0"/>
    <w:pPr>
      <w:jc w:val="left"/>
    </w:pPr>
    <w:rPr>
      <w:rFonts w:ascii="黑体" w:eastAsia="黑体"/>
      <w:sz w:val="21"/>
    </w:rPr>
  </w:style>
  <w:style w:type="paragraph" w:customStyle="1" w:styleId="style4140">
    <w:name w:val="附录图标号"/>
    <w:basedOn w:val="style0"/>
    <w:next w:val="style4113"/>
    <w:qFormat/>
    <w:uiPriority w:val="0"/>
    <w:pPr>
      <w:numPr>
        <w:ilvl w:val="0"/>
        <w:numId w:val="5"/>
      </w:numPr>
      <w:snapToGrid w:val="false"/>
      <w:spacing w:lineRule="exact" w:line="14"/>
      <w:jc w:val="center"/>
    </w:pPr>
    <w:rPr>
      <w:rFonts w:ascii="Times New Roman" w:hAnsi="Times New Roman"/>
      <w:color w:val="ffffff"/>
      <w:szCs w:val="20"/>
    </w:rPr>
  </w:style>
  <w:style w:type="paragraph" w:customStyle="1" w:styleId="style4141">
    <w:name w:val="术语定义一级条标题"/>
    <w:basedOn w:val="style4112"/>
    <w:next w:val="style4113"/>
    <w:qFormat/>
    <w:uiPriority w:val="0"/>
    <w:pPr>
      <w:spacing w:before="0" w:after="0"/>
      <w:outlineLvl w:val="9"/>
    </w:pPr>
    <w:rPr/>
  </w:style>
  <w:style w:type="paragraph" w:customStyle="1" w:styleId="style4142">
    <w:name w:val="字母编号列项（一级）"/>
    <w:next w:val="style4142"/>
    <w:qFormat/>
    <w:uiPriority w:val="0"/>
    <w:pPr>
      <w:numPr>
        <w:ilvl w:val="0"/>
        <w:numId w:val="6"/>
      </w:numPr>
      <w:jc w:val="both"/>
    </w:pPr>
    <w:rPr>
      <w:rFonts w:ascii="宋体" w:cs="Times New Roman" w:eastAsia="宋体" w:hAnsi="Times New Roman"/>
      <w:sz w:val="21"/>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2987</Words>
  <Pages>6</Pages>
  <Characters>3229</Characters>
  <Application>WPS Office</Application>
  <DocSecurity>0</DocSecurity>
  <Paragraphs>92</Paragraphs>
  <ScaleCrop>false</ScaleCrop>
  <LinksUpToDate>false</LinksUpToDate>
  <CharactersWithSpaces>3289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2022-10-18T02:25:00Z</dcterms:created>
  <dc:creator>MYQ</dc:creator>
  <lastModifiedBy>FNE-AN00</lastModifiedBy>
  <lastPrinted>2018-05-10T03:48:00Z</lastPrinted>
  <dcterms:modified xsi:type="dcterms:W3CDTF">2025-07-02T08:31:53Z</dcterms:modified>
  <revision>25</revision>
  <dc:title>中国电机工程学会标准</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F462B536D78F487E994972DD3200F9B3_13</vt:lpwstr>
  </property>
  <property fmtid="{D5CDD505-2E9C-101B-9397-08002B2CF9AE}" pid="4" name="KSOTemplateDocerSaveRecord">
    <vt:lpwstr>eyJoZGlkIjoiMGEwN2Y0MGNhODRmMjY4ZDY5NTEyOWZiYmFiMTAwYmQiLCJ1c2VySWQiOiI3MDc2ODQ5NTgifQ==</vt:lpwstr>
  </property>
</Properties>
</file>