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AE6AF">
      <w:pPr>
        <w:pStyle w:val="35"/>
        <w:ind w:firstLine="0" w:firstLineChars="0"/>
        <w:rPr>
          <w:highlight w:val="none"/>
        </w:rPr>
      </w:pPr>
      <w:bookmarkStart w:id="40" w:name="_GoBack"/>
    </w:p>
    <w:p w14:paraId="7452F756">
      <w:pPr>
        <w:pStyle w:val="35"/>
        <w:ind w:firstLine="0" w:firstLineChars="0"/>
        <w:rPr>
          <w:highlight w:val="none"/>
        </w:rPr>
      </w:pPr>
    </w:p>
    <w:p w14:paraId="4CC03825">
      <w:pPr>
        <w:pStyle w:val="35"/>
        <w:ind w:firstLine="0" w:firstLineChars="0"/>
        <w:rPr>
          <w:highlight w:val="none"/>
        </w:rPr>
      </w:pPr>
    </w:p>
    <w:p w14:paraId="5D020150">
      <w:pPr>
        <w:pStyle w:val="35"/>
        <w:ind w:firstLine="0" w:firstLineChars="0"/>
        <w:rPr>
          <w:highlight w:val="none"/>
        </w:rPr>
      </w:pPr>
    </w:p>
    <w:p w14:paraId="2BD72138">
      <w:pPr>
        <w:pStyle w:val="35"/>
        <w:ind w:firstLine="0" w:firstLineChars="0"/>
        <w:rPr>
          <w:highlight w:val="none"/>
        </w:rPr>
      </w:pPr>
    </w:p>
    <w:p w14:paraId="3419F2D0">
      <w:pPr>
        <w:pStyle w:val="35"/>
        <w:ind w:firstLine="0" w:firstLineChars="0"/>
        <w:rPr>
          <w:highlight w:val="none"/>
        </w:rPr>
      </w:pPr>
    </w:p>
    <w:p w14:paraId="3395AC64">
      <w:pPr>
        <w:pStyle w:val="35"/>
        <w:ind w:firstLine="0" w:firstLineChars="0"/>
        <w:rPr>
          <w:highlight w:val="none"/>
        </w:rPr>
      </w:pPr>
    </w:p>
    <w:p w14:paraId="024AABE7">
      <w:pPr>
        <w:pStyle w:val="35"/>
        <w:ind w:firstLine="0" w:firstLineChars="0"/>
        <w:rPr>
          <w:highlight w:val="none"/>
        </w:rPr>
      </w:pPr>
    </w:p>
    <w:p w14:paraId="69A4CA87">
      <w:pPr>
        <w:pStyle w:val="35"/>
        <w:ind w:firstLine="0" w:firstLineChars="0"/>
        <w:rPr>
          <w:highlight w:val="none"/>
        </w:rPr>
      </w:pPr>
    </w:p>
    <w:p w14:paraId="0FD30E83">
      <w:pPr>
        <w:pStyle w:val="35"/>
        <w:ind w:firstLine="0" w:firstLineChars="0"/>
        <w:rPr>
          <w:highlight w:val="none"/>
        </w:rPr>
      </w:pPr>
    </w:p>
    <w:p w14:paraId="639A364F">
      <w:pPr>
        <w:pStyle w:val="35"/>
        <w:ind w:firstLine="0" w:firstLineChars="0"/>
        <w:jc w:val="center"/>
        <w:rPr>
          <w:rFonts w:ascii="黑体" w:eastAsia="黑体"/>
          <w:sz w:val="44"/>
          <w:szCs w:val="44"/>
          <w:highlight w:val="none"/>
        </w:rPr>
      </w:pPr>
      <w:bookmarkStart w:id="0" w:name="OLE_LINK15"/>
      <w:r>
        <w:rPr>
          <w:rFonts w:hint="eastAsia" w:ascii="黑体" w:eastAsia="黑体"/>
          <w:sz w:val="44"/>
          <w:szCs w:val="44"/>
          <w:highlight w:val="none"/>
        </w:rPr>
        <w:t>配电网接地故障数据同步采集及集中研判技术要求</w:t>
      </w:r>
    </w:p>
    <w:bookmarkEnd w:id="0"/>
    <w:p w14:paraId="2D9E3C27">
      <w:pPr>
        <w:pStyle w:val="35"/>
        <w:ind w:firstLine="0" w:firstLineChars="0"/>
        <w:jc w:val="center"/>
        <w:rPr>
          <w:rFonts w:ascii="黑体" w:eastAsia="黑体"/>
          <w:sz w:val="44"/>
          <w:szCs w:val="44"/>
          <w:highlight w:val="none"/>
        </w:rPr>
      </w:pPr>
    </w:p>
    <w:p w14:paraId="1EFEA63E">
      <w:pPr>
        <w:pStyle w:val="35"/>
        <w:ind w:firstLine="0" w:firstLineChars="0"/>
        <w:jc w:val="center"/>
        <w:rPr>
          <w:rFonts w:ascii="黑体" w:eastAsia="黑体"/>
          <w:sz w:val="44"/>
          <w:szCs w:val="44"/>
          <w:highlight w:val="none"/>
        </w:rPr>
      </w:pPr>
    </w:p>
    <w:p w14:paraId="55FDCCAF">
      <w:pPr>
        <w:pStyle w:val="35"/>
        <w:rPr>
          <w:highlight w:val="none"/>
        </w:rPr>
      </w:pPr>
    </w:p>
    <w:p w14:paraId="49B7D544">
      <w:pPr>
        <w:pStyle w:val="35"/>
        <w:rPr>
          <w:highlight w:val="none"/>
        </w:rPr>
      </w:pPr>
    </w:p>
    <w:p w14:paraId="4626B0DD">
      <w:pPr>
        <w:pStyle w:val="37"/>
        <w:numPr>
          <w:ilvl w:val="0"/>
          <w:numId w:val="0"/>
        </w:numPr>
        <w:jc w:val="center"/>
        <w:rPr>
          <w:sz w:val="28"/>
          <w:szCs w:val="28"/>
          <w:highlight w:val="none"/>
        </w:rPr>
      </w:pPr>
      <w:bookmarkStart w:id="1" w:name="_Toc298937333"/>
      <w:bookmarkStart w:id="2" w:name="_Toc298937368"/>
      <w:bookmarkStart w:id="3" w:name="_Toc304825093"/>
      <w:bookmarkStart w:id="4" w:name="_Toc298938646"/>
      <w:bookmarkStart w:id="5" w:name="_Toc304828086"/>
      <w:bookmarkStart w:id="6" w:name="_Toc310002657"/>
      <w:bookmarkStart w:id="7" w:name="_Toc309994571"/>
      <w:bookmarkStart w:id="8" w:name="_Toc309995410"/>
      <w:bookmarkStart w:id="9" w:name="_Toc318613715"/>
      <w:bookmarkStart w:id="10" w:name="_Toc304402675"/>
      <w:bookmarkStart w:id="11" w:name="_Toc309995492"/>
      <w:bookmarkStart w:id="12" w:name="_Toc304825020"/>
      <w:bookmarkStart w:id="13" w:name="_Toc309995598"/>
      <w:bookmarkStart w:id="14" w:name="_Toc309996019"/>
      <w:bookmarkStart w:id="15" w:name="_Toc309997060"/>
      <w:bookmarkStart w:id="16" w:name="_Toc298937430"/>
      <w:bookmarkStart w:id="17" w:name="_Toc298937560"/>
      <w:bookmarkStart w:id="18" w:name="_Toc309993200"/>
      <w:bookmarkStart w:id="19" w:name="_Toc304824981"/>
      <w:bookmarkStart w:id="20" w:name="_Toc298938794"/>
      <w:bookmarkStart w:id="21" w:name="_Toc298937473"/>
      <w:bookmarkStart w:id="22" w:name="_Toc320020914"/>
      <w:bookmarkStart w:id="23" w:name="_Toc298937620"/>
      <w:r>
        <w:rPr>
          <w:rFonts w:hint="eastAsia"/>
          <w:sz w:val="28"/>
          <w:szCs w:val="28"/>
          <w:highlight w:val="none"/>
        </w:rPr>
        <w:t>编 制 说</w:t>
      </w:r>
      <w:bookmarkEnd w:id="1"/>
      <w:bookmarkEnd w:id="2"/>
      <w:r>
        <w:rPr>
          <w:rFonts w:hint="eastAsia"/>
          <w:sz w:val="28"/>
          <w:szCs w:val="28"/>
          <w:highlight w:val="none"/>
        </w:rPr>
        <w:t> 明</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700BB1C">
      <w:pPr>
        <w:pStyle w:val="35"/>
        <w:ind w:firstLine="560"/>
        <w:jc w:val="center"/>
        <w:rPr>
          <w:rFonts w:ascii="黑体" w:eastAsia="黑体"/>
          <w:sz w:val="28"/>
          <w:szCs w:val="28"/>
          <w:highlight w:val="none"/>
        </w:rPr>
      </w:pPr>
    </w:p>
    <w:p w14:paraId="03AD2C96">
      <w:pPr>
        <w:pStyle w:val="35"/>
        <w:ind w:firstLine="560"/>
        <w:jc w:val="center"/>
        <w:rPr>
          <w:rFonts w:ascii="黑体" w:eastAsia="黑体"/>
          <w:sz w:val="28"/>
          <w:szCs w:val="28"/>
          <w:highlight w:val="none"/>
        </w:rPr>
      </w:pPr>
    </w:p>
    <w:p w14:paraId="0B5124E0">
      <w:pPr>
        <w:pStyle w:val="35"/>
        <w:rPr>
          <w:highlight w:val="none"/>
        </w:rPr>
        <w:sectPr>
          <w:footerReference r:id="rId4" w:type="default"/>
          <w:headerReference r:id="rId3" w:type="even"/>
          <w:pgSz w:w="11906" w:h="16838"/>
          <w:pgMar w:top="567" w:right="1134" w:bottom="1134" w:left="1417" w:header="1418" w:footer="1134" w:gutter="0"/>
          <w:cols w:space="720" w:num="1"/>
          <w:formProt w:val="0"/>
          <w:docGrid w:type="lines" w:linePitch="312" w:charSpace="0"/>
        </w:sectPr>
      </w:pPr>
    </w:p>
    <w:p w14:paraId="08FC8C49">
      <w:pPr>
        <w:jc w:val="center"/>
        <w:rPr>
          <w:b/>
          <w:bCs/>
          <w:sz w:val="28"/>
          <w:szCs w:val="32"/>
          <w:highlight w:val="none"/>
        </w:rPr>
      </w:pPr>
      <w:bookmarkStart w:id="24" w:name="_Toc309992160"/>
      <w:bookmarkStart w:id="25" w:name="_Toc513731021"/>
      <w:bookmarkStart w:id="26" w:name="_Toc513731109"/>
      <w:r>
        <w:rPr>
          <w:rFonts w:hint="eastAsia"/>
          <w:b/>
          <w:bCs/>
          <w:sz w:val="28"/>
          <w:szCs w:val="32"/>
          <w:highlight w:val="none"/>
        </w:rPr>
        <w:t>目  次</w:t>
      </w:r>
      <w:bookmarkEnd w:id="24"/>
      <w:bookmarkEnd w:id="25"/>
      <w:bookmarkEnd w:id="26"/>
    </w:p>
    <w:p w14:paraId="3F103CFA">
      <w:pPr>
        <w:pStyle w:val="7"/>
        <w:tabs>
          <w:tab w:val="right" w:leader="dot" w:pos="9355"/>
          <w:tab w:val="clear" w:pos="9241"/>
        </w:tabs>
        <w:spacing w:before="78" w:after="78"/>
        <w:rPr>
          <w:highlight w:val="none"/>
        </w:rPr>
      </w:pPr>
      <w:r>
        <w:rPr>
          <w:rFonts w:hAnsi="宋体"/>
          <w:highlight w:val="none"/>
        </w:rPr>
        <w:fldChar w:fldCharType="begin"/>
      </w:r>
      <w:r>
        <w:rPr>
          <w:rFonts w:hAnsi="宋体"/>
          <w:highlight w:val="none"/>
        </w:rPr>
        <w:instrText xml:space="preserve"> </w:instrText>
      </w:r>
      <w:r>
        <w:rPr>
          <w:rFonts w:hint="eastAsia" w:hAnsi="宋体"/>
          <w:highlight w:val="none"/>
        </w:rPr>
        <w:instrText xml:space="preserve">TOC \o "1-1" \h \z \u</w:instrText>
      </w:r>
      <w:r>
        <w:rPr>
          <w:rFonts w:hAnsi="宋体"/>
          <w:highlight w:val="none"/>
        </w:rPr>
        <w:instrText xml:space="preserve"> </w:instrText>
      </w:r>
      <w:r>
        <w:rPr>
          <w:rFonts w:hAnsi="宋体"/>
          <w:highlight w:val="none"/>
        </w:rPr>
        <w:fldChar w:fldCharType="separate"/>
      </w:r>
      <w:r>
        <w:rPr>
          <w:highlight w:val="none"/>
        </w:rPr>
        <w:fldChar w:fldCharType="begin"/>
      </w:r>
      <w:r>
        <w:rPr>
          <w:highlight w:val="none"/>
        </w:rPr>
        <w:instrText xml:space="preserve"> HYPERLINK \l "_Toc29063" </w:instrText>
      </w:r>
      <w:r>
        <w:rPr>
          <w:highlight w:val="none"/>
        </w:rPr>
        <w:fldChar w:fldCharType="separate"/>
      </w:r>
      <w:r>
        <w:rPr>
          <w:rFonts w:hint="eastAsia" w:hAnsi="宋体"/>
          <w:highlight w:val="none"/>
        </w:rPr>
        <w:t>1 编制背景</w:t>
      </w:r>
      <w:r>
        <w:rPr>
          <w:highlight w:val="none"/>
        </w:rPr>
        <w:tab/>
      </w:r>
      <w:r>
        <w:rPr>
          <w:highlight w:val="none"/>
        </w:rPr>
        <w:fldChar w:fldCharType="begin"/>
      </w:r>
      <w:r>
        <w:rPr>
          <w:highlight w:val="none"/>
        </w:rPr>
        <w:instrText xml:space="preserve"> PAGEREF _Toc29063 \h </w:instrText>
      </w:r>
      <w:r>
        <w:rPr>
          <w:highlight w:val="none"/>
        </w:rPr>
        <w:fldChar w:fldCharType="separate"/>
      </w:r>
      <w:r>
        <w:rPr>
          <w:highlight w:val="none"/>
        </w:rPr>
        <w:t>1</w:t>
      </w:r>
      <w:r>
        <w:rPr>
          <w:highlight w:val="none"/>
        </w:rPr>
        <w:fldChar w:fldCharType="end"/>
      </w:r>
      <w:r>
        <w:rPr>
          <w:highlight w:val="none"/>
        </w:rPr>
        <w:fldChar w:fldCharType="end"/>
      </w:r>
    </w:p>
    <w:p w14:paraId="576ED38C">
      <w:pPr>
        <w:pStyle w:val="7"/>
        <w:tabs>
          <w:tab w:val="right" w:leader="dot" w:pos="9355"/>
          <w:tab w:val="clear" w:pos="9241"/>
        </w:tabs>
        <w:spacing w:before="78" w:after="78"/>
        <w:rPr>
          <w:highlight w:val="none"/>
        </w:rPr>
      </w:pPr>
      <w:r>
        <w:rPr>
          <w:highlight w:val="none"/>
        </w:rPr>
        <w:fldChar w:fldCharType="begin"/>
      </w:r>
      <w:r>
        <w:rPr>
          <w:highlight w:val="none"/>
        </w:rPr>
        <w:instrText xml:space="preserve"> HYPERLINK \l "_Toc11094" </w:instrText>
      </w:r>
      <w:r>
        <w:rPr>
          <w:highlight w:val="none"/>
        </w:rPr>
        <w:fldChar w:fldCharType="separate"/>
      </w:r>
      <w:r>
        <w:rPr>
          <w:rFonts w:hint="eastAsia" w:hAnsi="宋体"/>
          <w:highlight w:val="none"/>
        </w:rPr>
        <w:t>2 编制主要原则</w:t>
      </w:r>
      <w:r>
        <w:rPr>
          <w:highlight w:val="none"/>
        </w:rPr>
        <w:tab/>
      </w:r>
      <w:r>
        <w:rPr>
          <w:highlight w:val="none"/>
        </w:rPr>
        <w:fldChar w:fldCharType="begin"/>
      </w:r>
      <w:r>
        <w:rPr>
          <w:highlight w:val="none"/>
        </w:rPr>
        <w:instrText xml:space="preserve"> PAGEREF _Toc11094 \h </w:instrText>
      </w:r>
      <w:r>
        <w:rPr>
          <w:highlight w:val="none"/>
        </w:rPr>
        <w:fldChar w:fldCharType="separate"/>
      </w:r>
      <w:r>
        <w:rPr>
          <w:highlight w:val="none"/>
        </w:rPr>
        <w:t>1</w:t>
      </w:r>
      <w:r>
        <w:rPr>
          <w:highlight w:val="none"/>
        </w:rPr>
        <w:fldChar w:fldCharType="end"/>
      </w:r>
      <w:r>
        <w:rPr>
          <w:highlight w:val="none"/>
        </w:rPr>
        <w:fldChar w:fldCharType="end"/>
      </w:r>
    </w:p>
    <w:p w14:paraId="51E962A3">
      <w:pPr>
        <w:pStyle w:val="7"/>
        <w:tabs>
          <w:tab w:val="right" w:leader="dot" w:pos="9355"/>
          <w:tab w:val="clear" w:pos="9241"/>
        </w:tabs>
        <w:spacing w:before="78" w:after="78"/>
        <w:rPr>
          <w:highlight w:val="none"/>
        </w:rPr>
      </w:pPr>
      <w:r>
        <w:rPr>
          <w:highlight w:val="none"/>
        </w:rPr>
        <w:fldChar w:fldCharType="begin"/>
      </w:r>
      <w:r>
        <w:rPr>
          <w:highlight w:val="none"/>
        </w:rPr>
        <w:instrText xml:space="preserve"> HYPERLINK \l "_Toc21642" </w:instrText>
      </w:r>
      <w:r>
        <w:rPr>
          <w:highlight w:val="none"/>
        </w:rPr>
        <w:fldChar w:fldCharType="separate"/>
      </w:r>
      <w:r>
        <w:rPr>
          <w:rFonts w:hint="eastAsia" w:hAnsi="宋体"/>
          <w:highlight w:val="none"/>
        </w:rPr>
        <w:t>3 主要工作过程</w:t>
      </w:r>
      <w:r>
        <w:rPr>
          <w:highlight w:val="none"/>
        </w:rPr>
        <w:tab/>
      </w:r>
      <w:r>
        <w:rPr>
          <w:highlight w:val="none"/>
        </w:rPr>
        <w:fldChar w:fldCharType="begin"/>
      </w:r>
      <w:r>
        <w:rPr>
          <w:highlight w:val="none"/>
        </w:rPr>
        <w:instrText xml:space="preserve"> PAGEREF _Toc21642 \h </w:instrText>
      </w:r>
      <w:r>
        <w:rPr>
          <w:highlight w:val="none"/>
        </w:rPr>
        <w:fldChar w:fldCharType="separate"/>
      </w:r>
      <w:r>
        <w:rPr>
          <w:highlight w:val="none"/>
        </w:rPr>
        <w:t>2</w:t>
      </w:r>
      <w:r>
        <w:rPr>
          <w:highlight w:val="none"/>
        </w:rPr>
        <w:fldChar w:fldCharType="end"/>
      </w:r>
      <w:r>
        <w:rPr>
          <w:highlight w:val="none"/>
        </w:rPr>
        <w:fldChar w:fldCharType="end"/>
      </w:r>
    </w:p>
    <w:p w14:paraId="5269369D">
      <w:pPr>
        <w:pStyle w:val="7"/>
        <w:tabs>
          <w:tab w:val="right" w:leader="dot" w:pos="9355"/>
          <w:tab w:val="clear" w:pos="9241"/>
        </w:tabs>
        <w:spacing w:before="78" w:after="78"/>
        <w:rPr>
          <w:highlight w:val="none"/>
        </w:rPr>
      </w:pPr>
      <w:r>
        <w:rPr>
          <w:highlight w:val="none"/>
        </w:rPr>
        <w:fldChar w:fldCharType="begin"/>
      </w:r>
      <w:r>
        <w:rPr>
          <w:highlight w:val="none"/>
        </w:rPr>
        <w:instrText xml:space="preserve"> HYPERLINK \l "_Toc25146" </w:instrText>
      </w:r>
      <w:r>
        <w:rPr>
          <w:highlight w:val="none"/>
        </w:rPr>
        <w:fldChar w:fldCharType="separate"/>
      </w:r>
      <w:r>
        <w:rPr>
          <w:rFonts w:hint="eastAsia" w:hAnsi="宋体"/>
          <w:highlight w:val="none"/>
        </w:rPr>
        <w:t>4 标准结构和内容说明</w:t>
      </w:r>
      <w:r>
        <w:rPr>
          <w:highlight w:val="none"/>
        </w:rPr>
        <w:tab/>
      </w:r>
      <w:r>
        <w:rPr>
          <w:highlight w:val="none"/>
        </w:rPr>
        <w:fldChar w:fldCharType="begin"/>
      </w:r>
      <w:r>
        <w:rPr>
          <w:highlight w:val="none"/>
        </w:rPr>
        <w:instrText xml:space="preserve"> PAGEREF _Toc25146 \h </w:instrText>
      </w:r>
      <w:r>
        <w:rPr>
          <w:highlight w:val="none"/>
        </w:rPr>
        <w:fldChar w:fldCharType="separate"/>
      </w:r>
      <w:r>
        <w:rPr>
          <w:highlight w:val="none"/>
        </w:rPr>
        <w:t>2</w:t>
      </w:r>
      <w:r>
        <w:rPr>
          <w:highlight w:val="none"/>
        </w:rPr>
        <w:fldChar w:fldCharType="end"/>
      </w:r>
      <w:r>
        <w:rPr>
          <w:highlight w:val="none"/>
        </w:rPr>
        <w:fldChar w:fldCharType="end"/>
      </w:r>
    </w:p>
    <w:p w14:paraId="2151B760">
      <w:pPr>
        <w:pStyle w:val="7"/>
        <w:tabs>
          <w:tab w:val="right" w:leader="dot" w:pos="9355"/>
          <w:tab w:val="clear" w:pos="9241"/>
        </w:tabs>
        <w:spacing w:before="78" w:after="78"/>
        <w:rPr>
          <w:highlight w:val="none"/>
        </w:rPr>
      </w:pPr>
      <w:r>
        <w:rPr>
          <w:highlight w:val="none"/>
        </w:rPr>
        <w:fldChar w:fldCharType="begin"/>
      </w:r>
      <w:r>
        <w:rPr>
          <w:highlight w:val="none"/>
        </w:rPr>
        <w:instrText xml:space="preserve"> HYPERLINK \l "_Toc13751" </w:instrText>
      </w:r>
      <w:r>
        <w:rPr>
          <w:highlight w:val="none"/>
        </w:rPr>
        <w:fldChar w:fldCharType="separate"/>
      </w:r>
      <w:r>
        <w:rPr>
          <w:rFonts w:hint="eastAsia" w:hAnsi="宋体"/>
          <w:highlight w:val="none"/>
        </w:rPr>
        <w:t>5相关</w:t>
      </w:r>
      <w:r>
        <w:rPr>
          <w:rFonts w:hint="eastAsia"/>
          <w:highlight w:val="none"/>
        </w:rPr>
        <w:t>标准对比说明</w:t>
      </w:r>
      <w:r>
        <w:rPr>
          <w:highlight w:val="none"/>
        </w:rPr>
        <w:tab/>
      </w:r>
      <w:r>
        <w:rPr>
          <w:highlight w:val="none"/>
        </w:rPr>
        <w:fldChar w:fldCharType="begin"/>
      </w:r>
      <w:r>
        <w:rPr>
          <w:highlight w:val="none"/>
        </w:rPr>
        <w:instrText xml:space="preserve"> PAGEREF _Toc13751 \h </w:instrText>
      </w:r>
      <w:r>
        <w:rPr>
          <w:highlight w:val="none"/>
        </w:rPr>
        <w:fldChar w:fldCharType="separate"/>
      </w:r>
      <w:r>
        <w:rPr>
          <w:highlight w:val="none"/>
        </w:rPr>
        <w:t>2</w:t>
      </w:r>
      <w:r>
        <w:rPr>
          <w:highlight w:val="none"/>
        </w:rPr>
        <w:fldChar w:fldCharType="end"/>
      </w:r>
      <w:r>
        <w:rPr>
          <w:highlight w:val="none"/>
        </w:rPr>
        <w:fldChar w:fldCharType="end"/>
      </w:r>
    </w:p>
    <w:p w14:paraId="10D8DAB5">
      <w:pPr>
        <w:pStyle w:val="7"/>
        <w:tabs>
          <w:tab w:val="right" w:leader="dot" w:pos="9355"/>
          <w:tab w:val="clear" w:pos="9241"/>
        </w:tabs>
        <w:spacing w:before="78" w:after="78"/>
        <w:rPr>
          <w:highlight w:val="none"/>
        </w:rPr>
      </w:pPr>
      <w:r>
        <w:rPr>
          <w:highlight w:val="none"/>
        </w:rPr>
        <w:fldChar w:fldCharType="begin"/>
      </w:r>
      <w:r>
        <w:rPr>
          <w:highlight w:val="none"/>
        </w:rPr>
        <w:instrText xml:space="preserve"> HYPERLINK \l "_Toc15428" </w:instrText>
      </w:r>
      <w:r>
        <w:rPr>
          <w:highlight w:val="none"/>
        </w:rPr>
        <w:fldChar w:fldCharType="separate"/>
      </w:r>
      <w:r>
        <w:rPr>
          <w:rFonts w:hint="eastAsia" w:hAnsi="宋体"/>
          <w:highlight w:val="none"/>
        </w:rPr>
        <w:t>6标准实施措施说明</w:t>
      </w:r>
      <w:r>
        <w:rPr>
          <w:highlight w:val="none"/>
        </w:rPr>
        <w:tab/>
      </w:r>
      <w:r>
        <w:rPr>
          <w:highlight w:val="none"/>
        </w:rPr>
        <w:fldChar w:fldCharType="begin"/>
      </w:r>
      <w:r>
        <w:rPr>
          <w:highlight w:val="none"/>
        </w:rPr>
        <w:instrText xml:space="preserve"> PAGEREF _Toc15428 \h </w:instrText>
      </w:r>
      <w:r>
        <w:rPr>
          <w:highlight w:val="none"/>
        </w:rPr>
        <w:fldChar w:fldCharType="separate"/>
      </w:r>
      <w:r>
        <w:rPr>
          <w:highlight w:val="none"/>
        </w:rPr>
        <w:t>2</w:t>
      </w:r>
      <w:r>
        <w:rPr>
          <w:highlight w:val="none"/>
        </w:rPr>
        <w:fldChar w:fldCharType="end"/>
      </w:r>
      <w:r>
        <w:rPr>
          <w:highlight w:val="none"/>
        </w:rPr>
        <w:fldChar w:fldCharType="end"/>
      </w:r>
    </w:p>
    <w:p w14:paraId="462E8020">
      <w:pPr>
        <w:pStyle w:val="35"/>
        <w:rPr>
          <w:rFonts w:hAnsi="宋体"/>
          <w:szCs w:val="21"/>
          <w:highlight w:val="none"/>
        </w:rPr>
      </w:pPr>
      <w:r>
        <w:rPr>
          <w:rFonts w:hAnsi="宋体"/>
          <w:szCs w:val="21"/>
          <w:highlight w:val="none"/>
        </w:rPr>
        <w:fldChar w:fldCharType="end"/>
      </w:r>
    </w:p>
    <w:p w14:paraId="5EDE6456">
      <w:pPr>
        <w:pStyle w:val="35"/>
        <w:rPr>
          <w:rFonts w:hAnsi="宋体"/>
          <w:szCs w:val="21"/>
          <w:highlight w:val="none"/>
        </w:rPr>
      </w:pPr>
    </w:p>
    <w:p w14:paraId="3379CD5F">
      <w:pPr>
        <w:pStyle w:val="35"/>
        <w:rPr>
          <w:rFonts w:hAnsi="宋体"/>
          <w:szCs w:val="21"/>
          <w:highlight w:val="none"/>
        </w:rPr>
      </w:pPr>
    </w:p>
    <w:p w14:paraId="2C50A397">
      <w:pPr>
        <w:pStyle w:val="35"/>
        <w:rPr>
          <w:rFonts w:hAnsi="宋体"/>
          <w:szCs w:val="21"/>
          <w:highlight w:val="none"/>
        </w:rPr>
      </w:pPr>
    </w:p>
    <w:p w14:paraId="43A23B3C">
      <w:pPr>
        <w:pStyle w:val="35"/>
        <w:rPr>
          <w:rFonts w:hAnsi="宋体"/>
          <w:szCs w:val="21"/>
          <w:highlight w:val="none"/>
        </w:rPr>
        <w:sectPr>
          <w:headerReference r:id="rId5" w:type="default"/>
          <w:footerReference r:id="rId6" w:type="default"/>
          <w:pgSz w:w="11906" w:h="16838"/>
          <w:pgMar w:top="567" w:right="1134" w:bottom="1134" w:left="1417" w:header="1418" w:footer="1134" w:gutter="0"/>
          <w:pgNumType w:start="28"/>
          <w:cols w:space="720" w:num="1"/>
          <w:formProt w:val="0"/>
          <w:docGrid w:type="lines" w:linePitch="312" w:charSpace="0"/>
        </w:sectPr>
      </w:pPr>
    </w:p>
    <w:p w14:paraId="73C9DE41">
      <w:pPr>
        <w:pStyle w:val="51"/>
        <w:spacing w:before="156" w:beforeLines="50" w:after="156" w:afterLines="50"/>
        <w:rPr>
          <w:rFonts w:ascii="宋体" w:hAnsi="宋体"/>
          <w:szCs w:val="21"/>
          <w:highlight w:val="none"/>
        </w:rPr>
      </w:pPr>
      <w:bookmarkStart w:id="27" w:name="_Toc29063"/>
      <w:r>
        <w:rPr>
          <w:rFonts w:hint="eastAsia" w:ascii="宋体" w:hAnsi="宋体"/>
          <w:szCs w:val="21"/>
          <w:highlight w:val="none"/>
        </w:rPr>
        <w:t>1 编制背景</w:t>
      </w:r>
      <w:bookmarkEnd w:id="27"/>
    </w:p>
    <w:p w14:paraId="11B941B2">
      <w:pPr>
        <w:pStyle w:val="35"/>
        <w:rPr>
          <w:rFonts w:ascii="Calibri" w:hAnsi="Calibri"/>
          <w:szCs w:val="21"/>
          <w:highlight w:val="none"/>
        </w:rPr>
      </w:pPr>
      <w:r>
        <w:rPr>
          <w:rFonts w:hint="eastAsia" w:ascii="Calibri" w:hAnsi="Calibri"/>
          <w:szCs w:val="21"/>
          <w:highlight w:val="none"/>
        </w:rPr>
        <w:t>本标准是根据电机咨[2024]331号文“中国电机工程学会关于印发‘中国电机工程学会 2024 年标准计划（第一批）’的通知”下达的制定任务（项目序号20：配电网接地故障数据同步 采集及集中研判技术要求）进行制定的。国网福建省电力有限公司电力科学研究院、南瑞集团有限公司、南京南瑞继保电气有限公司、青岛积成电子股份有限公司、苏州银蕨电力技术有限公司负责起草。</w:t>
      </w:r>
    </w:p>
    <w:p w14:paraId="0295D929">
      <w:pPr>
        <w:pStyle w:val="35"/>
        <w:rPr>
          <w:highlight w:val="none"/>
        </w:rPr>
      </w:pPr>
      <w:r>
        <w:rPr>
          <w:rFonts w:hint="eastAsia" w:ascii="Calibri" w:hAnsi="Calibri"/>
          <w:szCs w:val="21"/>
          <w:highlight w:val="none"/>
        </w:rPr>
        <w:t>配电网接地故障在配网故障中占比超过8</w:t>
      </w:r>
      <w:r>
        <w:rPr>
          <w:rFonts w:ascii="Calibri" w:hAnsi="Calibri"/>
          <w:szCs w:val="21"/>
          <w:highlight w:val="none"/>
        </w:rPr>
        <w:t>0%，当前配网终端具备接地故障判断，但正确率难以保证，为提升配电网接地故障处置能力，对配网接地故障进行集中研判是当前主流且行之有效的手段，故障集中研判需要对录波数据进行对齐处理，而各厂家配网终端录波文件时标、采样率等不尽相同，增加了集中研判的难度。</w:t>
      </w:r>
      <w:r>
        <w:rPr>
          <w:rFonts w:hint="eastAsia" w:ascii="Calibri" w:hAnsi="Calibri"/>
          <w:szCs w:val="21"/>
          <w:highlight w:val="none"/>
        </w:rPr>
        <w:t>但当前尚无相关标准对配电网接地故障数据录波和集中研判手段进行规范。因此，本标准的制定旨在规范配电网接地故障数据采集和集中研判要求，提高配电网接地故障数据有效利用率，推动配电网接地故障集中研判技术发展，提升配电网接地故障处置能力</w:t>
      </w:r>
      <w:r>
        <w:rPr>
          <w:rFonts w:ascii="Calibri" w:hAnsi="Calibri"/>
          <w:szCs w:val="21"/>
          <w:highlight w:val="none"/>
        </w:rPr>
        <w:t>。</w:t>
      </w:r>
    </w:p>
    <w:p w14:paraId="3D8EAA7D">
      <w:pPr>
        <w:pStyle w:val="35"/>
        <w:rPr>
          <w:highlight w:val="none"/>
        </w:rPr>
      </w:pPr>
      <w:r>
        <w:rPr>
          <w:rFonts w:hint="eastAsia"/>
          <w:highlight w:val="none"/>
        </w:rPr>
        <w:t>本标准的实施规范了配网终端录波数据和集中研判要求，</w:t>
      </w:r>
      <w:r>
        <w:rPr>
          <w:rFonts w:hint="eastAsia" w:ascii="Calibri" w:hAnsi="Calibri"/>
          <w:szCs w:val="21"/>
          <w:highlight w:val="none"/>
        </w:rPr>
        <w:t>提高配电网接地故障数据有效利用率，推动配电网接地故障集中研判技术发展，提升配电网接地故障处置能力。</w:t>
      </w:r>
    </w:p>
    <w:p w14:paraId="4561CE13">
      <w:pPr>
        <w:pStyle w:val="51"/>
        <w:spacing w:before="312" w:after="312"/>
        <w:rPr>
          <w:rFonts w:ascii="宋体" w:hAnsi="宋体"/>
          <w:szCs w:val="21"/>
          <w:highlight w:val="none"/>
        </w:rPr>
      </w:pPr>
      <w:bookmarkStart w:id="28" w:name="_Toc11094"/>
      <w:r>
        <w:rPr>
          <w:rFonts w:hint="eastAsia" w:ascii="宋体" w:hAnsi="宋体"/>
          <w:szCs w:val="21"/>
          <w:highlight w:val="none"/>
        </w:rPr>
        <w:t>2 编制主要原则</w:t>
      </w:r>
      <w:bookmarkEnd w:id="28"/>
    </w:p>
    <w:p w14:paraId="24B070FF">
      <w:pPr>
        <w:pStyle w:val="55"/>
        <w:numPr>
          <w:ilvl w:val="0"/>
          <w:numId w:val="0"/>
        </w:numPr>
        <w:spacing w:before="156" w:beforeLines="50" w:after="156" w:afterLines="50"/>
        <w:rPr>
          <w:highlight w:val="none"/>
        </w:rPr>
      </w:pPr>
      <w:r>
        <w:rPr>
          <w:rFonts w:hint="eastAsia"/>
          <w:highlight w:val="none"/>
        </w:rPr>
        <w:t>2.1 规范性</w:t>
      </w:r>
    </w:p>
    <w:p w14:paraId="4C7E439F">
      <w:pPr>
        <w:pStyle w:val="35"/>
        <w:rPr>
          <w:highlight w:val="none"/>
        </w:rPr>
      </w:pPr>
      <w:r>
        <w:rPr>
          <w:rFonts w:hint="eastAsia"/>
          <w:highlight w:val="none"/>
        </w:rPr>
        <w:t>编写遵循</w:t>
      </w:r>
      <w:r>
        <w:rPr>
          <w:highlight w:val="none"/>
        </w:rPr>
        <w:t>GB/T 1.1-2020</w:t>
      </w:r>
      <w:r>
        <w:rPr>
          <w:rFonts w:hint="eastAsia"/>
          <w:highlight w:val="none"/>
        </w:rPr>
        <w:t>和</w:t>
      </w:r>
      <w:r>
        <w:rPr>
          <w:highlight w:val="none"/>
        </w:rPr>
        <w:t>GB/T 1.2-2020</w:t>
      </w:r>
      <w:r>
        <w:rPr>
          <w:rFonts w:hint="eastAsia"/>
          <w:highlight w:val="none"/>
        </w:rPr>
        <w:t>等标准，确保标准的内容和结构符合规范要求。</w:t>
      </w:r>
    </w:p>
    <w:p w14:paraId="2B318941">
      <w:pPr>
        <w:pStyle w:val="55"/>
        <w:numPr>
          <w:ilvl w:val="0"/>
          <w:numId w:val="0"/>
        </w:numPr>
        <w:spacing w:before="156" w:beforeLines="50" w:after="156" w:afterLines="50"/>
        <w:rPr>
          <w:highlight w:val="none"/>
        </w:rPr>
      </w:pPr>
      <w:r>
        <w:rPr>
          <w:rFonts w:hint="eastAsia"/>
          <w:highlight w:val="none"/>
        </w:rPr>
        <w:t>2.2 一致性</w:t>
      </w:r>
    </w:p>
    <w:p w14:paraId="3B55B53D">
      <w:pPr>
        <w:pStyle w:val="35"/>
        <w:spacing w:before="78" w:after="78"/>
        <w:rPr>
          <w:highlight w:val="none"/>
        </w:rPr>
      </w:pPr>
      <w:r>
        <w:rPr>
          <w:rFonts w:hint="eastAsia"/>
          <w:highlight w:val="none"/>
        </w:rPr>
        <w:t>标准文本内部各部分之间要保持一致，使用相同的用语和术语，避免同义词的使用，确保标准的一致性。</w:t>
      </w:r>
    </w:p>
    <w:p w14:paraId="693F5842">
      <w:pPr>
        <w:pStyle w:val="55"/>
        <w:numPr>
          <w:ilvl w:val="0"/>
          <w:numId w:val="0"/>
        </w:numPr>
        <w:spacing w:before="156" w:beforeLines="50" w:after="156" w:afterLines="50"/>
        <w:rPr>
          <w:highlight w:val="none"/>
        </w:rPr>
      </w:pPr>
      <w:r>
        <w:rPr>
          <w:rFonts w:hint="eastAsia"/>
          <w:highlight w:val="none"/>
        </w:rPr>
        <w:t xml:space="preserve">2.3 </w:t>
      </w:r>
      <w:r>
        <w:rPr>
          <w:highlight w:val="none"/>
        </w:rPr>
        <w:t>开放性</w:t>
      </w:r>
    </w:p>
    <w:p w14:paraId="515E53CB">
      <w:pPr>
        <w:pStyle w:val="35"/>
        <w:spacing w:before="78" w:after="78"/>
        <w:rPr>
          <w:rFonts w:eastAsia="等线"/>
          <w:highlight w:val="none"/>
        </w:rPr>
      </w:pPr>
      <w:r>
        <w:rPr>
          <w:rFonts w:hint="eastAsia"/>
          <w:highlight w:val="none"/>
        </w:rPr>
        <w:t>标准制定过程中要保证各相关方的有效参与，通过设立规则让各方充分讨论，解决技术内容分歧</w:t>
      </w:r>
      <w:r>
        <w:rPr>
          <w:rFonts w:hint="eastAsia" w:ascii="等线" w:hAnsi="等线" w:eastAsia="等线" w:cs="MS Gothic"/>
          <w:highlight w:val="none"/>
        </w:rPr>
        <w:t>。</w:t>
      </w:r>
    </w:p>
    <w:p w14:paraId="4DC35F3E">
      <w:pPr>
        <w:pStyle w:val="55"/>
        <w:numPr>
          <w:ilvl w:val="0"/>
          <w:numId w:val="0"/>
        </w:numPr>
        <w:spacing w:before="156" w:beforeLines="50" w:after="156" w:afterLines="50"/>
        <w:rPr>
          <w:highlight w:val="none"/>
        </w:rPr>
      </w:pPr>
      <w:r>
        <w:rPr>
          <w:highlight w:val="none"/>
        </w:rPr>
        <w:t>‌</w:t>
      </w:r>
      <w:r>
        <w:rPr>
          <w:rFonts w:hint="eastAsia"/>
          <w:highlight w:val="none"/>
        </w:rPr>
        <w:t xml:space="preserve">2.4 </w:t>
      </w:r>
      <w:r>
        <w:rPr>
          <w:highlight w:val="none"/>
        </w:rPr>
        <w:t>公正性和协商一致</w:t>
      </w:r>
    </w:p>
    <w:p w14:paraId="61C6A22F">
      <w:pPr>
        <w:pStyle w:val="35"/>
        <w:spacing w:before="78" w:after="78"/>
        <w:rPr>
          <w:highlight w:val="none"/>
        </w:rPr>
      </w:pPr>
      <w:r>
        <w:rPr>
          <w:rFonts w:hint="eastAsia"/>
          <w:highlight w:val="none"/>
        </w:rPr>
        <w:t>参编单位</w:t>
      </w:r>
      <w:r>
        <w:rPr>
          <w:highlight w:val="none"/>
        </w:rPr>
        <w:t>通过协商一致的方式达成普遍同意</w:t>
      </w:r>
      <w:r>
        <w:rPr>
          <w:rFonts w:hint="eastAsia"/>
          <w:highlight w:val="none"/>
        </w:rPr>
        <w:t>。</w:t>
      </w:r>
    </w:p>
    <w:p w14:paraId="2F9707D7">
      <w:pPr>
        <w:pStyle w:val="55"/>
        <w:numPr>
          <w:ilvl w:val="0"/>
          <w:numId w:val="0"/>
        </w:numPr>
        <w:spacing w:before="156" w:beforeLines="50" w:after="156" w:afterLines="50"/>
        <w:rPr>
          <w:highlight w:val="none"/>
        </w:rPr>
      </w:pPr>
      <w:r>
        <w:rPr>
          <w:rFonts w:hint="eastAsia"/>
          <w:highlight w:val="none"/>
        </w:rPr>
        <w:t>2.5 协调性</w:t>
      </w:r>
    </w:p>
    <w:p w14:paraId="6483A862">
      <w:pPr>
        <w:pStyle w:val="35"/>
        <w:spacing w:before="78" w:after="78"/>
        <w:rPr>
          <w:highlight w:val="none"/>
        </w:rPr>
      </w:pPr>
      <w:r>
        <w:rPr>
          <w:rFonts w:hint="eastAsia" w:hAnsi="宋体" w:cs="宋体"/>
          <w:highlight w:val="none"/>
        </w:rPr>
        <w:t>标准与现行有效的文件相互协调，避免重复和不必要的差异，遵守基础标准和通用标准的规定</w:t>
      </w:r>
      <w:r>
        <w:rPr>
          <w:rFonts w:hint="eastAsia" w:ascii="等线" w:hAnsi="等线" w:eastAsia="等线" w:cs="MS Gothic"/>
          <w:highlight w:val="none"/>
        </w:rPr>
        <w:t>。</w:t>
      </w:r>
    </w:p>
    <w:p w14:paraId="4FCC2DCE">
      <w:pPr>
        <w:pStyle w:val="51"/>
        <w:spacing w:before="312" w:after="312"/>
        <w:rPr>
          <w:rFonts w:ascii="宋体" w:hAnsi="宋体"/>
          <w:szCs w:val="21"/>
          <w:highlight w:val="none"/>
        </w:rPr>
      </w:pPr>
      <w:bookmarkStart w:id="29" w:name="_Toc21642"/>
      <w:r>
        <w:rPr>
          <w:rFonts w:hint="eastAsia" w:ascii="宋体" w:hAnsi="宋体"/>
          <w:szCs w:val="21"/>
          <w:highlight w:val="none"/>
        </w:rPr>
        <w:t>3 主要工作过程</w:t>
      </w:r>
      <w:bookmarkEnd w:id="29"/>
    </w:p>
    <w:p w14:paraId="109AEAEE">
      <w:pPr>
        <w:ind w:firstLine="420" w:firstLineChars="200"/>
        <w:rPr>
          <w:rFonts w:ascii="宋体" w:hAnsi="Times New Roman"/>
          <w:kern w:val="0"/>
          <w:szCs w:val="20"/>
          <w:highlight w:val="none"/>
        </w:rPr>
      </w:pPr>
      <w:r>
        <w:rPr>
          <w:rFonts w:hint="eastAsia" w:ascii="宋体" w:hAnsi="Times New Roman"/>
          <w:kern w:val="0"/>
          <w:szCs w:val="20"/>
          <w:highlight w:val="none"/>
        </w:rPr>
        <w:t>2024年7月，</w:t>
      </w:r>
      <w:r>
        <w:rPr>
          <w:rFonts w:hint="eastAsia" w:ascii="Times New Roman" w:hAnsi="Times New Roman"/>
          <w:highlight w:val="none"/>
        </w:rPr>
        <w:t>中国电机工程学会下达标准立项通知，工作组完成项目任务书编写</w:t>
      </w:r>
      <w:r>
        <w:rPr>
          <w:rFonts w:hint="eastAsia" w:ascii="宋体" w:hAnsi="Times New Roman"/>
          <w:kern w:val="0"/>
          <w:szCs w:val="20"/>
          <w:highlight w:val="none"/>
        </w:rPr>
        <w:t>。</w:t>
      </w:r>
    </w:p>
    <w:p w14:paraId="2EA4C7A7">
      <w:pPr>
        <w:ind w:firstLine="420" w:firstLineChars="200"/>
        <w:rPr>
          <w:rFonts w:ascii="宋体" w:hAnsi="Times New Roman"/>
          <w:kern w:val="0"/>
          <w:szCs w:val="20"/>
          <w:highlight w:val="none"/>
        </w:rPr>
      </w:pPr>
      <w:r>
        <w:rPr>
          <w:rFonts w:hint="eastAsia" w:ascii="宋体" w:hAnsi="Times New Roman"/>
          <w:kern w:val="0"/>
          <w:szCs w:val="20"/>
          <w:highlight w:val="none"/>
        </w:rPr>
        <w:t>2024年8月，</w:t>
      </w:r>
      <w:r>
        <w:rPr>
          <w:rFonts w:hint="eastAsia"/>
          <w:highlight w:val="none"/>
        </w:rPr>
        <w:t>国网福建省电力有限公司电力科学研究院</w:t>
      </w:r>
      <w:r>
        <w:rPr>
          <w:rFonts w:hint="eastAsia" w:ascii="宋体" w:hAnsi="Times New Roman"/>
          <w:kern w:val="0"/>
          <w:szCs w:val="20"/>
          <w:highlight w:val="none"/>
        </w:rPr>
        <w:t>牵头</w:t>
      </w:r>
      <w:r>
        <w:rPr>
          <w:rFonts w:hint="eastAsia"/>
          <w:highlight w:val="none"/>
        </w:rPr>
        <w:t>成立了</w:t>
      </w:r>
      <w:r>
        <w:rPr>
          <w:rFonts w:hint="eastAsia" w:ascii="宋体" w:hAnsi="Times New Roman"/>
          <w:kern w:val="0"/>
          <w:szCs w:val="20"/>
          <w:highlight w:val="none"/>
        </w:rPr>
        <w:t>标准编写工作组，组织各参与单位召开了《</w:t>
      </w:r>
      <w:r>
        <w:rPr>
          <w:rFonts w:hint="eastAsia"/>
          <w:highlight w:val="none"/>
        </w:rPr>
        <w:t>配电网接地故障数据同步采集及集中研判要求</w:t>
      </w:r>
      <w:r>
        <w:rPr>
          <w:rFonts w:hint="eastAsia" w:ascii="宋体" w:hAnsi="Times New Roman"/>
          <w:kern w:val="0"/>
          <w:szCs w:val="20"/>
          <w:highlight w:val="none"/>
        </w:rPr>
        <w:t>》标准编制启动会议，讨论确定了标准编制思路和工作计划。</w:t>
      </w:r>
    </w:p>
    <w:p w14:paraId="6B363E0C">
      <w:pPr>
        <w:ind w:firstLine="420" w:firstLineChars="200"/>
        <w:rPr>
          <w:rFonts w:ascii="宋体" w:hAnsi="Times New Roman"/>
          <w:kern w:val="0"/>
          <w:szCs w:val="20"/>
          <w:highlight w:val="none"/>
        </w:rPr>
      </w:pPr>
      <w:r>
        <w:rPr>
          <w:rFonts w:hint="eastAsia" w:ascii="宋体" w:hAnsi="Times New Roman"/>
          <w:kern w:val="0"/>
          <w:szCs w:val="20"/>
          <w:highlight w:val="none"/>
        </w:rPr>
        <w:t>202</w:t>
      </w:r>
      <w:r>
        <w:rPr>
          <w:rFonts w:ascii="宋体" w:hAnsi="Times New Roman"/>
          <w:kern w:val="0"/>
          <w:szCs w:val="20"/>
          <w:highlight w:val="none"/>
        </w:rPr>
        <w:t>4</w:t>
      </w:r>
      <w:r>
        <w:rPr>
          <w:rFonts w:hint="eastAsia" w:ascii="宋体" w:hAnsi="Times New Roman"/>
          <w:kern w:val="0"/>
          <w:szCs w:val="20"/>
          <w:highlight w:val="none"/>
        </w:rPr>
        <w:t>年12月，工作组结合立项评审专家建议，开展广泛调查研究，基于配电网接地故障数据采集和集中研判需求，结合福建地区配电网接地故障处置的实践经验，全面开展标准草案的修改完善工作，形成了标准初稿。</w:t>
      </w:r>
    </w:p>
    <w:p w14:paraId="7285AFAE">
      <w:pPr>
        <w:ind w:firstLine="420" w:firstLineChars="200"/>
        <w:rPr>
          <w:rFonts w:ascii="宋体" w:hAnsi="Times New Roman"/>
          <w:kern w:val="0"/>
          <w:szCs w:val="20"/>
          <w:highlight w:val="none"/>
        </w:rPr>
      </w:pPr>
      <w:r>
        <w:rPr>
          <w:rFonts w:hint="eastAsia" w:ascii="宋体" w:hAnsi="Times New Roman"/>
          <w:kern w:val="0"/>
          <w:szCs w:val="20"/>
          <w:highlight w:val="none"/>
        </w:rPr>
        <w:t>2025年3月，工作组对标准初稿进行了内部审查，并按照审查意见修改，形成标准征求意见稿</w:t>
      </w:r>
      <w:bookmarkStart w:id="30" w:name="sys8035531"/>
      <w:r>
        <w:rPr>
          <w:rFonts w:hint="eastAsia" w:ascii="宋体" w:hAnsi="Times New Roman"/>
          <w:kern w:val="0"/>
          <w:szCs w:val="20"/>
          <w:highlight w:val="none"/>
        </w:rPr>
        <w:t>初稿。</w:t>
      </w:r>
      <w:bookmarkEnd w:id="30"/>
    </w:p>
    <w:p w14:paraId="7916D0E2">
      <w:pPr>
        <w:ind w:firstLine="420" w:firstLineChars="200"/>
        <w:rPr>
          <w:rFonts w:ascii="Times New Roman" w:hAnsi="Times New Roman"/>
          <w:color w:val="FF0000"/>
          <w:highlight w:val="none"/>
        </w:rPr>
      </w:pPr>
      <w:r>
        <w:rPr>
          <w:rFonts w:hint="eastAsia" w:ascii="宋体" w:hAnsi="Times New Roman"/>
          <w:kern w:val="0"/>
          <w:szCs w:val="20"/>
          <w:highlight w:val="none"/>
        </w:rPr>
        <w:t>2025年6月，经过编制小组和外部相关专家的反复论证和修改，向中国电机工程学会提交了标准征求意见稿，并向相关单位广泛征求意见。</w:t>
      </w:r>
    </w:p>
    <w:p w14:paraId="2B1B38DC">
      <w:pPr>
        <w:pStyle w:val="51"/>
        <w:spacing w:before="312" w:after="312"/>
        <w:rPr>
          <w:rFonts w:ascii="宋体" w:hAnsi="宋体"/>
          <w:szCs w:val="21"/>
          <w:highlight w:val="none"/>
        </w:rPr>
      </w:pPr>
      <w:bookmarkStart w:id="31" w:name="_Toc25146"/>
      <w:r>
        <w:rPr>
          <w:rFonts w:hint="eastAsia" w:ascii="宋体" w:hAnsi="宋体"/>
          <w:szCs w:val="21"/>
          <w:highlight w:val="none"/>
        </w:rPr>
        <w:t>4 标准结构和内容说明</w:t>
      </w:r>
      <w:bookmarkEnd w:id="31"/>
    </w:p>
    <w:p w14:paraId="120920E4">
      <w:pPr>
        <w:pStyle w:val="35"/>
        <w:rPr>
          <w:highlight w:val="none"/>
        </w:rPr>
      </w:pPr>
      <w:r>
        <w:rPr>
          <w:highlight w:val="none"/>
        </w:rPr>
        <w:t>本</w:t>
      </w:r>
      <w:r>
        <w:rPr>
          <w:rFonts w:hint="eastAsia"/>
          <w:highlight w:val="none"/>
        </w:rPr>
        <w:t>文件</w:t>
      </w:r>
      <w:r>
        <w:rPr>
          <w:highlight w:val="none"/>
        </w:rPr>
        <w:t>规定了配电网接地故障数据同步采集及集中研判的系统组成、功能要求、性能要求、功能试验。</w:t>
      </w:r>
    </w:p>
    <w:p w14:paraId="3AA7B72D">
      <w:pPr>
        <w:pStyle w:val="35"/>
        <w:rPr>
          <w:highlight w:val="none"/>
        </w:rPr>
      </w:pPr>
      <w:r>
        <w:rPr>
          <w:highlight w:val="none"/>
        </w:rPr>
        <w:t>本</w:t>
      </w:r>
      <w:r>
        <w:rPr>
          <w:rFonts w:hint="eastAsia"/>
          <w:highlight w:val="none"/>
        </w:rPr>
        <w:t>文件</w:t>
      </w:r>
      <w:r>
        <w:rPr>
          <w:highlight w:val="none"/>
        </w:rPr>
        <w:t>适用于</w:t>
      </w:r>
      <w:r>
        <w:rPr>
          <w:rFonts w:ascii="Times New Roman"/>
          <w:highlight w:val="none"/>
        </w:rPr>
        <w:t>6~35kV配电网接地故障数据同步采集及集中研判系统，可作为产品的研制、生产和检验的依据标准</w:t>
      </w:r>
      <w:r>
        <w:rPr>
          <w:highlight w:val="none"/>
        </w:rPr>
        <w:t>。</w:t>
      </w:r>
    </w:p>
    <w:p w14:paraId="1AFC9363">
      <w:pPr>
        <w:pStyle w:val="35"/>
        <w:rPr>
          <w:highlight w:val="none"/>
        </w:rPr>
      </w:pPr>
      <w:r>
        <w:rPr>
          <w:rFonts w:hint="eastAsia"/>
          <w:highlight w:val="none"/>
        </w:rPr>
        <w:t>文件的主要结构和内容如下：</w:t>
      </w:r>
    </w:p>
    <w:p w14:paraId="70F184DA">
      <w:pPr>
        <w:pStyle w:val="66"/>
        <w:ind w:firstLineChars="0"/>
        <w:rPr>
          <w:rFonts w:ascii="Times New Roman" w:hAnsi="Times New Roman"/>
          <w:highlight w:val="none"/>
        </w:rPr>
      </w:pPr>
      <w:r>
        <w:rPr>
          <w:rFonts w:hint="eastAsia" w:ascii="Times New Roman" w:hAnsi="Times New Roman"/>
          <w:highlight w:val="none"/>
        </w:rPr>
        <w:t>1）范围</w:t>
      </w:r>
      <w:bookmarkStart w:id="32" w:name="pindex806"/>
      <w:bookmarkEnd w:id="32"/>
    </w:p>
    <w:p w14:paraId="2BDA4E4F">
      <w:pPr>
        <w:pStyle w:val="66"/>
        <w:ind w:firstLineChars="0"/>
        <w:rPr>
          <w:rFonts w:ascii="Times New Roman" w:hAnsi="Times New Roman"/>
          <w:highlight w:val="none"/>
        </w:rPr>
      </w:pPr>
      <w:r>
        <w:rPr>
          <w:rFonts w:hint="eastAsia" w:ascii="Times New Roman" w:hAnsi="Times New Roman"/>
          <w:highlight w:val="none"/>
        </w:rPr>
        <w:t>2）规范性引用文件</w:t>
      </w:r>
      <w:bookmarkStart w:id="33" w:name="pindex807"/>
      <w:bookmarkEnd w:id="33"/>
    </w:p>
    <w:p w14:paraId="1E5BCC77">
      <w:pPr>
        <w:pStyle w:val="66"/>
        <w:ind w:firstLineChars="0"/>
        <w:rPr>
          <w:rFonts w:ascii="Times New Roman" w:hAnsi="Times New Roman"/>
          <w:highlight w:val="none"/>
        </w:rPr>
      </w:pPr>
      <w:r>
        <w:rPr>
          <w:rFonts w:hint="eastAsia" w:ascii="Times New Roman" w:hAnsi="Times New Roman"/>
          <w:highlight w:val="none"/>
        </w:rPr>
        <w:t>3）术语和定义</w:t>
      </w:r>
      <w:bookmarkStart w:id="34" w:name="pindex808"/>
      <w:bookmarkEnd w:id="34"/>
    </w:p>
    <w:p w14:paraId="662E2532">
      <w:pPr>
        <w:pStyle w:val="66"/>
        <w:ind w:firstLineChars="0"/>
        <w:rPr>
          <w:rFonts w:ascii="Times New Roman" w:hAnsi="Times New Roman"/>
          <w:highlight w:val="none"/>
        </w:rPr>
      </w:pPr>
      <w:r>
        <w:rPr>
          <w:rFonts w:hint="eastAsia" w:ascii="Times New Roman" w:hAnsi="Times New Roman"/>
          <w:highlight w:val="none"/>
        </w:rPr>
        <w:t>4）</w:t>
      </w:r>
      <w:bookmarkStart w:id="35" w:name="pindex809"/>
      <w:bookmarkEnd w:id="35"/>
      <w:r>
        <w:rPr>
          <w:rFonts w:hint="eastAsia" w:ascii="Times New Roman" w:hAnsi="Times New Roman"/>
          <w:highlight w:val="none"/>
        </w:rPr>
        <w:t>系统组成</w:t>
      </w:r>
    </w:p>
    <w:p w14:paraId="562864A0">
      <w:pPr>
        <w:pStyle w:val="66"/>
        <w:ind w:firstLineChars="0"/>
        <w:rPr>
          <w:rFonts w:ascii="Times New Roman" w:hAnsi="Times New Roman"/>
          <w:highlight w:val="none"/>
        </w:rPr>
      </w:pPr>
      <w:r>
        <w:rPr>
          <w:rFonts w:hint="eastAsia" w:ascii="Times New Roman" w:hAnsi="Times New Roman"/>
          <w:highlight w:val="none"/>
        </w:rPr>
        <w:t>5）</w:t>
      </w:r>
      <w:bookmarkStart w:id="36" w:name="pindex810"/>
      <w:bookmarkEnd w:id="36"/>
      <w:r>
        <w:rPr>
          <w:rFonts w:hint="eastAsia" w:ascii="Times New Roman" w:hAnsi="Times New Roman"/>
          <w:highlight w:val="none"/>
        </w:rPr>
        <w:t>功能要求</w:t>
      </w:r>
    </w:p>
    <w:p w14:paraId="55D2A497">
      <w:pPr>
        <w:pStyle w:val="66"/>
        <w:ind w:firstLineChars="0"/>
        <w:rPr>
          <w:rFonts w:ascii="Times New Roman" w:hAnsi="Times New Roman"/>
          <w:highlight w:val="none"/>
        </w:rPr>
      </w:pPr>
      <w:r>
        <w:rPr>
          <w:rFonts w:hint="eastAsia" w:ascii="Times New Roman" w:hAnsi="Times New Roman"/>
          <w:highlight w:val="none"/>
        </w:rPr>
        <w:t>6）</w:t>
      </w:r>
      <w:bookmarkStart w:id="37" w:name="pindex811"/>
      <w:bookmarkEnd w:id="37"/>
      <w:r>
        <w:rPr>
          <w:rFonts w:hint="eastAsia" w:ascii="Times New Roman" w:hAnsi="Times New Roman"/>
          <w:highlight w:val="none"/>
        </w:rPr>
        <w:t>性能要求</w:t>
      </w:r>
    </w:p>
    <w:p w14:paraId="495F505E">
      <w:pPr>
        <w:pStyle w:val="54"/>
        <w:rPr>
          <w:highlight w:val="none"/>
        </w:rPr>
      </w:pPr>
      <w:r>
        <w:rPr>
          <w:rFonts w:hint="eastAsia"/>
          <w:highlight w:val="none"/>
        </w:rPr>
        <w:t>7）功能试验</w:t>
      </w:r>
    </w:p>
    <w:p w14:paraId="3FBE2678">
      <w:pPr>
        <w:pStyle w:val="51"/>
        <w:spacing w:before="312" w:after="312"/>
        <w:rPr>
          <w:highlight w:val="none"/>
        </w:rPr>
      </w:pPr>
      <w:bookmarkStart w:id="38" w:name="_Toc13751"/>
      <w:r>
        <w:rPr>
          <w:rFonts w:hint="eastAsia" w:ascii="宋体" w:hAnsi="宋体"/>
          <w:szCs w:val="21"/>
          <w:highlight w:val="none"/>
        </w:rPr>
        <w:t>5相关</w:t>
      </w:r>
      <w:r>
        <w:rPr>
          <w:rFonts w:hint="eastAsia"/>
          <w:highlight w:val="none"/>
        </w:rPr>
        <w:t>标准对比说明</w:t>
      </w:r>
      <w:bookmarkEnd w:id="38"/>
    </w:p>
    <w:p w14:paraId="0651B619">
      <w:pPr>
        <w:pStyle w:val="67"/>
        <w:rPr>
          <w:highlight w:val="none"/>
        </w:rPr>
      </w:pPr>
      <w:r>
        <w:rPr>
          <w:rFonts w:hint="eastAsia"/>
          <w:highlight w:val="none"/>
        </w:rPr>
        <w:t>《</w:t>
      </w:r>
      <w:r>
        <w:rPr>
          <w:rFonts w:ascii="Times New Roman"/>
          <w:highlight w:val="none"/>
        </w:rPr>
        <w:t>GB/T 14598.24-2017 量度继电器和保护装置 第24部分：电力系统暂态数据交换(COMTRADE)通用格式</w:t>
      </w:r>
      <w:r>
        <w:rPr>
          <w:rFonts w:hint="eastAsia"/>
          <w:highlight w:val="none"/>
        </w:rPr>
        <w:t>》标准定义了从电力系统或电力系统模型获得的暂态波形及事件的数据文件，包含了文件与数据存储、C</w:t>
      </w:r>
      <w:r>
        <w:rPr>
          <w:highlight w:val="none"/>
        </w:rPr>
        <w:t>OMTRADE文件、头文件、配置文件、数据文件和信息文件</w:t>
      </w:r>
      <w:r>
        <w:rPr>
          <w:rFonts w:hint="eastAsia"/>
          <w:highlight w:val="none"/>
        </w:rPr>
        <w:t>。</w:t>
      </w:r>
    </w:p>
    <w:p w14:paraId="48CF8500">
      <w:pPr>
        <w:pStyle w:val="67"/>
        <w:rPr>
          <w:rFonts w:hint="eastAsia" w:ascii="Times New Roman"/>
          <w:highlight w:val="none"/>
        </w:rPr>
      </w:pPr>
      <w:r>
        <w:rPr>
          <w:rFonts w:hint="eastAsia"/>
          <w:highlight w:val="none"/>
        </w:rPr>
        <w:t>《</w:t>
      </w:r>
      <w:r>
        <w:rPr>
          <w:rFonts w:ascii="Times New Roman"/>
          <w:highlight w:val="none"/>
        </w:rPr>
        <w:t>GBT 26862-2011 电力系统同步相量测量装置检测规范</w:t>
      </w:r>
      <w:r>
        <w:rPr>
          <w:rFonts w:hint="eastAsia"/>
          <w:highlight w:val="none"/>
        </w:rPr>
        <w:t>》标准规定了电力系统同步相量测量装置检测项目、检测方法、检测结果的判定方法。</w:t>
      </w:r>
    </w:p>
    <w:p w14:paraId="226503DF">
      <w:pPr>
        <w:pStyle w:val="35"/>
        <w:rPr>
          <w:highlight w:val="none"/>
        </w:rPr>
      </w:pPr>
      <w:r>
        <w:rPr>
          <w:highlight w:val="none"/>
        </w:rPr>
        <w:t>本</w:t>
      </w:r>
      <w:r>
        <w:rPr>
          <w:rFonts w:hint="eastAsia"/>
          <w:highlight w:val="none"/>
        </w:rPr>
        <w:t>文件</w:t>
      </w:r>
      <w:r>
        <w:rPr>
          <w:highlight w:val="none"/>
        </w:rPr>
        <w:t>规定了配电网接地故障数据同步采集及集中研判技术的系统组成、功能要求、性能要求和功能试验。</w:t>
      </w:r>
    </w:p>
    <w:p w14:paraId="05937A8F">
      <w:pPr>
        <w:pStyle w:val="35"/>
        <w:rPr>
          <w:highlight w:val="none"/>
        </w:rPr>
      </w:pPr>
      <w:r>
        <w:rPr>
          <w:rFonts w:hint="eastAsia"/>
          <w:highlight w:val="none"/>
        </w:rPr>
        <w:t>相比与</w:t>
      </w:r>
      <w:r>
        <w:rPr>
          <w:rFonts w:ascii="Times New Roman"/>
          <w:highlight w:val="none"/>
        </w:rPr>
        <w:t>GB/T 14598.24-2017和GBT 26862-2011</w:t>
      </w:r>
      <w:r>
        <w:rPr>
          <w:rFonts w:hint="eastAsia"/>
          <w:highlight w:val="none"/>
        </w:rPr>
        <w:t>标准文件，本标准有更明确的故障处置要求，聚焦配电网接地故障数据要求和集中研判技术要点，并通过量化故障数据同步采集指标和集中研判功能、性能要求，在实际应用过程中具有明确的指导性。</w:t>
      </w:r>
    </w:p>
    <w:p w14:paraId="76FA4B43">
      <w:pPr>
        <w:pStyle w:val="51"/>
        <w:spacing w:before="312" w:after="312"/>
        <w:rPr>
          <w:rFonts w:ascii="宋体" w:hAnsi="宋体"/>
          <w:szCs w:val="21"/>
          <w:highlight w:val="none"/>
        </w:rPr>
      </w:pPr>
      <w:bookmarkStart w:id="39" w:name="_Toc15428"/>
      <w:r>
        <w:rPr>
          <w:rFonts w:hint="eastAsia" w:ascii="宋体" w:hAnsi="宋体"/>
          <w:szCs w:val="21"/>
          <w:highlight w:val="none"/>
        </w:rPr>
        <w:t>6标准实施措施说明</w:t>
      </w:r>
      <w:bookmarkEnd w:id="39"/>
    </w:p>
    <w:p w14:paraId="2A6E6A04">
      <w:pPr>
        <w:rPr>
          <w:rFonts w:ascii="黑体" w:hAnsi="黑体" w:eastAsia="黑体" w:cs="黑体"/>
          <w:highlight w:val="none"/>
        </w:rPr>
      </w:pPr>
      <w:r>
        <w:rPr>
          <w:rFonts w:hint="eastAsia" w:ascii="黑体" w:hAnsi="黑体" w:eastAsia="黑体" w:cs="黑体"/>
          <w:highlight w:val="none"/>
        </w:rPr>
        <w:t>6.1 设备厂商</w:t>
      </w:r>
    </w:p>
    <w:p w14:paraId="4E4743F9">
      <w:pPr>
        <w:pStyle w:val="35"/>
        <w:rPr>
          <w:highlight w:val="none"/>
        </w:rPr>
      </w:pPr>
      <w:r>
        <w:rPr>
          <w:rFonts w:hint="eastAsia"/>
          <w:highlight w:val="none"/>
        </w:rPr>
        <w:t>设备厂商可通过配电网接地故障数据同步采集及集中研判技术要求掌握单个设备在配电网接地故障处置流程中所处作用，并通过改进生成录波机制，提高设备接地故障录波数据对集中研判的利用率。</w:t>
      </w:r>
    </w:p>
    <w:p w14:paraId="447283D1">
      <w:pPr>
        <w:rPr>
          <w:rFonts w:ascii="黑体" w:hAnsi="黑体" w:eastAsia="黑体" w:cs="黑体"/>
          <w:highlight w:val="none"/>
        </w:rPr>
      </w:pPr>
      <w:r>
        <w:rPr>
          <w:rFonts w:hint="eastAsia" w:ascii="黑体" w:hAnsi="黑体" w:eastAsia="黑体" w:cs="黑体"/>
          <w:highlight w:val="none"/>
        </w:rPr>
        <w:t>6.2 主站厂商</w:t>
      </w:r>
    </w:p>
    <w:p w14:paraId="166122C9">
      <w:pPr>
        <w:pStyle w:val="35"/>
        <w:rPr>
          <w:highlight w:val="none"/>
        </w:rPr>
      </w:pPr>
      <w:r>
        <w:rPr>
          <w:rFonts w:hint="eastAsia"/>
          <w:highlight w:val="none"/>
        </w:rPr>
        <w:t>主站厂商可通过配电网接地故障数据同步采集及集中研判技术要求，掌握对接地故障集中研判功能、性能要求，提升配电网接地故障集中研判的水平。</w:t>
      </w:r>
    </w:p>
    <w:p w14:paraId="2F90D608">
      <w:pPr>
        <w:rPr>
          <w:rFonts w:ascii="黑体" w:hAnsi="黑体" w:eastAsia="黑体" w:cs="黑体"/>
          <w:highlight w:val="none"/>
        </w:rPr>
      </w:pPr>
      <w:r>
        <w:rPr>
          <w:rFonts w:hint="eastAsia" w:ascii="黑体" w:hAnsi="黑体" w:eastAsia="黑体" w:cs="黑体"/>
          <w:highlight w:val="none"/>
        </w:rPr>
        <w:t>6.3 电网企业</w:t>
      </w:r>
    </w:p>
    <w:p w14:paraId="7F86740D">
      <w:pPr>
        <w:pStyle w:val="35"/>
        <w:rPr>
          <w:highlight w:val="none"/>
        </w:rPr>
      </w:pPr>
      <w:r>
        <w:rPr>
          <w:rFonts w:hint="eastAsia"/>
          <w:highlight w:val="none"/>
        </w:rPr>
        <w:t>电网企业可通过配电网接地故障数据同步采集及集中研判技术要求，精准把控配电网接地故障特性，为电网调度和运维提供数据支撑，提升电网故障处置的能力。</w:t>
      </w:r>
    </w:p>
    <w:p w14:paraId="00877CF9">
      <w:pPr>
        <w:pStyle w:val="35"/>
        <w:tabs>
          <w:tab w:val="clear" w:pos="4201"/>
          <w:tab w:val="clear" w:pos="9298"/>
        </w:tabs>
        <w:spacing w:line="360" w:lineRule="auto"/>
        <w:jc w:val="left"/>
        <w:rPr>
          <w:highlight w:val="none"/>
        </w:rPr>
      </w:pPr>
      <w:r>
        <w:rPr>
          <w:rFonts w:hint="eastAsia" w:ascii="Times New Roman"/>
          <w:szCs w:val="21"/>
          <w:highlight w:val="none"/>
        </w:rPr>
        <w:t xml:space="preserve">  </w:t>
      </w:r>
    </w:p>
    <w:bookmarkEnd w:id="40"/>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C75B">
    <w:pPr>
      <w:pStyle w:val="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B18C">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FDDD">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344A3">
                          <w:pPr>
                            <w:pStyle w:val="9"/>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72344A3">
                    <w:pPr>
                      <w:pStyle w:val="9"/>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14:paraId="4DBAC8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5415">
    <w:pPr>
      <w:pStyle w:val="36"/>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ABBF">
    <w:pPr>
      <w:pStyle w:val="36"/>
      <w:wordWrap w:val="0"/>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0AF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7"/>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63"/>
      <w:suff w:val="space"/>
      <w:lvlText w:val="%1"/>
      <w:lvlJc w:val="left"/>
      <w:pPr>
        <w:ind w:left="0" w:firstLine="0"/>
      </w:pPr>
      <w:rPr>
        <w:rFonts w:hint="eastAsia"/>
        <w:color w:val="FFFFFF"/>
        <w:sz w:val="2"/>
      </w:rPr>
    </w:lvl>
    <w:lvl w:ilvl="1" w:tentative="0">
      <w:start w:val="1"/>
      <w:numFmt w:val="decimal"/>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2C5917C3"/>
    <w:multiLevelType w:val="multilevel"/>
    <w:tmpl w:val="2C5917C3"/>
    <w:lvl w:ilvl="0" w:tentative="0">
      <w:start w:val="1"/>
      <w:numFmt w:val="none"/>
      <w:pStyle w:val="59"/>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0B55DC2"/>
    <w:multiLevelType w:val="multilevel"/>
    <w:tmpl w:val="60B55DC2"/>
    <w:lvl w:ilvl="0" w:tentative="0">
      <w:start w:val="1"/>
      <w:numFmt w:val="upperLetter"/>
      <w:pStyle w:val="50"/>
      <w:lvlText w:val="%1"/>
      <w:lvlJc w:val="left"/>
      <w:pPr>
        <w:tabs>
          <w:tab w:val="left" w:pos="0"/>
        </w:tabs>
        <w:ind w:left="0" w:firstLine="0"/>
      </w:pPr>
      <w:rPr>
        <w:rFonts w:hint="eastAsia"/>
        <w:color w:val="FFFFFF"/>
        <w:sz w:val="2"/>
      </w:rPr>
    </w:lvl>
    <w:lvl w:ilvl="1" w:tentative="0">
      <w:start w:val="1"/>
      <w:numFmt w:val="decimal"/>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tentative="0">
      <w:start w:val="1"/>
      <w:numFmt w:val="upperLetter"/>
      <w:pStyle w:val="4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001D4D34"/>
    <w:rsid w:val="000029C5"/>
    <w:rsid w:val="00016764"/>
    <w:rsid w:val="000307A1"/>
    <w:rsid w:val="00050379"/>
    <w:rsid w:val="000B475C"/>
    <w:rsid w:val="000B6578"/>
    <w:rsid w:val="00106B59"/>
    <w:rsid w:val="0010708C"/>
    <w:rsid w:val="001741DB"/>
    <w:rsid w:val="0018274C"/>
    <w:rsid w:val="00186747"/>
    <w:rsid w:val="001A46C5"/>
    <w:rsid w:val="001A4BB7"/>
    <w:rsid w:val="001C296E"/>
    <w:rsid w:val="001C2C54"/>
    <w:rsid w:val="001D4D34"/>
    <w:rsid w:val="001F0C68"/>
    <w:rsid w:val="001F553B"/>
    <w:rsid w:val="0021442C"/>
    <w:rsid w:val="0023126C"/>
    <w:rsid w:val="002400D2"/>
    <w:rsid w:val="00247103"/>
    <w:rsid w:val="00264C77"/>
    <w:rsid w:val="00294E81"/>
    <w:rsid w:val="00305D44"/>
    <w:rsid w:val="00320884"/>
    <w:rsid w:val="0035792A"/>
    <w:rsid w:val="003830BE"/>
    <w:rsid w:val="00390EE5"/>
    <w:rsid w:val="003E04D4"/>
    <w:rsid w:val="003F683B"/>
    <w:rsid w:val="003F728B"/>
    <w:rsid w:val="00430581"/>
    <w:rsid w:val="004503D6"/>
    <w:rsid w:val="00457477"/>
    <w:rsid w:val="004B00B2"/>
    <w:rsid w:val="004D422C"/>
    <w:rsid w:val="005109DE"/>
    <w:rsid w:val="00514B31"/>
    <w:rsid w:val="005354E3"/>
    <w:rsid w:val="00536D89"/>
    <w:rsid w:val="00547422"/>
    <w:rsid w:val="00560051"/>
    <w:rsid w:val="00567C1C"/>
    <w:rsid w:val="0057765D"/>
    <w:rsid w:val="005A10F9"/>
    <w:rsid w:val="005A5D7A"/>
    <w:rsid w:val="005F736F"/>
    <w:rsid w:val="006112DA"/>
    <w:rsid w:val="00644088"/>
    <w:rsid w:val="00656DF6"/>
    <w:rsid w:val="00656E23"/>
    <w:rsid w:val="00681C85"/>
    <w:rsid w:val="006A6D8D"/>
    <w:rsid w:val="006D50BD"/>
    <w:rsid w:val="006D758A"/>
    <w:rsid w:val="006E4C3B"/>
    <w:rsid w:val="006E5F2D"/>
    <w:rsid w:val="006F5A44"/>
    <w:rsid w:val="00705284"/>
    <w:rsid w:val="00752C39"/>
    <w:rsid w:val="00766FB4"/>
    <w:rsid w:val="00791ADA"/>
    <w:rsid w:val="007A77E3"/>
    <w:rsid w:val="007B2737"/>
    <w:rsid w:val="007E3428"/>
    <w:rsid w:val="007F30CA"/>
    <w:rsid w:val="00801778"/>
    <w:rsid w:val="008050C3"/>
    <w:rsid w:val="00806B9E"/>
    <w:rsid w:val="008137BF"/>
    <w:rsid w:val="0086068B"/>
    <w:rsid w:val="00870975"/>
    <w:rsid w:val="00890058"/>
    <w:rsid w:val="008D4D71"/>
    <w:rsid w:val="008E5570"/>
    <w:rsid w:val="008F287C"/>
    <w:rsid w:val="008F60F3"/>
    <w:rsid w:val="009269CC"/>
    <w:rsid w:val="009375BB"/>
    <w:rsid w:val="00964128"/>
    <w:rsid w:val="00984794"/>
    <w:rsid w:val="009A3DC7"/>
    <w:rsid w:val="009F6BFC"/>
    <w:rsid w:val="00A129F4"/>
    <w:rsid w:val="00A45283"/>
    <w:rsid w:val="00A53DF5"/>
    <w:rsid w:val="00A80431"/>
    <w:rsid w:val="00AA1EC4"/>
    <w:rsid w:val="00AD321C"/>
    <w:rsid w:val="00AF1819"/>
    <w:rsid w:val="00B1457B"/>
    <w:rsid w:val="00B2672D"/>
    <w:rsid w:val="00B52607"/>
    <w:rsid w:val="00B94C71"/>
    <w:rsid w:val="00B9701B"/>
    <w:rsid w:val="00BB7B87"/>
    <w:rsid w:val="00BC337C"/>
    <w:rsid w:val="00BD3DA7"/>
    <w:rsid w:val="00BD4BB1"/>
    <w:rsid w:val="00BD7943"/>
    <w:rsid w:val="00BF3DA3"/>
    <w:rsid w:val="00C36E76"/>
    <w:rsid w:val="00C43C7A"/>
    <w:rsid w:val="00CA03D6"/>
    <w:rsid w:val="00CA67D7"/>
    <w:rsid w:val="00CB0668"/>
    <w:rsid w:val="00CC4834"/>
    <w:rsid w:val="00CF40C3"/>
    <w:rsid w:val="00D51130"/>
    <w:rsid w:val="00DC114C"/>
    <w:rsid w:val="00DD5590"/>
    <w:rsid w:val="00E020A8"/>
    <w:rsid w:val="00E11A6E"/>
    <w:rsid w:val="00E54418"/>
    <w:rsid w:val="00E62369"/>
    <w:rsid w:val="00E7646D"/>
    <w:rsid w:val="00EA4457"/>
    <w:rsid w:val="00EA4720"/>
    <w:rsid w:val="00EC20B7"/>
    <w:rsid w:val="00EE1AFE"/>
    <w:rsid w:val="00F041AA"/>
    <w:rsid w:val="00F11837"/>
    <w:rsid w:val="00F30766"/>
    <w:rsid w:val="00F33585"/>
    <w:rsid w:val="00F52815"/>
    <w:rsid w:val="00F713EE"/>
    <w:rsid w:val="00FF6C28"/>
    <w:rsid w:val="072B5A55"/>
    <w:rsid w:val="10245F02"/>
    <w:rsid w:val="12EA1DE5"/>
    <w:rsid w:val="12EF7EDF"/>
    <w:rsid w:val="131C1B91"/>
    <w:rsid w:val="13586884"/>
    <w:rsid w:val="14EF46DF"/>
    <w:rsid w:val="151417DA"/>
    <w:rsid w:val="18343536"/>
    <w:rsid w:val="193F0930"/>
    <w:rsid w:val="23CB6EE2"/>
    <w:rsid w:val="250A35F8"/>
    <w:rsid w:val="26B92668"/>
    <w:rsid w:val="26EB3904"/>
    <w:rsid w:val="2A4751E2"/>
    <w:rsid w:val="2BEF1858"/>
    <w:rsid w:val="2DF0478A"/>
    <w:rsid w:val="308C2661"/>
    <w:rsid w:val="374970B3"/>
    <w:rsid w:val="3B255741"/>
    <w:rsid w:val="3C346376"/>
    <w:rsid w:val="3EE319C4"/>
    <w:rsid w:val="43244B6C"/>
    <w:rsid w:val="43BA29DA"/>
    <w:rsid w:val="47B74924"/>
    <w:rsid w:val="4A617BB2"/>
    <w:rsid w:val="56E85B49"/>
    <w:rsid w:val="581E19BA"/>
    <w:rsid w:val="594B5E19"/>
    <w:rsid w:val="5B1C7CE6"/>
    <w:rsid w:val="5B524A14"/>
    <w:rsid w:val="5B814BED"/>
    <w:rsid w:val="5C125DFC"/>
    <w:rsid w:val="5D345D7F"/>
    <w:rsid w:val="5EC34DD2"/>
    <w:rsid w:val="619E72E2"/>
    <w:rsid w:val="696E178E"/>
    <w:rsid w:val="6FB3769C"/>
    <w:rsid w:val="717F6A43"/>
    <w:rsid w:val="7185070D"/>
    <w:rsid w:val="72E47108"/>
    <w:rsid w:val="735105F2"/>
    <w:rsid w:val="7509519E"/>
    <w:rsid w:val="78B33DB1"/>
    <w:rsid w:val="7ABA21C5"/>
    <w:rsid w:val="7BF85F7F"/>
    <w:rsid w:val="7C2B47A6"/>
    <w:rsid w:val="7DDF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locked/>
    <w:uiPriority w:val="9"/>
    <w:pPr>
      <w:keepNext/>
      <w:keepLines/>
      <w:spacing w:before="340" w:after="330" w:line="578" w:lineRule="auto"/>
      <w:outlineLvl w:val="0"/>
    </w:pPr>
    <w:rPr>
      <w:rFonts w:ascii="Times New Roman" w:hAnsi="Times New Roman"/>
      <w:b/>
      <w:bCs/>
      <w:kern w:val="44"/>
      <w:sz w:val="44"/>
      <w:szCs w:val="4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ody Text"/>
    <w:basedOn w:val="1"/>
    <w:link w:val="28"/>
    <w:unhideWhenUsed/>
    <w:qFormat/>
    <w:uiPriority w:val="99"/>
    <w:pPr>
      <w:spacing w:after="120"/>
    </w:pPr>
    <w:rPr>
      <w:rFonts w:ascii="Times New Roman" w:hAnsi="Times New Roman"/>
      <w:szCs w:val="20"/>
    </w:rPr>
  </w:style>
  <w:style w:type="paragraph" w:styleId="5">
    <w:name w:val="toc 3"/>
    <w:basedOn w:val="6"/>
    <w:next w:val="1"/>
    <w:qFormat/>
    <w:locked/>
    <w:uiPriority w:val="39"/>
    <w:pPr>
      <w:tabs>
        <w:tab w:val="right" w:leader="dot" w:pos="9241"/>
      </w:tabs>
      <w:ind w:left="100" w:leftChars="100"/>
    </w:pPr>
  </w:style>
  <w:style w:type="paragraph" w:styleId="6">
    <w:name w:val="toc 2"/>
    <w:basedOn w:val="7"/>
    <w:next w:val="1"/>
    <w:qFormat/>
    <w:locked/>
    <w:uiPriority w:val="39"/>
    <w:pPr>
      <w:tabs>
        <w:tab w:val="right" w:leader="dot" w:pos="9241"/>
      </w:tabs>
    </w:pPr>
  </w:style>
  <w:style w:type="paragraph" w:styleId="7">
    <w:name w:val="toc 1"/>
    <w:basedOn w:val="1"/>
    <w:next w:val="1"/>
    <w:qFormat/>
    <w:locked/>
    <w:uiPriority w:val="39"/>
    <w:pPr>
      <w:tabs>
        <w:tab w:val="right" w:leader="dot" w:pos="9241"/>
      </w:tabs>
      <w:spacing w:before="25" w:beforeLines="25" w:after="25" w:afterLines="25"/>
      <w:jc w:val="left"/>
    </w:pPr>
    <w:rPr>
      <w:rFonts w:ascii="宋体" w:hAnsi="Times New Roman"/>
      <w:szCs w:val="21"/>
    </w:rPr>
  </w:style>
  <w:style w:type="paragraph" w:styleId="8">
    <w:name w:val="Balloon Text"/>
    <w:basedOn w:val="1"/>
    <w:link w:val="22"/>
    <w:qFormat/>
    <w:uiPriority w:val="99"/>
    <w:rPr>
      <w:kern w:val="0"/>
      <w:sz w:val="18"/>
      <w:szCs w:val="18"/>
    </w:rPr>
  </w:style>
  <w:style w:type="paragraph" w:styleId="9">
    <w:name w:val="footer"/>
    <w:basedOn w:val="1"/>
    <w:link w:val="23"/>
    <w:qFormat/>
    <w:uiPriority w:val="99"/>
    <w:pPr>
      <w:tabs>
        <w:tab w:val="center" w:pos="4153"/>
        <w:tab w:val="right" w:pos="8306"/>
      </w:tabs>
      <w:snapToGrid w:val="0"/>
      <w:jc w:val="left"/>
    </w:pPr>
    <w:rPr>
      <w:kern w:val="0"/>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5"/>
    <w:qFormat/>
    <w:locked/>
    <w:uiPriority w:val="0"/>
    <w:pPr>
      <w:spacing w:before="240" w:after="60"/>
      <w:jc w:val="center"/>
      <w:outlineLvl w:val="0"/>
    </w:pPr>
    <w:rPr>
      <w:rFonts w:ascii="Cambria" w:hAnsi="Cambria"/>
      <w:b/>
      <w:bCs/>
      <w:sz w:val="32"/>
      <w:szCs w:val="32"/>
    </w:rPr>
  </w:style>
  <w:style w:type="paragraph" w:styleId="13">
    <w:name w:val="annotation subject"/>
    <w:basedOn w:val="3"/>
    <w:next w:val="3"/>
    <w:link w:val="21"/>
    <w:unhideWhenUsed/>
    <w:qFormat/>
    <w:uiPriority w:val="99"/>
    <w:rPr>
      <w:b/>
      <w:bCs/>
    </w:rPr>
  </w:style>
  <w:style w:type="character" w:styleId="16">
    <w:name w:val="page number"/>
    <w:qFormat/>
    <w:uiPriority w:val="0"/>
    <w:rPr>
      <w:rFonts w:ascii="Times New Roman" w:hAnsi="Times New Roman" w:eastAsia="宋体"/>
      <w:sz w:val="18"/>
    </w:rPr>
  </w:style>
  <w:style w:type="character" w:styleId="17">
    <w:name w:val="Hyperlink"/>
    <w:qFormat/>
    <w:uiPriority w:val="99"/>
    <w:rPr>
      <w:rFonts w:cs="Times New Roman"/>
      <w:color w:val="0563C1"/>
      <w:u w:val="single"/>
    </w:rPr>
  </w:style>
  <w:style w:type="character" w:styleId="18">
    <w:name w:val="annotation reference"/>
    <w:unhideWhenUsed/>
    <w:qFormat/>
    <w:uiPriority w:val="99"/>
    <w:rPr>
      <w:sz w:val="21"/>
      <w:szCs w:val="21"/>
    </w:rPr>
  </w:style>
  <w:style w:type="character" w:customStyle="1" w:styleId="19">
    <w:name w:val="标题 1 Char"/>
    <w:basedOn w:val="15"/>
    <w:link w:val="2"/>
    <w:qFormat/>
    <w:uiPriority w:val="9"/>
    <w:rPr>
      <w:rFonts w:ascii="Times New Roman" w:hAnsi="Times New Roman" w:cs="Times New Roman"/>
      <w:b/>
      <w:bCs/>
      <w:kern w:val="44"/>
      <w:sz w:val="44"/>
      <w:szCs w:val="44"/>
    </w:rPr>
  </w:style>
  <w:style w:type="character" w:customStyle="1" w:styleId="20">
    <w:name w:val="批注文字 Char"/>
    <w:link w:val="3"/>
    <w:qFormat/>
    <w:uiPriority w:val="99"/>
    <w:rPr>
      <w:kern w:val="2"/>
      <w:sz w:val="21"/>
      <w:szCs w:val="22"/>
    </w:rPr>
  </w:style>
  <w:style w:type="character" w:customStyle="1" w:styleId="21">
    <w:name w:val="批注主题 Char"/>
    <w:link w:val="13"/>
    <w:semiHidden/>
    <w:qFormat/>
    <w:uiPriority w:val="99"/>
    <w:rPr>
      <w:b/>
      <w:bCs/>
      <w:kern w:val="2"/>
      <w:sz w:val="21"/>
      <w:szCs w:val="22"/>
    </w:rPr>
  </w:style>
  <w:style w:type="character" w:customStyle="1" w:styleId="22">
    <w:name w:val="批注框文本 Char"/>
    <w:link w:val="8"/>
    <w:semiHidden/>
    <w:qFormat/>
    <w:locked/>
    <w:uiPriority w:val="99"/>
    <w:rPr>
      <w:rFonts w:cs="Times New Roman"/>
      <w:sz w:val="18"/>
      <w:szCs w:val="18"/>
    </w:rPr>
  </w:style>
  <w:style w:type="character" w:customStyle="1" w:styleId="23">
    <w:name w:val="页脚 Char"/>
    <w:link w:val="9"/>
    <w:qFormat/>
    <w:locked/>
    <w:uiPriority w:val="99"/>
    <w:rPr>
      <w:rFonts w:ascii="Calibri" w:hAnsi="Calibri" w:eastAsia="宋体" w:cs="Times New Roman"/>
      <w:kern w:val="0"/>
      <w:sz w:val="18"/>
      <w:szCs w:val="18"/>
    </w:rPr>
  </w:style>
  <w:style w:type="character" w:customStyle="1" w:styleId="24">
    <w:name w:val="页眉 Char"/>
    <w:link w:val="10"/>
    <w:qFormat/>
    <w:locked/>
    <w:uiPriority w:val="99"/>
    <w:rPr>
      <w:rFonts w:ascii="Calibri" w:hAnsi="Calibri" w:eastAsia="宋体" w:cs="Times New Roman"/>
      <w:kern w:val="0"/>
      <w:sz w:val="18"/>
      <w:szCs w:val="18"/>
    </w:rPr>
  </w:style>
  <w:style w:type="character" w:customStyle="1" w:styleId="25">
    <w:name w:val="标题 Char"/>
    <w:link w:val="12"/>
    <w:qFormat/>
    <w:uiPriority w:val="0"/>
    <w:rPr>
      <w:rFonts w:ascii="Cambria" w:hAnsi="Cambria" w:cs="Times New Roman"/>
      <w:b/>
      <w:bCs/>
      <w:kern w:val="2"/>
      <w:sz w:val="32"/>
      <w:szCs w:val="32"/>
    </w:rPr>
  </w:style>
  <w:style w:type="paragraph" w:customStyle="1" w:styleId="26">
    <w:name w:val="列出段落1"/>
    <w:basedOn w:val="1"/>
    <w:qFormat/>
    <w:uiPriority w:val="99"/>
    <w:pPr>
      <w:widowControl/>
      <w:ind w:firstLine="420" w:firstLineChars="200"/>
      <w:jc w:val="left"/>
    </w:pPr>
    <w:rPr>
      <w:rFonts w:ascii="宋体" w:hAnsi="宋体" w:cs="宋体"/>
      <w:kern w:val="0"/>
      <w:sz w:val="24"/>
      <w:szCs w:val="24"/>
    </w:rPr>
  </w:style>
  <w:style w:type="paragraph" w:customStyle="1" w:styleId="27">
    <w:name w:val="修订1"/>
    <w:hidden/>
    <w:unhideWhenUsed/>
    <w:qFormat/>
    <w:uiPriority w:val="99"/>
    <w:rPr>
      <w:rFonts w:ascii="Calibri" w:hAnsi="Calibri" w:eastAsia="宋体" w:cs="Calibri"/>
      <w:kern w:val="2"/>
      <w:sz w:val="21"/>
      <w:szCs w:val="22"/>
      <w:lang w:val="en-US" w:eastAsia="zh-CN" w:bidi="ar-SA"/>
    </w:rPr>
  </w:style>
  <w:style w:type="character" w:customStyle="1" w:styleId="28">
    <w:name w:val="正文文本 Char"/>
    <w:basedOn w:val="15"/>
    <w:link w:val="4"/>
    <w:qFormat/>
    <w:uiPriority w:val="99"/>
    <w:rPr>
      <w:rFonts w:ascii="Times New Roman" w:hAnsi="Times New Roman" w:cs="Times New Roman"/>
      <w:kern w:val="2"/>
      <w:sz w:val="21"/>
    </w:rPr>
  </w:style>
  <w:style w:type="paragraph" w:customStyle="1" w:styleId="29">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发布GB"/>
    <w:basedOn w:val="4"/>
    <w:qFormat/>
    <w:uiPriority w:val="0"/>
    <w:pPr>
      <w:spacing w:after="0" w:line="280" w:lineRule="exact"/>
      <w:ind w:left="284"/>
    </w:pPr>
    <w:rPr>
      <w:rFonts w:ascii="黑体" w:eastAsia="黑体"/>
      <w:kern w:val="3"/>
      <w:sz w:val="28"/>
    </w:rPr>
  </w:style>
  <w:style w:type="paragraph" w:customStyle="1" w:styleId="32">
    <w:name w:val="二级无标题条"/>
    <w:basedOn w:val="33"/>
    <w:qFormat/>
    <w:uiPriority w:val="0"/>
    <w:pPr>
      <w:spacing w:before="0" w:beforeLines="0" w:after="0" w:afterLines="0"/>
    </w:pPr>
    <w:rPr>
      <w:rFonts w:eastAsia="宋体"/>
    </w:rPr>
  </w:style>
  <w:style w:type="paragraph" w:customStyle="1" w:styleId="33">
    <w:name w:val="二级条标题"/>
    <w:basedOn w:val="34"/>
    <w:next w:val="35"/>
    <w:qFormat/>
    <w:uiPriority w:val="0"/>
    <w:pPr>
      <w:numPr>
        <w:ilvl w:val="0"/>
        <w:numId w:val="0"/>
      </w:numPr>
      <w:spacing w:before="50" w:after="50"/>
      <w:ind w:left="568"/>
      <w:outlineLvl w:val="9"/>
    </w:pPr>
  </w:style>
  <w:style w:type="paragraph" w:customStyle="1" w:styleId="34">
    <w:name w:val="一级条标题"/>
    <w:next w:val="3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章标题"/>
    <w:next w:val="3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标准书眉一"/>
    <w:qFormat/>
    <w:uiPriority w:val="0"/>
    <w:pPr>
      <w:jc w:val="both"/>
    </w:pPr>
    <w:rPr>
      <w:rFonts w:ascii="Times New Roman" w:hAnsi="Times New Roman" w:eastAsia="宋体" w:cs="Times New Roman"/>
      <w:lang w:val="en-US" w:eastAsia="zh-CN" w:bidi="ar-SA"/>
    </w:rPr>
  </w:style>
  <w:style w:type="paragraph" w:customStyle="1" w:styleId="39">
    <w:name w:val="封面标准代替信息"/>
    <w:basedOn w:val="40"/>
    <w:qFormat/>
    <w:uiPriority w:val="0"/>
    <w:pPr>
      <w:spacing w:before="0" w:line="360" w:lineRule="exact"/>
    </w:pPr>
    <w:rPr>
      <w:rFonts w:hAnsi="黑体"/>
      <w:sz w:val="21"/>
    </w:rPr>
  </w:style>
  <w:style w:type="paragraph" w:customStyle="1" w:styleId="40">
    <w:name w:val="封面标准号2"/>
    <w:basedOn w:val="41"/>
    <w:qFormat/>
    <w:uiPriority w:val="0"/>
    <w:pPr>
      <w:adjustRightInd w:val="0"/>
      <w:spacing w:before="357" w:line="280" w:lineRule="exact"/>
    </w:pPr>
  </w:style>
  <w:style w:type="paragraph" w:customStyle="1" w:styleId="41">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42">
    <w:name w:val="名称"/>
    <w:basedOn w:val="43"/>
    <w:next w:val="35"/>
    <w:qFormat/>
    <w:uiPriority w:val="0"/>
    <w:pPr>
      <w:spacing w:line="460" w:lineRule="exact"/>
      <w:outlineLvl w:val="9"/>
    </w:pPr>
  </w:style>
  <w:style w:type="paragraph" w:customStyle="1" w:styleId="4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附录标识"/>
    <w:basedOn w:val="1"/>
    <w:next w:val="1"/>
    <w:qFormat/>
    <w:uiPriority w:val="0"/>
    <w:pPr>
      <w:keepNext/>
      <w:widowControl/>
      <w:numPr>
        <w:ilvl w:val="0"/>
        <w:numId w:val="2"/>
      </w:numPr>
      <w:shd w:val="clear" w:color="FFFFFF" w:fill="FFFFFF"/>
      <w:tabs>
        <w:tab w:val="left" w:pos="6405"/>
      </w:tabs>
      <w:spacing w:before="640" w:after="280"/>
      <w:jc w:val="center"/>
      <w:outlineLvl w:val="0"/>
    </w:pPr>
    <w:rPr>
      <w:rFonts w:ascii="黑体" w:hAnsi="Times New Roman" w:eastAsia="黑体"/>
      <w:kern w:val="0"/>
      <w:szCs w:val="20"/>
    </w:rPr>
  </w:style>
  <w:style w:type="paragraph" w:customStyle="1" w:styleId="45">
    <w:name w:val="一级无标题条"/>
    <w:basedOn w:val="34"/>
    <w:qFormat/>
    <w:uiPriority w:val="0"/>
    <w:pPr>
      <w:spacing w:before="0" w:beforeLines="0" w:after="0" w:afterLines="0"/>
      <w:outlineLvl w:val="9"/>
    </w:pPr>
    <w:rPr>
      <w:rFonts w:eastAsia="宋体"/>
    </w:rPr>
  </w:style>
  <w:style w:type="paragraph" w:customStyle="1" w:styleId="46">
    <w:name w:val="标准书眉_偶数页"/>
    <w:basedOn w:val="36"/>
    <w:next w:val="1"/>
    <w:qFormat/>
    <w:uiPriority w:val="0"/>
    <w:pPr>
      <w:jc w:val="left"/>
    </w:pPr>
  </w:style>
  <w:style w:type="paragraph" w:customStyle="1" w:styleId="47">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48">
    <w:name w:val="实施日期"/>
    <w:basedOn w:val="49"/>
    <w:qFormat/>
    <w:uiPriority w:val="0"/>
    <w:pPr>
      <w:jc w:val="right"/>
    </w:pPr>
  </w:style>
  <w:style w:type="paragraph" w:customStyle="1" w:styleId="49">
    <w:name w:val="发布日期"/>
    <w:qFormat/>
    <w:uiPriority w:val="0"/>
    <w:rPr>
      <w:rFonts w:ascii="黑体" w:hAnsi="黑体" w:eastAsia="黑体" w:cs="Times New Roman"/>
      <w:sz w:val="28"/>
      <w:lang w:val="en-US" w:eastAsia="zh-CN" w:bidi="ar-SA"/>
    </w:rPr>
  </w:style>
  <w:style w:type="paragraph" w:customStyle="1" w:styleId="50">
    <w:name w:val="附录表标号"/>
    <w:basedOn w:val="1"/>
    <w:next w:val="35"/>
    <w:qFormat/>
    <w:uiPriority w:val="0"/>
    <w:pPr>
      <w:numPr>
        <w:ilvl w:val="0"/>
        <w:numId w:val="3"/>
      </w:numPr>
      <w:snapToGrid w:val="0"/>
      <w:spacing w:line="14" w:lineRule="exact"/>
      <w:jc w:val="center"/>
    </w:pPr>
    <w:rPr>
      <w:rFonts w:ascii="Times New Roman" w:hAnsi="Times New Roman"/>
      <w:color w:val="FFFFFF"/>
      <w:szCs w:val="20"/>
    </w:rPr>
  </w:style>
  <w:style w:type="paragraph" w:customStyle="1" w:styleId="51">
    <w:name w:val="样式 标题 1 + 非加粗"/>
    <w:basedOn w:val="2"/>
    <w:qFormat/>
    <w:uiPriority w:val="0"/>
    <w:pPr>
      <w:spacing w:before="100" w:beforeLines="100" w:after="100" w:afterLines="100" w:line="240" w:lineRule="auto"/>
    </w:pPr>
    <w:rPr>
      <w:rFonts w:eastAsia="黑体"/>
      <w:b w:val="0"/>
      <w:bCs w:val="0"/>
      <w:sz w:val="21"/>
    </w:rPr>
  </w:style>
  <w:style w:type="paragraph" w:customStyle="1" w:styleId="52">
    <w:name w:val="目次、标准名称标题"/>
    <w:basedOn w:val="43"/>
    <w:next w:val="35"/>
    <w:qFormat/>
    <w:uiPriority w:val="0"/>
    <w:pPr>
      <w:keepNext/>
      <w:pageBreakBefore/>
      <w:spacing w:line="460" w:lineRule="exact"/>
    </w:pPr>
  </w:style>
  <w:style w:type="paragraph" w:customStyle="1" w:styleId="53">
    <w:name w:val="发布TB"/>
    <w:basedOn w:val="31"/>
    <w:qFormat/>
    <w:uiPriority w:val="0"/>
    <w:pPr>
      <w:ind w:left="567"/>
    </w:pPr>
  </w:style>
  <w:style w:type="paragraph" w:styleId="54">
    <w:name w:val="List Paragraph"/>
    <w:basedOn w:val="1"/>
    <w:qFormat/>
    <w:uiPriority w:val="34"/>
    <w:pPr>
      <w:ind w:firstLine="420" w:firstLineChars="200"/>
    </w:pPr>
  </w:style>
  <w:style w:type="paragraph" w:customStyle="1" w:styleId="55">
    <w:name w:val="附录章标题"/>
    <w:next w:val="35"/>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6">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7">
    <w:name w:val="Char"/>
    <w:basedOn w:val="1"/>
    <w:qFormat/>
    <w:uiPriority w:val="0"/>
    <w:rPr>
      <w:rFonts w:ascii="Times New Roman" w:hAnsi="Times New Roman"/>
      <w:szCs w:val="24"/>
    </w:rPr>
  </w:style>
  <w:style w:type="paragraph" w:customStyle="1" w:styleId="58">
    <w:name w:val="封面正文"/>
    <w:qFormat/>
    <w:uiPriority w:val="0"/>
    <w:pPr>
      <w:jc w:val="both"/>
    </w:pPr>
    <w:rPr>
      <w:rFonts w:ascii="Times New Roman" w:hAnsi="Times New Roman" w:eastAsia="宋体" w:cs="Times New Roman"/>
      <w:lang w:val="en-US" w:eastAsia="zh-CN" w:bidi="ar-SA"/>
    </w:rPr>
  </w:style>
  <w:style w:type="paragraph" w:customStyle="1" w:styleId="59">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2">
    <w:name w:val="ICS"/>
    <w:basedOn w:val="58"/>
    <w:qFormat/>
    <w:uiPriority w:val="0"/>
    <w:pPr>
      <w:jc w:val="left"/>
    </w:pPr>
    <w:rPr>
      <w:rFonts w:ascii="黑体" w:eastAsia="黑体"/>
      <w:sz w:val="21"/>
    </w:rPr>
  </w:style>
  <w:style w:type="paragraph" w:customStyle="1" w:styleId="63">
    <w:name w:val="附录图标号"/>
    <w:basedOn w:val="1"/>
    <w:next w:val="35"/>
    <w:qFormat/>
    <w:uiPriority w:val="0"/>
    <w:pPr>
      <w:numPr>
        <w:ilvl w:val="0"/>
        <w:numId w:val="5"/>
      </w:numPr>
      <w:snapToGrid w:val="0"/>
      <w:spacing w:line="14" w:lineRule="exact"/>
      <w:jc w:val="center"/>
    </w:pPr>
    <w:rPr>
      <w:rFonts w:ascii="Times New Roman" w:hAnsi="Times New Roman"/>
      <w:color w:val="FFFFFF"/>
      <w:szCs w:val="20"/>
    </w:rPr>
  </w:style>
  <w:style w:type="paragraph" w:customStyle="1" w:styleId="64">
    <w:name w:val="术语定义一级条标题"/>
    <w:basedOn w:val="34"/>
    <w:next w:val="35"/>
    <w:qFormat/>
    <w:uiPriority w:val="0"/>
    <w:pPr>
      <w:spacing w:before="0" w:beforeLines="0" w:after="0" w:afterLines="0"/>
      <w:outlineLvl w:val="9"/>
    </w:pPr>
  </w:style>
  <w:style w:type="paragraph" w:customStyle="1" w:styleId="65">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6">
    <w:name w:val="_Style 134"/>
    <w:basedOn w:val="1"/>
    <w:next w:val="54"/>
    <w:autoRedefine/>
    <w:qFormat/>
    <w:uiPriority w:val="34"/>
    <w:pPr>
      <w:ind w:firstLine="420" w:firstLineChars="200"/>
    </w:pPr>
  </w:style>
  <w:style w:type="paragraph" w:customStyle="1" w:styleId="67">
    <w:name w:val="标准文件_段"/>
    <w:link w:val="68"/>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8">
    <w:name w:val="标准文件_段 Char"/>
    <w:link w:val="67"/>
    <w:autoRedefine/>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1845</Words>
  <Characters>1985</Characters>
  <Lines>17</Lines>
  <Paragraphs>4</Paragraphs>
  <TotalTime>183</TotalTime>
  <ScaleCrop>false</ScaleCrop>
  <LinksUpToDate>false</LinksUpToDate>
  <CharactersWithSpaces>2023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2022-10-20T02:15:00Z</dcterms:created>
  <dc:creator>MYQ</dc:creator>
  <cp:lastModifiedBy>dky_ld</cp:lastModifiedBy>
  <cp:lastPrinted>2018-05-10T03:48:00Z</cp:lastPrinted>
  <dcterms:modified xsi:type="dcterms:W3CDTF">2025-07-14T02:09:33Z</dcterms:modified>
  <dc:title>中国电机工程学会标准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334E926A8D7849B4B86649E8B7FCC091_13</vt:lpwstr>
  </property>
  <property fmtid="{D5CDD505-2E9C-101B-9397-08002B2CF9AE}" pid="4" name="KSOTemplateDocerSaveRecord">
    <vt:lpwstr>eyJoZGlkIjoiYTE5NmFjZGZiYjY1Y2Y0MzhkNWE3YzJmYTU4ZjMxOTUiLCJ1c2VySWQiOiI2MTE3ODU5OTQifQ==</vt:lpwstr>
  </property>
</Properties>
</file>