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6C89C">
      <w:pPr>
        <w:pStyle w:val="40"/>
        <w:ind w:firstLine="0" w:firstLineChars="0"/>
      </w:pPr>
    </w:p>
    <w:p w14:paraId="3A91F994">
      <w:pPr>
        <w:pStyle w:val="40"/>
        <w:ind w:firstLine="0" w:firstLineChars="0"/>
      </w:pPr>
    </w:p>
    <w:p w14:paraId="145AE716">
      <w:pPr>
        <w:pStyle w:val="40"/>
        <w:ind w:firstLine="0" w:firstLineChars="0"/>
      </w:pPr>
    </w:p>
    <w:p w14:paraId="7E5FE55F">
      <w:pPr>
        <w:pStyle w:val="40"/>
        <w:ind w:firstLine="0" w:firstLineChars="0"/>
      </w:pPr>
    </w:p>
    <w:p w14:paraId="3FEF580F">
      <w:pPr>
        <w:pStyle w:val="40"/>
        <w:ind w:firstLine="0" w:firstLineChars="0"/>
      </w:pPr>
    </w:p>
    <w:p w14:paraId="5C121CAD">
      <w:pPr>
        <w:pStyle w:val="40"/>
        <w:ind w:firstLine="0" w:firstLineChars="0"/>
      </w:pPr>
    </w:p>
    <w:p w14:paraId="3DE301E6">
      <w:pPr>
        <w:pStyle w:val="40"/>
        <w:ind w:firstLine="0" w:firstLineChars="0"/>
      </w:pPr>
      <w:bookmarkStart w:id="34" w:name="_GoBack"/>
      <w:bookmarkEnd w:id="34"/>
    </w:p>
    <w:p w14:paraId="48CCA15B">
      <w:pPr>
        <w:pStyle w:val="40"/>
        <w:ind w:firstLine="0" w:firstLineChars="0"/>
      </w:pPr>
    </w:p>
    <w:p w14:paraId="6D5700DD">
      <w:pPr>
        <w:pStyle w:val="40"/>
        <w:ind w:firstLine="0" w:firstLineChars="0"/>
      </w:pPr>
    </w:p>
    <w:p w14:paraId="3DC91233">
      <w:pPr>
        <w:pStyle w:val="40"/>
        <w:ind w:firstLine="0" w:firstLineChars="0"/>
      </w:pPr>
    </w:p>
    <w:p w14:paraId="65CC085D">
      <w:pPr>
        <w:pStyle w:val="40"/>
        <w:ind w:firstLine="0" w:firstLineChars="0"/>
      </w:pPr>
    </w:p>
    <w:p w14:paraId="54E3792F">
      <w:pPr>
        <w:pStyle w:val="40"/>
        <w:jc w:val="center"/>
        <w:rPr>
          <w:rFonts w:hint="eastAsia" w:ascii="黑体" w:eastAsia="黑体"/>
          <w:sz w:val="44"/>
          <w:szCs w:val="44"/>
          <w:lang w:eastAsia="zh-CN"/>
        </w:rPr>
      </w:pPr>
      <w:r>
        <w:rPr>
          <w:rFonts w:hint="eastAsia" w:ascii="黑体" w:eastAsia="黑体"/>
          <w:sz w:val="44"/>
          <w:szCs w:val="44"/>
          <w:lang w:eastAsia="zh-CN"/>
        </w:rPr>
        <w:t>架空导线用混杂纤维增强复合材料</w:t>
      </w:r>
    </w:p>
    <w:p w14:paraId="072CD571">
      <w:pPr>
        <w:pStyle w:val="40"/>
        <w:jc w:val="center"/>
      </w:pPr>
      <w:r>
        <w:rPr>
          <w:rFonts w:hint="eastAsia" w:ascii="黑体" w:eastAsia="黑体"/>
          <w:sz w:val="44"/>
          <w:szCs w:val="44"/>
          <w:lang w:eastAsia="zh-CN"/>
        </w:rPr>
        <w:t>实芯细圆棒</w:t>
      </w:r>
      <w:r>
        <w:rPr>
          <w:rFonts w:hint="eastAsia" w:ascii="黑体" w:eastAsia="黑体"/>
          <w:sz w:val="44"/>
          <w:szCs w:val="44"/>
        </w:rPr>
        <w:t xml:space="preserve">  卷绕试验方法</w:t>
      </w:r>
    </w:p>
    <w:p w14:paraId="5E04F570">
      <w:pPr>
        <w:pStyle w:val="42"/>
        <w:numPr>
          <w:ilvl w:val="0"/>
          <w:numId w:val="0"/>
        </w:numPr>
        <w:jc w:val="center"/>
        <w:rPr>
          <w:sz w:val="28"/>
          <w:szCs w:val="28"/>
        </w:rPr>
      </w:pPr>
      <w:bookmarkStart w:id="0" w:name="_Toc298937333"/>
      <w:bookmarkStart w:id="1" w:name="_Toc298937368"/>
      <w:bookmarkStart w:id="2" w:name="_Toc309995492"/>
      <w:bookmarkStart w:id="3" w:name="_Toc298937620"/>
      <w:bookmarkStart w:id="4" w:name="_Toc309995410"/>
      <w:bookmarkStart w:id="5" w:name="_Toc304828086"/>
      <w:bookmarkStart w:id="6" w:name="_Toc320020914"/>
      <w:bookmarkStart w:id="7" w:name="_Toc304825020"/>
      <w:bookmarkStart w:id="8" w:name="_Toc310002657"/>
      <w:bookmarkStart w:id="9" w:name="_Toc298937430"/>
      <w:bookmarkStart w:id="10" w:name="_Toc298938794"/>
      <w:bookmarkStart w:id="11" w:name="_Toc309995598"/>
      <w:bookmarkStart w:id="12" w:name="_Toc304402675"/>
      <w:bookmarkStart w:id="13" w:name="_Toc309993200"/>
      <w:bookmarkStart w:id="14" w:name="_Toc298937473"/>
      <w:bookmarkStart w:id="15" w:name="_Toc309996019"/>
      <w:bookmarkStart w:id="16" w:name="_Toc309994571"/>
      <w:bookmarkStart w:id="17" w:name="_Toc298937560"/>
      <w:bookmarkStart w:id="18" w:name="_Toc318613715"/>
      <w:bookmarkStart w:id="19" w:name="_Toc304824981"/>
      <w:bookmarkStart w:id="20" w:name="_Toc298938646"/>
      <w:bookmarkStart w:id="21" w:name="_Toc309997060"/>
      <w:bookmarkStart w:id="22" w:name="_Toc304825093"/>
      <w:r>
        <w:rPr>
          <w:rFonts w:hint="eastAsia"/>
          <w:sz w:val="28"/>
          <w:szCs w:val="28"/>
        </w:rPr>
        <w:t>编 制 说</w:t>
      </w:r>
      <w:bookmarkEnd w:id="0"/>
      <w:bookmarkEnd w:id="1"/>
      <w:r>
        <w:rPr>
          <w:rFonts w:hint="eastAsia"/>
          <w:sz w:val="28"/>
          <w:szCs w:val="28"/>
        </w:rPr>
        <w:t> 明</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7F48BC06">
      <w:pPr>
        <w:pStyle w:val="40"/>
        <w:ind w:firstLine="560"/>
        <w:jc w:val="center"/>
        <w:rPr>
          <w:rFonts w:ascii="黑体" w:eastAsia="黑体"/>
          <w:sz w:val="28"/>
          <w:szCs w:val="28"/>
        </w:rPr>
      </w:pPr>
    </w:p>
    <w:p w14:paraId="2462396D">
      <w:pPr>
        <w:pStyle w:val="40"/>
        <w:ind w:firstLine="560"/>
        <w:jc w:val="center"/>
        <w:rPr>
          <w:rFonts w:ascii="黑体" w:eastAsia="黑体"/>
          <w:sz w:val="28"/>
          <w:szCs w:val="28"/>
        </w:rPr>
      </w:pPr>
    </w:p>
    <w:p w14:paraId="75AF3BC9">
      <w:pPr>
        <w:pStyle w:val="40"/>
        <w:ind w:firstLine="560"/>
        <w:rPr>
          <w:rFonts w:ascii="黑体" w:eastAsia="黑体"/>
          <w:sz w:val="28"/>
          <w:szCs w:val="28"/>
        </w:rPr>
      </w:pPr>
    </w:p>
    <w:p w14:paraId="26DA9C5B"/>
    <w:p w14:paraId="2CE172E9"/>
    <w:p w14:paraId="4B34A575"/>
    <w:p w14:paraId="7BD65426"/>
    <w:p w14:paraId="57F7BA46"/>
    <w:p w14:paraId="242C7ACD"/>
    <w:p w14:paraId="33A80D78"/>
    <w:p w14:paraId="5BED3055"/>
    <w:p w14:paraId="5AD561D5"/>
    <w:p w14:paraId="597D8759"/>
    <w:p w14:paraId="047D0448"/>
    <w:p w14:paraId="401DA595"/>
    <w:p w14:paraId="019CE5DA"/>
    <w:p w14:paraId="2A9A2DE0">
      <w:pPr>
        <w:jc w:val="center"/>
      </w:pPr>
    </w:p>
    <w:p w14:paraId="357F61A8"/>
    <w:p w14:paraId="6741DF31">
      <w:pPr>
        <w:sectPr>
          <w:headerReference r:id="rId3" w:type="default"/>
          <w:footerReference r:id="rId5" w:type="default"/>
          <w:headerReference r:id="rId4" w:type="even"/>
          <w:pgSz w:w="11906" w:h="16838"/>
          <w:pgMar w:top="1440" w:right="1800" w:bottom="1440" w:left="1800" w:header="1418" w:footer="1134" w:gutter="0"/>
          <w:cols w:space="720" w:num="1"/>
          <w:formProt w:val="0"/>
          <w:titlePg/>
          <w:docGrid w:type="lines" w:linePitch="312" w:charSpace="0"/>
        </w:sectPr>
      </w:pPr>
    </w:p>
    <w:p w14:paraId="651C3769">
      <w:pPr>
        <w:pStyle w:val="44"/>
      </w:pPr>
      <w:bookmarkStart w:id="23" w:name="_Toc513731109"/>
      <w:bookmarkStart w:id="24" w:name="_Toc309992160"/>
      <w:bookmarkStart w:id="25" w:name="_Toc513731021"/>
      <w:r>
        <w:rPr>
          <w:rFonts w:hint="eastAsia"/>
        </w:rPr>
        <w:t>目次</w:t>
      </w:r>
      <w:bookmarkEnd w:id="23"/>
      <w:bookmarkEnd w:id="24"/>
      <w:bookmarkEnd w:id="25"/>
    </w:p>
    <w:p w14:paraId="0686A478">
      <w:pPr>
        <w:pStyle w:val="13"/>
        <w:spacing w:before="78" w:after="78"/>
        <w:jc w:val="center"/>
        <w:rPr>
          <w:rFonts w:ascii="Calibri" w:hAnsi="Calibri"/>
          <w:szCs w:val="22"/>
        </w:rPr>
      </w:pPr>
      <w:r>
        <w:rPr>
          <w:rFonts w:hAnsi="宋体"/>
        </w:rPr>
        <w:fldChar w:fldCharType="begin"/>
      </w:r>
      <w:r>
        <w:rPr>
          <w:rFonts w:hAnsi="宋体"/>
        </w:rPr>
        <w:instrText xml:space="preserve"> </w:instrText>
      </w:r>
      <w:r>
        <w:rPr>
          <w:rFonts w:hint="eastAsia" w:hAnsi="宋体"/>
        </w:rPr>
        <w:instrText xml:space="preserve">TOC \o "1-1" \h \z \u</w:instrText>
      </w:r>
      <w:r>
        <w:rPr>
          <w:rFonts w:hAnsi="宋体"/>
        </w:rPr>
        <w:instrText xml:space="preserve"> </w:instrText>
      </w:r>
      <w:r>
        <w:rPr>
          <w:rFonts w:hAnsi="宋体"/>
        </w:rPr>
        <w:fldChar w:fldCharType="separate"/>
      </w:r>
    </w:p>
    <w:p w14:paraId="76604397">
      <w:pPr>
        <w:pStyle w:val="13"/>
        <w:spacing w:before="78" w:after="78"/>
        <w:jc w:val="center"/>
        <w:rPr>
          <w:rFonts w:ascii="Calibri" w:hAnsi="Calibri"/>
          <w:szCs w:val="22"/>
        </w:rPr>
      </w:pPr>
      <w:r>
        <w:fldChar w:fldCharType="begin"/>
      </w:r>
      <w:r>
        <w:instrText xml:space="preserve"> HYPERLINK \l "_Toc513731110" </w:instrText>
      </w:r>
      <w:r>
        <w:fldChar w:fldCharType="separate"/>
      </w:r>
      <w:r>
        <w:rPr>
          <w:rStyle w:val="19"/>
          <w:rFonts w:hAnsi="宋体"/>
        </w:rPr>
        <w:t xml:space="preserve">1 </w:t>
      </w:r>
      <w:r>
        <w:rPr>
          <w:rStyle w:val="19"/>
          <w:rFonts w:hint="eastAsia" w:hAnsi="宋体"/>
        </w:rPr>
        <w:t>编制背景</w:t>
      </w:r>
      <w:r>
        <w:tab/>
      </w:r>
      <w:r>
        <w:fldChar w:fldCharType="begin"/>
      </w:r>
      <w:r>
        <w:instrText xml:space="preserve"> PAGEREF _Toc513731110 \h </w:instrText>
      </w:r>
      <w:r>
        <w:fldChar w:fldCharType="separate"/>
      </w:r>
      <w:r>
        <w:t>1</w:t>
      </w:r>
      <w:r>
        <w:fldChar w:fldCharType="end"/>
      </w:r>
      <w:r>
        <w:fldChar w:fldCharType="end"/>
      </w:r>
    </w:p>
    <w:p w14:paraId="660DFA4E">
      <w:pPr>
        <w:pStyle w:val="13"/>
        <w:spacing w:before="78" w:after="78"/>
        <w:jc w:val="center"/>
        <w:rPr>
          <w:rFonts w:ascii="Calibri" w:hAnsi="Calibri"/>
          <w:szCs w:val="22"/>
        </w:rPr>
      </w:pPr>
      <w:r>
        <w:fldChar w:fldCharType="begin"/>
      </w:r>
      <w:r>
        <w:instrText xml:space="preserve"> HYPERLINK \l "_Toc513731111" </w:instrText>
      </w:r>
      <w:r>
        <w:fldChar w:fldCharType="separate"/>
      </w:r>
      <w:r>
        <w:rPr>
          <w:rStyle w:val="19"/>
          <w:rFonts w:hAnsi="宋体"/>
        </w:rPr>
        <w:t xml:space="preserve">2 </w:t>
      </w:r>
      <w:r>
        <w:rPr>
          <w:rStyle w:val="19"/>
          <w:rFonts w:hint="eastAsia" w:hAnsi="宋体"/>
        </w:rPr>
        <w:t>编制主要原则</w:t>
      </w:r>
      <w:r>
        <w:tab/>
      </w:r>
      <w:r>
        <w:fldChar w:fldCharType="begin"/>
      </w:r>
      <w:r>
        <w:instrText xml:space="preserve"> PAGEREF _Toc513731111 \h </w:instrText>
      </w:r>
      <w:r>
        <w:fldChar w:fldCharType="separate"/>
      </w:r>
      <w:r>
        <w:t>1</w:t>
      </w:r>
      <w:r>
        <w:fldChar w:fldCharType="end"/>
      </w:r>
      <w:r>
        <w:fldChar w:fldCharType="end"/>
      </w:r>
    </w:p>
    <w:p w14:paraId="41486551">
      <w:pPr>
        <w:pStyle w:val="13"/>
        <w:spacing w:before="78" w:after="78"/>
        <w:jc w:val="center"/>
        <w:rPr>
          <w:rFonts w:ascii="Calibri" w:hAnsi="Calibri"/>
          <w:szCs w:val="22"/>
        </w:rPr>
      </w:pPr>
      <w:r>
        <w:fldChar w:fldCharType="begin"/>
      </w:r>
      <w:r>
        <w:instrText xml:space="preserve"> HYPERLINK \l "_Toc513731112" </w:instrText>
      </w:r>
      <w:r>
        <w:fldChar w:fldCharType="separate"/>
      </w:r>
      <w:r>
        <w:rPr>
          <w:rStyle w:val="19"/>
          <w:rFonts w:hAnsi="宋体"/>
        </w:rPr>
        <w:t xml:space="preserve">3 </w:t>
      </w:r>
      <w:r>
        <w:rPr>
          <w:rStyle w:val="19"/>
          <w:rFonts w:hint="eastAsia" w:hAnsi="宋体"/>
        </w:rPr>
        <w:t>主要工作过程</w:t>
      </w:r>
      <w:r>
        <w:tab/>
      </w:r>
      <w:r>
        <w:fldChar w:fldCharType="begin"/>
      </w:r>
      <w:r>
        <w:instrText xml:space="preserve"> PAGEREF _Toc513731112 \h </w:instrText>
      </w:r>
      <w:r>
        <w:fldChar w:fldCharType="separate"/>
      </w:r>
      <w:r>
        <w:t>2</w:t>
      </w:r>
      <w:r>
        <w:fldChar w:fldCharType="end"/>
      </w:r>
      <w:r>
        <w:fldChar w:fldCharType="end"/>
      </w:r>
    </w:p>
    <w:p w14:paraId="1163AC3F">
      <w:pPr>
        <w:pStyle w:val="13"/>
        <w:spacing w:before="78" w:after="78"/>
        <w:jc w:val="center"/>
        <w:rPr>
          <w:rFonts w:ascii="Calibri" w:hAnsi="Calibri"/>
          <w:szCs w:val="22"/>
        </w:rPr>
      </w:pPr>
      <w:r>
        <w:fldChar w:fldCharType="begin"/>
      </w:r>
      <w:r>
        <w:instrText xml:space="preserve"> HYPERLINK \l "_Toc513731113" </w:instrText>
      </w:r>
      <w:r>
        <w:fldChar w:fldCharType="separate"/>
      </w:r>
      <w:r>
        <w:rPr>
          <w:rStyle w:val="19"/>
          <w:rFonts w:hAnsi="宋体"/>
        </w:rPr>
        <w:t>4</w:t>
      </w:r>
      <w:r>
        <w:rPr>
          <w:rStyle w:val="19"/>
        </w:rPr>
        <w:t xml:space="preserve"> </w:t>
      </w:r>
      <w:r>
        <w:rPr>
          <w:rStyle w:val="19"/>
          <w:rFonts w:hint="eastAsia"/>
        </w:rPr>
        <w:t>标准结构和内容说明</w:t>
      </w:r>
      <w:r>
        <w:tab/>
      </w:r>
      <w:r>
        <w:fldChar w:fldCharType="begin"/>
      </w:r>
      <w:r>
        <w:instrText xml:space="preserve"> PAGEREF _Toc513731113 \h </w:instrText>
      </w:r>
      <w:r>
        <w:fldChar w:fldCharType="separate"/>
      </w:r>
      <w:r>
        <w:t>2</w:t>
      </w:r>
      <w:r>
        <w:fldChar w:fldCharType="end"/>
      </w:r>
      <w:r>
        <w:fldChar w:fldCharType="end"/>
      </w:r>
    </w:p>
    <w:p w14:paraId="37D39BDE">
      <w:pPr>
        <w:pStyle w:val="13"/>
        <w:spacing w:before="78" w:after="78"/>
        <w:jc w:val="center"/>
        <w:rPr>
          <w:rFonts w:ascii="Calibri" w:hAnsi="Calibri"/>
          <w:szCs w:val="22"/>
        </w:rPr>
      </w:pPr>
      <w:r>
        <w:fldChar w:fldCharType="begin"/>
      </w:r>
      <w:r>
        <w:instrText xml:space="preserve"> HYPERLINK \l "_Toc513731114" </w:instrText>
      </w:r>
      <w:r>
        <w:fldChar w:fldCharType="separate"/>
      </w:r>
      <w:r>
        <w:rPr>
          <w:rStyle w:val="19"/>
          <w:rFonts w:hAnsi="宋体"/>
        </w:rPr>
        <w:t>5</w:t>
      </w:r>
      <w:r>
        <w:rPr>
          <w:rStyle w:val="19"/>
          <w:rFonts w:hint="eastAsia"/>
        </w:rPr>
        <w:t>相关标准对比说明</w:t>
      </w:r>
      <w:r>
        <w:rPr>
          <w:rStyle w:val="19"/>
        </w:rPr>
        <w:tab/>
      </w:r>
      <w:r>
        <w:fldChar w:fldCharType="begin"/>
      </w:r>
      <w:r>
        <w:rPr>
          <w:rStyle w:val="19"/>
        </w:rPr>
        <w:instrText xml:space="preserve"> PAGEREF _Toc513731114 \h </w:instrText>
      </w:r>
      <w:r>
        <w:fldChar w:fldCharType="separate"/>
      </w:r>
      <w:r>
        <w:rPr>
          <w:rStyle w:val="19"/>
        </w:rPr>
        <w:t>3</w:t>
      </w:r>
      <w:r>
        <w:fldChar w:fldCharType="end"/>
      </w:r>
      <w:r>
        <w:fldChar w:fldCharType="end"/>
      </w:r>
    </w:p>
    <w:p w14:paraId="4C0F6937">
      <w:pPr>
        <w:pStyle w:val="13"/>
        <w:spacing w:before="78" w:after="78"/>
        <w:jc w:val="center"/>
        <w:rPr>
          <w:rFonts w:ascii="Calibri" w:hAnsi="Calibri"/>
          <w:szCs w:val="22"/>
        </w:rPr>
      </w:pPr>
      <w:r>
        <w:fldChar w:fldCharType="begin"/>
      </w:r>
      <w:r>
        <w:instrText xml:space="preserve"> HYPERLINK \l "_Toc513731115" </w:instrText>
      </w:r>
      <w:r>
        <w:fldChar w:fldCharType="separate"/>
      </w:r>
      <w:r>
        <w:rPr>
          <w:rStyle w:val="19"/>
          <w:rFonts w:hAnsi="宋体"/>
        </w:rPr>
        <w:t>6</w:t>
      </w:r>
      <w:r>
        <w:rPr>
          <w:rStyle w:val="19"/>
          <w:rFonts w:hint="eastAsia" w:hAnsi="宋体"/>
        </w:rPr>
        <w:t>标准实施措施说明</w:t>
      </w:r>
      <w:r>
        <w:tab/>
      </w:r>
      <w:r>
        <w:fldChar w:fldCharType="begin"/>
      </w:r>
      <w:r>
        <w:instrText xml:space="preserve"> PAGEREF _Toc513731115 \h </w:instrText>
      </w:r>
      <w:r>
        <w:fldChar w:fldCharType="separate"/>
      </w:r>
      <w:r>
        <w:t>3</w:t>
      </w:r>
      <w:r>
        <w:fldChar w:fldCharType="end"/>
      </w:r>
      <w:r>
        <w:fldChar w:fldCharType="end"/>
      </w:r>
    </w:p>
    <w:p w14:paraId="06444D75">
      <w:pPr>
        <w:pStyle w:val="40"/>
        <w:jc w:val="center"/>
        <w:rPr>
          <w:rFonts w:hint="eastAsia" w:hAnsi="宋体"/>
          <w:szCs w:val="21"/>
        </w:rPr>
      </w:pPr>
      <w:r>
        <w:rPr>
          <w:rFonts w:hAnsi="宋体"/>
          <w:szCs w:val="21"/>
        </w:rPr>
        <w:fldChar w:fldCharType="end"/>
      </w:r>
    </w:p>
    <w:p w14:paraId="055C3941">
      <w:pPr>
        <w:pStyle w:val="40"/>
        <w:rPr>
          <w:rFonts w:hint="eastAsia" w:hAnsi="宋体"/>
          <w:szCs w:val="21"/>
        </w:rPr>
      </w:pPr>
    </w:p>
    <w:p w14:paraId="3E0D2B7C">
      <w:pPr>
        <w:pStyle w:val="40"/>
        <w:rPr>
          <w:rFonts w:hint="eastAsia" w:hAnsi="宋体"/>
          <w:szCs w:val="21"/>
        </w:rPr>
      </w:pPr>
    </w:p>
    <w:p w14:paraId="1A4A08B8">
      <w:pPr>
        <w:pStyle w:val="40"/>
        <w:rPr>
          <w:rFonts w:hint="eastAsia" w:hAnsi="宋体"/>
          <w:szCs w:val="21"/>
        </w:rPr>
      </w:pPr>
    </w:p>
    <w:p w14:paraId="253D3810">
      <w:pPr>
        <w:pStyle w:val="40"/>
        <w:rPr>
          <w:rFonts w:hint="eastAsia" w:hAnsi="宋体"/>
          <w:szCs w:val="21"/>
        </w:rPr>
        <w:sectPr>
          <w:headerReference r:id="rId6" w:type="default"/>
          <w:footerReference r:id="rId7" w:type="default"/>
          <w:pgSz w:w="11906" w:h="16838"/>
          <w:pgMar w:top="1440" w:right="1800" w:bottom="1440" w:left="1800" w:header="1418" w:footer="1134" w:gutter="0"/>
          <w:pgNumType w:fmt="upperRoman" w:start="1"/>
          <w:cols w:space="720" w:num="1"/>
          <w:formProt w:val="0"/>
          <w:docGrid w:type="lines" w:linePitch="312" w:charSpace="0"/>
        </w:sectPr>
      </w:pPr>
    </w:p>
    <w:p w14:paraId="389C80A6">
      <w:pPr>
        <w:pStyle w:val="43"/>
        <w:spacing w:before="312" w:after="312"/>
        <w:rPr>
          <w:rFonts w:hint="eastAsia" w:ascii="宋体" w:hAnsi="宋体"/>
          <w:szCs w:val="21"/>
        </w:rPr>
      </w:pPr>
      <w:bookmarkStart w:id="26" w:name="_Toc513731110"/>
      <w:r>
        <w:rPr>
          <w:rFonts w:hint="eastAsia" w:ascii="宋体" w:hAnsi="宋体"/>
          <w:szCs w:val="21"/>
        </w:rPr>
        <w:t>1 编制背景</w:t>
      </w:r>
      <w:bookmarkEnd w:id="26"/>
    </w:p>
    <w:p w14:paraId="56AE08C1">
      <w:pPr>
        <w:pStyle w:val="40"/>
      </w:pPr>
      <w:r>
        <w:rPr>
          <w:rFonts w:hint="eastAsia"/>
        </w:rPr>
        <w:t>本标准是根据中国电机工程学会文件</w:t>
      </w:r>
      <w:bookmarkStart w:id="27" w:name="_Hlk192339786"/>
      <w:r>
        <w:rPr>
          <w:rFonts w:hint="eastAsia"/>
        </w:rPr>
        <w:t>电机咨[202</w:t>
      </w:r>
      <w:r>
        <w:rPr>
          <w:rFonts w:hint="eastAsia"/>
          <w:lang w:val="en-US" w:eastAsia="zh-CN"/>
        </w:rPr>
        <w:t>4</w:t>
      </w:r>
      <w:r>
        <w:rPr>
          <w:rFonts w:hint="eastAsia"/>
        </w:rPr>
        <w:t>]</w:t>
      </w:r>
      <w:r>
        <w:rPr>
          <w:rFonts w:hint="eastAsia"/>
          <w:lang w:val="en-US" w:eastAsia="zh-CN"/>
        </w:rPr>
        <w:t>535</w:t>
      </w:r>
      <w:r>
        <w:rPr>
          <w:rFonts w:hint="eastAsia"/>
        </w:rPr>
        <w:t>号</w:t>
      </w:r>
      <w:bookmarkEnd w:id="27"/>
      <w:r>
        <w:rPr>
          <w:rFonts w:hint="eastAsia"/>
        </w:rPr>
        <w:t>文，“中国电机工程学会关于印发‘中国电机工程学会 2024 年标准计划（第二批）’的通知”下达的制定任务，项目序号</w:t>
      </w:r>
      <w:r>
        <w:t>202</w:t>
      </w:r>
      <w:r>
        <w:rPr>
          <w:rFonts w:hint="eastAsia"/>
          <w:lang w:val="en-US" w:eastAsia="zh-CN"/>
        </w:rPr>
        <w:t>412200003</w:t>
      </w:r>
      <w:r>
        <w:rPr>
          <w:rFonts w:hint="eastAsia"/>
        </w:rPr>
        <w:t>，对“架空导线用混杂纤维增强复合材料实芯细圆棒---卷绕试验方法”团体标准进行制定的。由</w:t>
      </w:r>
      <w:r>
        <w:rPr>
          <w:rFonts w:hint="eastAsia"/>
          <w:lang w:val="en-US" w:eastAsia="zh-CN"/>
        </w:rPr>
        <w:t>华东送变电工程有限</w:t>
      </w:r>
      <w:r>
        <w:rPr>
          <w:rFonts w:hint="eastAsia"/>
        </w:rPr>
        <w:t>公司负责起草。</w:t>
      </w:r>
    </w:p>
    <w:p w14:paraId="15273E4F">
      <w:pPr>
        <w:pStyle w:val="40"/>
        <w:rPr>
          <w:rFonts w:hint="eastAsia" w:eastAsia="宋体"/>
          <w:lang w:eastAsia="zh-CN"/>
        </w:rPr>
      </w:pPr>
      <w:r>
        <w:rPr>
          <w:rFonts w:hint="eastAsia"/>
          <w:lang w:eastAsia="zh-CN"/>
        </w:rPr>
        <w:t>架空导线用混杂纤维增强复合材料实芯细圆棒</w:t>
      </w:r>
      <w:r>
        <w:rPr>
          <w:rFonts w:hint="eastAsia"/>
        </w:rPr>
        <w:t>，其中心部分由连续的纵向排列的纤维（如：碳纤维、芳纶纤维、玄武岩纤维等）、外层由连续的纵向或缠绕排列的纤维（如：玻璃纤维、芳纶纤维等），经与树脂浸润后拉挤固化复合成的实心</w:t>
      </w:r>
      <w:r>
        <w:rPr>
          <w:rFonts w:hint="eastAsia"/>
          <w:lang w:eastAsia="zh-CN"/>
        </w:rPr>
        <w:t>细圆棒</w:t>
      </w:r>
      <w:r>
        <w:rPr>
          <w:rFonts w:hint="eastAsia"/>
        </w:rPr>
        <w:t>。具有尺寸稳定、重量轻、强度大、热膨胀系数小等优点；还具备高比模、耐疲劳、抗蠕变、耐腐蚀等特点。</w:t>
      </w:r>
      <w:r>
        <w:rPr>
          <w:rFonts w:hint="eastAsia"/>
          <w:lang w:val="en-US" w:eastAsia="zh-CN"/>
        </w:rPr>
        <w:t>其应用</w:t>
      </w:r>
      <w:r>
        <w:rPr>
          <w:rFonts w:hint="eastAsia"/>
        </w:rPr>
        <w:t>一般是由多根实芯细圆棒作为增强体掺入其他材料中、也可以单根或数根</w:t>
      </w:r>
      <w:r>
        <w:rPr>
          <w:rFonts w:hint="eastAsia"/>
          <w:lang w:eastAsia="zh-CN"/>
        </w:rPr>
        <w:t>细圆棒</w:t>
      </w:r>
      <w:r>
        <w:rPr>
          <w:rFonts w:hint="eastAsia"/>
        </w:rPr>
        <w:t>与其他金属材料成缆、或多根</w:t>
      </w:r>
      <w:r>
        <w:rPr>
          <w:rFonts w:hint="eastAsia"/>
          <w:lang w:eastAsia="zh-CN"/>
        </w:rPr>
        <w:t>细圆棒</w:t>
      </w:r>
      <w:r>
        <w:rPr>
          <w:rFonts w:hint="eastAsia"/>
        </w:rPr>
        <w:t>编织成缆绳，除了可用于架空线路外，还可应用于建筑、桥梁、牵引、拖曳、起重、体育器材等，在国内外均有实际应用</w:t>
      </w:r>
      <w:r>
        <w:rPr>
          <w:rFonts w:hint="eastAsia"/>
          <w:lang w:eastAsia="zh-CN"/>
        </w:rPr>
        <w:t>。</w:t>
      </w:r>
    </w:p>
    <w:p w14:paraId="1F1D1B19">
      <w:pPr>
        <w:pStyle w:val="40"/>
        <w:rPr>
          <w:rFonts w:hint="default" w:eastAsia="宋体"/>
          <w:lang w:val="en-US" w:eastAsia="zh-CN"/>
        </w:rPr>
      </w:pPr>
      <w:r>
        <w:rPr>
          <w:rFonts w:hint="eastAsia"/>
          <w:lang w:eastAsia="zh-CN"/>
        </w:rPr>
        <w:t>架空导线用混杂纤维增强复合材料实芯细圆棒</w:t>
      </w:r>
      <w:r>
        <w:rPr>
          <w:rFonts w:hint="eastAsia"/>
        </w:rPr>
        <w:t>采用的拉挤热固化制作工艺决定了其轴向抗拉能力较强，但径向剪切性能和抗压性能较弱。</w:t>
      </w:r>
      <w:r>
        <w:rPr>
          <w:rFonts w:hint="eastAsia"/>
          <w:lang w:eastAsia="zh-CN"/>
        </w:rPr>
        <w:t>细圆棒</w:t>
      </w:r>
      <w:r>
        <w:rPr>
          <w:rFonts w:hint="eastAsia"/>
        </w:rPr>
        <w:t>生产完成后，通常通过在线盘卷绕来进行储运；线盘过大不易于储运，而线盘过小则容易导致</w:t>
      </w:r>
      <w:r>
        <w:rPr>
          <w:rFonts w:hint="eastAsia"/>
          <w:lang w:eastAsia="zh-CN"/>
        </w:rPr>
        <w:t>细圆棒</w:t>
      </w:r>
      <w:r>
        <w:rPr>
          <w:rFonts w:hint="eastAsia"/>
        </w:rPr>
        <w:t>内部纤维受损失效，存在安全隐患。从物理学分析可知，</w:t>
      </w:r>
      <w:r>
        <w:rPr>
          <w:rFonts w:hint="eastAsia"/>
          <w:lang w:eastAsia="zh-CN"/>
        </w:rPr>
        <w:t>细圆棒</w:t>
      </w:r>
      <w:r>
        <w:rPr>
          <w:rFonts w:hint="eastAsia"/>
        </w:rPr>
        <w:t>卷绕时，其最大的等效应力集中分布在</w:t>
      </w:r>
      <w:r>
        <w:rPr>
          <w:rFonts w:hint="eastAsia"/>
          <w:lang w:eastAsia="zh-CN"/>
        </w:rPr>
        <w:t>细圆棒</w:t>
      </w:r>
      <w:r>
        <w:rPr>
          <w:rFonts w:hint="eastAsia"/>
        </w:rPr>
        <w:t>的最外侧，轴向拉/压应力随着线盘卷轴半径的增大而减小。考虑到</w:t>
      </w:r>
      <w:r>
        <w:rPr>
          <w:rFonts w:hint="eastAsia"/>
          <w:lang w:eastAsia="zh-CN"/>
        </w:rPr>
        <w:t>架空导线用混杂纤维增强复合材料实芯细圆棒</w:t>
      </w:r>
      <w:r>
        <w:rPr>
          <w:rFonts w:hint="eastAsia"/>
        </w:rPr>
        <w:t>制作工艺的差异性</w:t>
      </w:r>
      <w:r>
        <w:rPr>
          <w:rFonts w:hint="eastAsia"/>
          <w:lang w:eastAsia="zh-CN"/>
        </w:rPr>
        <w:t>，</w:t>
      </w:r>
      <w:r>
        <w:rPr>
          <w:rFonts w:hint="eastAsia"/>
        </w:rPr>
        <w:t>绝大多数企业采用卷绕试验来获得线盘卷轴直径的有效范围</w:t>
      </w:r>
      <w:r>
        <w:rPr>
          <w:rFonts w:hint="eastAsia"/>
          <w:lang w:eastAsia="zh-CN"/>
        </w:rPr>
        <w:t>，</w:t>
      </w:r>
      <w:r>
        <w:rPr>
          <w:rFonts w:hint="eastAsia"/>
        </w:rPr>
        <w:t>产品检验机构则使用卷绕试验验证</w:t>
      </w:r>
      <w:r>
        <w:rPr>
          <w:rFonts w:hint="eastAsia"/>
          <w:lang w:eastAsia="zh-CN"/>
        </w:rPr>
        <w:t>架空导线用混杂纤维增强复合材料实芯细圆棒</w:t>
      </w:r>
      <w:r>
        <w:rPr>
          <w:rFonts w:hint="eastAsia"/>
        </w:rPr>
        <w:t>的质量。</w:t>
      </w:r>
      <w:r>
        <w:rPr>
          <w:rFonts w:hint="eastAsia"/>
          <w:lang w:val="en-US" w:eastAsia="zh-CN"/>
        </w:rPr>
        <w:t>而已有的碳纤维细圆棒等试验无法完全适用于多行业用途的混杂碳纤维复合细圆棒，缺乏统一的规范，对于卷绕影响的细圆棒性能无法做出细致科学的判断，易造成市场交易摩擦。</w:t>
      </w:r>
    </w:p>
    <w:p w14:paraId="2CB30BC1">
      <w:pPr>
        <w:pStyle w:val="40"/>
        <w:rPr>
          <w:rFonts w:hint="eastAsia" w:hAnsi="宋体"/>
        </w:rPr>
      </w:pPr>
      <w:r>
        <w:rPr>
          <w:rFonts w:hint="eastAsia" w:hAnsi="宋体"/>
        </w:rPr>
        <w:t>本</w:t>
      </w:r>
      <w:r>
        <w:rPr>
          <w:rFonts w:hAnsi="宋体"/>
        </w:rPr>
        <w:t>标准的编制，旨在</w:t>
      </w:r>
      <w:r>
        <w:rPr>
          <w:rFonts w:hint="eastAsia" w:hAnsi="宋体"/>
        </w:rPr>
        <w:t>为</w:t>
      </w:r>
      <w:r>
        <w:rPr>
          <w:rFonts w:hint="eastAsia" w:hAnsi="宋体"/>
          <w:lang w:eastAsia="zh-CN"/>
        </w:rPr>
        <w:t>架空导线用混杂纤维增强复合材料实芯细圆棒</w:t>
      </w:r>
      <w:r>
        <w:rPr>
          <w:rFonts w:hint="eastAsia" w:hAnsi="宋体"/>
        </w:rPr>
        <w:t>卷绕试验提供理论依据</w:t>
      </w:r>
      <w:r>
        <w:rPr>
          <w:rFonts w:hAnsi="宋体"/>
        </w:rPr>
        <w:t>，</w:t>
      </w:r>
      <w:r>
        <w:rPr>
          <w:rFonts w:hint="eastAsia" w:hAnsi="宋体"/>
          <w:lang w:val="en-US" w:eastAsia="zh-CN"/>
        </w:rPr>
        <w:t>顺应技术发展的</w:t>
      </w:r>
      <w:r>
        <w:rPr>
          <w:rFonts w:hAnsi="宋体"/>
        </w:rPr>
        <w:t>要求，并助力行业高质量发展</w:t>
      </w:r>
      <w:r>
        <w:rPr>
          <w:rFonts w:hint="eastAsia" w:hAnsi="宋体"/>
        </w:rPr>
        <w:t>，填补行业内</w:t>
      </w:r>
      <w:r>
        <w:rPr>
          <w:rFonts w:hint="eastAsia" w:hAnsi="宋体"/>
          <w:lang w:val="en-US" w:eastAsia="zh-CN"/>
        </w:rPr>
        <w:t>对于该类</w:t>
      </w:r>
      <w:r>
        <w:rPr>
          <w:rFonts w:hint="eastAsia" w:hAnsi="宋体"/>
        </w:rPr>
        <w:t>标准</w:t>
      </w:r>
      <w:r>
        <w:rPr>
          <w:rFonts w:hint="eastAsia" w:hAnsi="宋体"/>
          <w:lang w:val="en-US" w:eastAsia="zh-CN"/>
        </w:rPr>
        <w:t>的</w:t>
      </w:r>
      <w:r>
        <w:rPr>
          <w:rFonts w:hint="eastAsia" w:hAnsi="宋体"/>
        </w:rPr>
        <w:t>空白</w:t>
      </w:r>
      <w:r>
        <w:rPr>
          <w:rFonts w:hAnsi="宋体"/>
        </w:rPr>
        <w:t>。</w:t>
      </w:r>
      <w:r>
        <w:rPr>
          <w:rFonts w:hint="eastAsia" w:hAnsi="宋体"/>
        </w:rPr>
        <w:t>此外，本标准的发布实施可指导</w:t>
      </w:r>
      <w:r>
        <w:rPr>
          <w:rFonts w:hint="eastAsia" w:hAnsi="宋体"/>
          <w:lang w:val="en-US" w:eastAsia="zh-CN"/>
        </w:rPr>
        <w:t>生产厂家和研发机构</w:t>
      </w:r>
      <w:r>
        <w:rPr>
          <w:rFonts w:hint="eastAsia" w:hAnsi="宋体"/>
        </w:rPr>
        <w:t>进行主动</w:t>
      </w:r>
      <w:r>
        <w:rPr>
          <w:rFonts w:hint="eastAsia" w:hAnsi="宋体"/>
          <w:lang w:val="en-US" w:eastAsia="zh-CN"/>
        </w:rPr>
        <w:t>卷绕试验</w:t>
      </w:r>
      <w:r>
        <w:rPr>
          <w:rFonts w:hint="eastAsia" w:hAnsi="宋体"/>
        </w:rPr>
        <w:t>，以</w:t>
      </w:r>
      <w:r>
        <w:rPr>
          <w:rFonts w:hint="eastAsia" w:hAnsi="宋体"/>
          <w:lang w:val="en-US" w:eastAsia="zh-CN"/>
        </w:rPr>
        <w:t>降低细圆棒的报废</w:t>
      </w:r>
      <w:r>
        <w:rPr>
          <w:rFonts w:hint="eastAsia" w:hAnsi="宋体"/>
        </w:rPr>
        <w:t>成本</w:t>
      </w:r>
      <w:r>
        <w:rPr>
          <w:rFonts w:hint="eastAsia" w:hAnsi="宋体"/>
          <w:lang w:val="en-US" w:eastAsia="zh-CN"/>
        </w:rPr>
        <w:t>及安全隐患</w:t>
      </w:r>
      <w:r>
        <w:rPr>
          <w:rFonts w:hint="eastAsia" w:hAnsi="宋体"/>
        </w:rPr>
        <w:t>，</w:t>
      </w:r>
      <w:r>
        <w:rPr>
          <w:rFonts w:hint="eastAsia" w:hAnsi="宋体"/>
          <w:lang w:val="en-US" w:eastAsia="zh-CN"/>
        </w:rPr>
        <w:t>激励研发企业进行产品的升级或创新，</w:t>
      </w:r>
      <w:r>
        <w:rPr>
          <w:rFonts w:hint="eastAsia" w:hAnsi="宋体"/>
        </w:rPr>
        <w:t>促进企业降本增效。</w:t>
      </w:r>
    </w:p>
    <w:p w14:paraId="6D92C255">
      <w:pPr>
        <w:pStyle w:val="43"/>
        <w:spacing w:before="312" w:after="312"/>
        <w:rPr>
          <w:rFonts w:hint="eastAsia" w:ascii="宋体" w:hAnsi="宋体"/>
          <w:szCs w:val="21"/>
        </w:rPr>
      </w:pPr>
      <w:bookmarkStart w:id="28" w:name="_Toc513731111"/>
      <w:r>
        <w:rPr>
          <w:rFonts w:hint="eastAsia" w:ascii="宋体" w:hAnsi="宋体"/>
          <w:szCs w:val="21"/>
        </w:rPr>
        <w:t>2 编制主要原则</w:t>
      </w:r>
      <w:bookmarkEnd w:id="28"/>
    </w:p>
    <w:p w14:paraId="32361823">
      <w:pPr>
        <w:pStyle w:val="45"/>
        <w:numPr>
          <w:ilvl w:val="0"/>
          <w:numId w:val="0"/>
        </w:numPr>
        <w:spacing w:before="156" w:beforeLines="50" w:after="156" w:afterLines="50"/>
      </w:pPr>
      <w:r>
        <w:rPr>
          <w:rFonts w:hint="eastAsia"/>
        </w:rPr>
        <w:t>2.1 规范性</w:t>
      </w:r>
    </w:p>
    <w:p w14:paraId="611EA035">
      <w:pPr>
        <w:pStyle w:val="40"/>
      </w:pPr>
      <w:r>
        <w:rPr>
          <w:rFonts w:hint="eastAsia"/>
        </w:rPr>
        <w:t>本标准的编制按照GB/T 1.1—2020《标准化工作导则 第1部分：标准化文件的结构和起草规则》等进行，使标准更严谨、更规范。标准制定流程遵循学会标准化程序，包括立项、起草、征求意见、送审报批等环节，以保证标准的权威性</w:t>
      </w:r>
      <w:r>
        <w:rPr>
          <w:rFonts w:ascii="Times New Roman"/>
        </w:rPr>
        <w:t>‌</w:t>
      </w:r>
      <w:r>
        <w:rPr>
          <w:rFonts w:hint="eastAsia" w:ascii="Times New Roman"/>
        </w:rPr>
        <w:t>。</w:t>
      </w:r>
    </w:p>
    <w:p w14:paraId="1F62B0CF">
      <w:pPr>
        <w:pStyle w:val="45"/>
        <w:numPr>
          <w:ilvl w:val="0"/>
          <w:numId w:val="0"/>
        </w:numPr>
        <w:spacing w:before="156" w:beforeLines="50" w:after="156" w:afterLines="50"/>
      </w:pPr>
      <w:r>
        <w:rPr>
          <w:rFonts w:hint="eastAsia"/>
        </w:rPr>
        <w:t>2.2科学性</w:t>
      </w:r>
    </w:p>
    <w:p w14:paraId="593A05B5">
      <w:pPr>
        <w:pStyle w:val="40"/>
      </w:pPr>
      <w:r>
        <w:rPr>
          <w:rFonts w:hint="eastAsia"/>
        </w:rPr>
        <w:t>本标准是根据</w:t>
      </w:r>
      <w:r>
        <w:rPr>
          <w:rFonts w:hint="eastAsia"/>
          <w:lang w:eastAsia="zh-CN"/>
        </w:rPr>
        <w:t>架空导线用混杂纤维增强复合材料实芯细圆棒</w:t>
      </w:r>
      <w:r>
        <w:rPr>
          <w:rFonts w:hint="eastAsia"/>
        </w:rPr>
        <w:t>卷绕试验现存问题，基于</w:t>
      </w:r>
      <w:r>
        <w:rPr>
          <w:rFonts w:hint="eastAsia"/>
          <w:lang w:val="en-US" w:eastAsia="zh-CN"/>
        </w:rPr>
        <w:t>华东送变电工程有限公司、</w:t>
      </w:r>
      <w:r>
        <w:rPr>
          <w:rFonts w:hint="eastAsia"/>
        </w:rPr>
        <w:t>泛美斯特碳纤维技术（北京）有限公司对</w:t>
      </w:r>
      <w:r>
        <w:rPr>
          <w:rFonts w:hint="eastAsia"/>
          <w:lang w:val="en-US" w:eastAsia="zh-CN"/>
        </w:rPr>
        <w:t>碳纤维复合技术</w:t>
      </w:r>
      <w:r>
        <w:rPr>
          <w:rFonts w:hint="eastAsia"/>
        </w:rPr>
        <w:t>的研发成果以及实际应用，</w:t>
      </w:r>
      <w:r>
        <w:rPr>
          <w:rFonts w:hint="eastAsia"/>
          <w:lang w:val="en-US" w:eastAsia="zh-CN"/>
        </w:rPr>
        <w:t>参考相关现有标准内容</w:t>
      </w:r>
      <w:r>
        <w:rPr>
          <w:rFonts w:hint="eastAsia"/>
        </w:rPr>
        <w:t>的相关要求进行编制的，以确保标准内容的准确性。</w:t>
      </w:r>
    </w:p>
    <w:p w14:paraId="448FCD87">
      <w:pPr>
        <w:pStyle w:val="45"/>
        <w:numPr>
          <w:ilvl w:val="0"/>
          <w:numId w:val="0"/>
        </w:numPr>
        <w:spacing w:before="156" w:beforeLines="50" w:after="156" w:afterLines="50"/>
      </w:pPr>
      <w:r>
        <w:rPr>
          <w:rFonts w:hint="eastAsia"/>
        </w:rPr>
        <w:t>2.3适用性</w:t>
      </w:r>
    </w:p>
    <w:p w14:paraId="187A814A">
      <w:pPr>
        <w:pStyle w:val="40"/>
      </w:pPr>
      <w:r>
        <w:rPr>
          <w:rFonts w:hint="eastAsia"/>
        </w:rPr>
        <w:t>本标准的编制立足于行业实际需求，以</w:t>
      </w:r>
      <w:r>
        <w:rPr>
          <w:rFonts w:hint="eastAsia"/>
          <w:lang w:eastAsia="zh-CN"/>
        </w:rPr>
        <w:t>架空导线用混杂纤维增强复合材料实芯细圆棒</w:t>
      </w:r>
      <w:r>
        <w:rPr>
          <w:rFonts w:hint="eastAsia"/>
        </w:rPr>
        <w:t>卷绕试验方法</w:t>
      </w:r>
      <w:r>
        <w:rPr>
          <w:rFonts w:hint="eastAsia"/>
          <w:lang w:val="en-US" w:eastAsia="zh-CN"/>
        </w:rPr>
        <w:t>科学指导</w:t>
      </w:r>
      <w:r>
        <w:rPr>
          <w:rFonts w:hint="eastAsia"/>
        </w:rPr>
        <w:t>需求为导向，解决</w:t>
      </w:r>
      <w:r>
        <w:rPr>
          <w:rFonts w:hint="eastAsia"/>
          <w:lang w:val="en-US" w:eastAsia="zh-CN"/>
        </w:rPr>
        <w:t>目前参考试验方法标准无法完全适用、细圆棒卷绕运输存在安全隐患、缺乏统一规范的试验方法</w:t>
      </w:r>
      <w:r>
        <w:rPr>
          <w:rFonts w:hint="eastAsia"/>
        </w:rPr>
        <w:t>等问题，标准适用性强。</w:t>
      </w:r>
    </w:p>
    <w:p w14:paraId="14D4BE94">
      <w:pPr>
        <w:pStyle w:val="45"/>
        <w:numPr>
          <w:ilvl w:val="0"/>
          <w:numId w:val="0"/>
        </w:numPr>
        <w:spacing w:before="156" w:beforeLines="50" w:after="156" w:afterLines="50"/>
      </w:pPr>
      <w:r>
        <w:rPr>
          <w:rFonts w:hint="eastAsia"/>
        </w:rPr>
        <w:t>2.3 协调性</w:t>
      </w:r>
    </w:p>
    <w:p w14:paraId="409FF5ED">
      <w:pPr>
        <w:pStyle w:val="40"/>
      </w:pPr>
      <w:r>
        <w:rPr>
          <w:rFonts w:hint="eastAsia"/>
        </w:rPr>
        <w:t>本标准在起草过程中注意了与有关法律法规、相关行业指导文件及规范政策、强制性国家标准、行业标准的协调，没有互相矛盾的内容。及时响应智能化技术迭代及政策变化，与现有</w:t>
      </w:r>
      <w:r>
        <w:rPr>
          <w:rFonts w:hint="eastAsia"/>
          <w:lang w:eastAsia="zh-CN"/>
        </w:rPr>
        <w:t>架空导线用混杂纤维增强复合材料实芯细圆棒</w:t>
      </w:r>
      <w:r>
        <w:rPr>
          <w:rFonts w:hint="eastAsia"/>
        </w:rPr>
        <w:t>系统相关标准体系相互协调，互成一体。</w:t>
      </w:r>
    </w:p>
    <w:p w14:paraId="78C1B431">
      <w:pPr>
        <w:pStyle w:val="43"/>
        <w:spacing w:before="312" w:after="312"/>
        <w:rPr>
          <w:rFonts w:hint="eastAsia" w:ascii="宋体" w:hAnsi="宋体"/>
          <w:szCs w:val="21"/>
        </w:rPr>
      </w:pPr>
      <w:bookmarkStart w:id="29" w:name="_Toc513731112"/>
      <w:r>
        <w:rPr>
          <w:rFonts w:hint="eastAsia" w:ascii="宋体" w:hAnsi="宋体"/>
          <w:szCs w:val="21"/>
        </w:rPr>
        <w:t>3 主要工作过程</w:t>
      </w:r>
      <w:bookmarkEnd w:id="29"/>
    </w:p>
    <w:p w14:paraId="04A2C0D5">
      <w:pPr>
        <w:pStyle w:val="45"/>
        <w:numPr>
          <w:ilvl w:val="0"/>
          <w:numId w:val="0"/>
        </w:numPr>
        <w:spacing w:before="156" w:beforeLines="50" w:after="156" w:afterLines="50"/>
      </w:pPr>
      <w:r>
        <w:rPr>
          <w:rFonts w:hint="eastAsia"/>
        </w:rPr>
        <w:t>3.1前期工作</w:t>
      </w:r>
    </w:p>
    <w:p w14:paraId="72CC51BD">
      <w:pPr>
        <w:pStyle w:val="40"/>
      </w:pPr>
      <w:r>
        <w:rPr>
          <w:rFonts w:hint="eastAsia"/>
        </w:rPr>
        <w:t>（1）成立标准编制工作组：202</w:t>
      </w:r>
      <w:r>
        <w:rPr>
          <w:rFonts w:hint="eastAsia"/>
          <w:lang w:val="en-US" w:eastAsia="zh-CN"/>
        </w:rPr>
        <w:t>4</w:t>
      </w:r>
      <w:r>
        <w:rPr>
          <w:rFonts w:hint="eastAsia"/>
        </w:rPr>
        <w:t>年</w:t>
      </w:r>
      <w:r>
        <w:rPr>
          <w:rFonts w:hint="eastAsia"/>
          <w:lang w:val="en-US" w:eastAsia="zh-CN"/>
        </w:rPr>
        <w:t>3</w:t>
      </w:r>
      <w:r>
        <w:rPr>
          <w:rFonts w:hint="eastAsia"/>
        </w:rPr>
        <w:t>月起，标准发起单位</w:t>
      </w:r>
      <w:r>
        <w:rPr>
          <w:rFonts w:hint="eastAsia"/>
          <w:lang w:val="en-US" w:eastAsia="zh-CN"/>
        </w:rPr>
        <w:t>华东送变电工程</w:t>
      </w:r>
      <w:r>
        <w:rPr>
          <w:rFonts w:hint="eastAsia"/>
        </w:rPr>
        <w:t>有限公司联合</w:t>
      </w:r>
      <w:r>
        <w:rPr>
          <w:rFonts w:hint="eastAsia"/>
          <w:lang w:val="en-US" w:eastAsia="zh-CN"/>
        </w:rPr>
        <w:t>国网黑龙江省电力有限公司电力科学研究院、泛美斯特碳纤维技术（北京）有限公司、杭州标检科技有限公司、浙江上检电力检测有限公司、昆明飞翔材料技术有限公司</w:t>
      </w:r>
      <w:r>
        <w:rPr>
          <w:rFonts w:hint="eastAsia"/>
        </w:rPr>
        <w:t>等参与单位着手进行编制准备。为保证标准编制工作的顺利开展，成立标准编制工作组。</w:t>
      </w:r>
    </w:p>
    <w:p w14:paraId="2368BFDD">
      <w:pPr>
        <w:pStyle w:val="40"/>
      </w:pPr>
      <w:r>
        <w:rPr>
          <w:rFonts w:hint="eastAsia"/>
        </w:rPr>
        <w:t>（2）调查研究和收集资料：202</w:t>
      </w:r>
      <w:r>
        <w:rPr>
          <w:rFonts w:hint="eastAsia"/>
          <w:lang w:val="en-US" w:eastAsia="zh-CN"/>
        </w:rPr>
        <w:t>4</w:t>
      </w:r>
      <w:r>
        <w:rPr>
          <w:rFonts w:hint="eastAsia"/>
        </w:rPr>
        <w:t>年4月至5月，工作组组织多次讨论会议，并与相关企业及标准研究机构展开交流，对</w:t>
      </w:r>
      <w:r>
        <w:rPr>
          <w:rFonts w:hint="eastAsia"/>
          <w:lang w:eastAsia="zh-CN"/>
        </w:rPr>
        <w:t>架空导线用混杂纤维增强复合材料实芯细圆棒</w:t>
      </w:r>
      <w:r>
        <w:rPr>
          <w:rFonts w:hint="eastAsia"/>
        </w:rPr>
        <w:t>卷绕试验方法国内外发展及应用等相关资料进行了收集与整理，系统梳理</w:t>
      </w:r>
      <w:r>
        <w:rPr>
          <w:rFonts w:hint="eastAsia"/>
          <w:lang w:eastAsia="zh-CN"/>
        </w:rPr>
        <w:t>了</w:t>
      </w:r>
      <w:r>
        <w:rPr>
          <w:rFonts w:hint="eastAsia"/>
          <w:lang w:val="en-US" w:eastAsia="zh-CN"/>
        </w:rPr>
        <w:t>相关</w:t>
      </w:r>
      <w:r>
        <w:rPr>
          <w:rFonts w:hint="eastAsia"/>
        </w:rPr>
        <w:t>核心信息。</w:t>
      </w:r>
    </w:p>
    <w:p w14:paraId="04955309">
      <w:pPr>
        <w:pStyle w:val="40"/>
      </w:pPr>
      <w:r>
        <w:rPr>
          <w:rFonts w:hint="eastAsia"/>
        </w:rPr>
        <w:t>（3）初稿编制：202</w:t>
      </w:r>
      <w:r>
        <w:rPr>
          <w:rFonts w:hint="eastAsia"/>
          <w:lang w:val="en-US" w:eastAsia="zh-CN"/>
        </w:rPr>
        <w:t>4</w:t>
      </w:r>
      <w:r>
        <w:rPr>
          <w:rFonts w:hint="eastAsia"/>
        </w:rPr>
        <w:t>年</w:t>
      </w:r>
      <w:r>
        <w:rPr>
          <w:rFonts w:hint="eastAsia"/>
          <w:lang w:val="en-US" w:eastAsia="zh-CN"/>
        </w:rPr>
        <w:t>6</w:t>
      </w:r>
      <w:r>
        <w:rPr>
          <w:rFonts w:hint="eastAsia"/>
        </w:rPr>
        <w:t>月至</w:t>
      </w:r>
      <w:r>
        <w:rPr>
          <w:rFonts w:hint="eastAsia"/>
          <w:lang w:val="en-US" w:eastAsia="zh-CN"/>
        </w:rPr>
        <w:t>8</w:t>
      </w:r>
      <w:r>
        <w:rPr>
          <w:rFonts w:hint="eastAsia"/>
        </w:rPr>
        <w:t>月，在前期项目研究、文献资料分析、信息调研的基础上，工作组确立了标准结构，形成标准草案。</w:t>
      </w:r>
    </w:p>
    <w:p w14:paraId="6F9F3A43">
      <w:pPr>
        <w:pStyle w:val="45"/>
        <w:numPr>
          <w:ilvl w:val="0"/>
          <w:numId w:val="0"/>
        </w:numPr>
        <w:spacing w:before="156" w:beforeLines="50" w:after="156" w:afterLines="50"/>
      </w:pPr>
      <w:r>
        <w:rPr>
          <w:rFonts w:hint="eastAsia"/>
        </w:rPr>
        <w:t>3.2标准立项</w:t>
      </w:r>
    </w:p>
    <w:p w14:paraId="4A8B0CCF">
      <w:pPr>
        <w:pStyle w:val="40"/>
      </w:pPr>
      <w:r>
        <w:rPr>
          <w:rFonts w:hint="eastAsia"/>
        </w:rPr>
        <w:t>202</w:t>
      </w:r>
      <w:r>
        <w:rPr>
          <w:rFonts w:hint="eastAsia"/>
          <w:lang w:val="en-US" w:eastAsia="zh-CN"/>
        </w:rPr>
        <w:t>4</w:t>
      </w:r>
      <w:r>
        <w:rPr>
          <w:rFonts w:hint="eastAsia"/>
        </w:rPr>
        <w:t>年</w:t>
      </w:r>
      <w:r>
        <w:rPr>
          <w:rFonts w:hint="eastAsia"/>
          <w:lang w:val="en-US" w:eastAsia="zh-CN"/>
        </w:rPr>
        <w:t>10</w:t>
      </w:r>
      <w:r>
        <w:rPr>
          <w:rFonts w:hint="eastAsia"/>
        </w:rPr>
        <w:t>月，标准发起单位向中国电机工程学会提起立项申请，经专家质询与讨论一致同意通过该团体标准立项，并提出如下修改意见：(1) 进一步斟酌标准名称的主体元素；(2)对系统的整体架构、系统构成、功能性能等进行深入研究；(3) 按照 GB/T</w:t>
      </w:r>
      <w:r>
        <w:rPr>
          <w:rFonts w:hint="eastAsia"/>
          <w:lang w:val="en-US" w:eastAsia="zh-CN"/>
        </w:rPr>
        <w:t xml:space="preserve"> 1.1</w:t>
      </w:r>
      <w:r>
        <w:rPr>
          <w:rFonts w:hint="eastAsia"/>
        </w:rPr>
        <w:t xml:space="preserve">的要求进行编制。 </w:t>
      </w:r>
    </w:p>
    <w:p w14:paraId="53772D67">
      <w:pPr>
        <w:pStyle w:val="40"/>
      </w:pPr>
      <w:r>
        <w:rPr>
          <w:rFonts w:hint="eastAsia"/>
        </w:rPr>
        <w:t>202</w:t>
      </w:r>
      <w:r>
        <w:rPr>
          <w:rFonts w:hint="eastAsia"/>
          <w:lang w:val="en-US" w:eastAsia="zh-CN"/>
        </w:rPr>
        <w:t>4</w:t>
      </w:r>
      <w:r>
        <w:rPr>
          <w:rFonts w:hint="eastAsia"/>
        </w:rPr>
        <w:t>年</w:t>
      </w:r>
      <w:r>
        <w:rPr>
          <w:rFonts w:hint="eastAsia"/>
          <w:lang w:val="en-US" w:eastAsia="zh-CN"/>
        </w:rPr>
        <w:t>12</w:t>
      </w:r>
      <w:r>
        <w:rPr>
          <w:rFonts w:hint="eastAsia"/>
        </w:rPr>
        <w:t>月</w:t>
      </w:r>
      <w:r>
        <w:rPr>
          <w:rFonts w:hint="eastAsia"/>
          <w:lang w:val="en-US" w:eastAsia="zh-CN"/>
        </w:rPr>
        <w:t>31</w:t>
      </w:r>
      <w:r>
        <w:rPr>
          <w:rFonts w:hint="eastAsia"/>
        </w:rPr>
        <w:t>日，中国电机工程学会发布《中国电机工程学会关于印发“中国电机工程学会 2024 年标准计划（第二批）”的通知》（电机咨[202</w:t>
      </w:r>
      <w:r>
        <w:rPr>
          <w:rFonts w:hint="eastAsia"/>
          <w:lang w:val="en-US" w:eastAsia="zh-CN"/>
        </w:rPr>
        <w:t>4</w:t>
      </w:r>
      <w:r>
        <w:rPr>
          <w:rFonts w:hint="eastAsia"/>
        </w:rPr>
        <w:t>]</w:t>
      </w:r>
      <w:r>
        <w:rPr>
          <w:rFonts w:hint="eastAsia"/>
          <w:lang w:val="en-US" w:eastAsia="zh-CN"/>
        </w:rPr>
        <w:t>535</w:t>
      </w:r>
      <w:r>
        <w:rPr>
          <w:rFonts w:hint="eastAsia"/>
        </w:rPr>
        <w:t>号），该标准位列其中，正式批准立项。</w:t>
      </w:r>
    </w:p>
    <w:p w14:paraId="1E1597D8">
      <w:pPr>
        <w:pStyle w:val="45"/>
        <w:numPr>
          <w:ilvl w:val="0"/>
          <w:numId w:val="0"/>
        </w:numPr>
        <w:spacing w:before="156" w:beforeLines="50" w:after="156" w:afterLines="50"/>
      </w:pPr>
      <w:r>
        <w:rPr>
          <w:rFonts w:hint="eastAsia"/>
        </w:rPr>
        <w:t>3.3预征求意见</w:t>
      </w:r>
    </w:p>
    <w:p w14:paraId="56EF0E63">
      <w:pPr>
        <w:pStyle w:val="40"/>
      </w:pPr>
      <w:r>
        <w:rPr>
          <w:rFonts w:hint="eastAsia"/>
        </w:rPr>
        <w:t>标准立项后，标准编制工作组多次召开内部讨论会，不断收集、完善标准相关内容。计划2025年</w:t>
      </w:r>
      <w:r>
        <w:rPr>
          <w:rFonts w:hint="eastAsia"/>
          <w:lang w:val="en-US" w:eastAsia="zh-CN"/>
        </w:rPr>
        <w:t>3</w:t>
      </w:r>
      <w:r>
        <w:rPr>
          <w:rFonts w:hint="eastAsia"/>
        </w:rPr>
        <w:t>月形成</w:t>
      </w:r>
      <w:bookmarkStart w:id="30" w:name="_Hlk192345125"/>
      <w:r>
        <w:rPr>
          <w:rFonts w:hint="eastAsia"/>
        </w:rPr>
        <w:t>《</w:t>
      </w:r>
      <w:r>
        <w:rPr>
          <w:rFonts w:hint="eastAsia"/>
          <w:lang w:eastAsia="zh-CN"/>
        </w:rPr>
        <w:t>架空导线用混杂纤维增强复合材料实芯细圆棒</w:t>
      </w:r>
      <w:r>
        <w:rPr>
          <w:rFonts w:hint="eastAsia"/>
        </w:rPr>
        <w:t xml:space="preserve">  卷绕试验方法》</w:t>
      </w:r>
      <w:bookmarkEnd w:id="30"/>
      <w:r>
        <w:rPr>
          <w:rFonts w:hint="eastAsia"/>
        </w:rPr>
        <w:t>(征求意见稿)及编制说明提交协会，经协会审核通过后正式进入征求意见阶段。</w:t>
      </w:r>
    </w:p>
    <w:p w14:paraId="15167D21">
      <w:pPr>
        <w:pStyle w:val="43"/>
        <w:spacing w:before="312" w:after="312"/>
      </w:pPr>
      <w:bookmarkStart w:id="31" w:name="_Toc513731113"/>
      <w:r>
        <w:rPr>
          <w:rFonts w:hint="eastAsia" w:ascii="宋体" w:hAnsi="宋体"/>
          <w:szCs w:val="21"/>
        </w:rPr>
        <w:t>4</w:t>
      </w:r>
      <w:r>
        <w:rPr>
          <w:rFonts w:hint="eastAsia"/>
        </w:rPr>
        <w:t xml:space="preserve"> 标准结构和内容说明</w:t>
      </w:r>
      <w:bookmarkEnd w:id="31"/>
    </w:p>
    <w:p w14:paraId="14BA24F1">
      <w:pPr>
        <w:pStyle w:val="45"/>
        <w:numPr>
          <w:ilvl w:val="0"/>
          <w:numId w:val="0"/>
        </w:numPr>
        <w:spacing w:before="156" w:beforeLines="50" w:after="156" w:afterLines="50"/>
      </w:pPr>
      <w:r>
        <w:rPr>
          <w:rFonts w:hint="eastAsia"/>
        </w:rPr>
        <w:t>4.1适用范围</w:t>
      </w:r>
    </w:p>
    <w:p w14:paraId="2F9B2101">
      <w:pPr>
        <w:pStyle w:val="40"/>
      </w:pPr>
      <w:r>
        <w:rPr>
          <w:rFonts w:hint="eastAsia"/>
        </w:rPr>
        <w:t>本标准规定了直径范围在2mm～15mm内的</w:t>
      </w:r>
      <w:r>
        <w:rPr>
          <w:rFonts w:hint="eastAsia"/>
          <w:lang w:eastAsia="zh-CN"/>
        </w:rPr>
        <w:t>架空导线用混杂纤维增强复合材料实芯细圆棒</w:t>
      </w:r>
      <w:r>
        <w:rPr>
          <w:rFonts w:hint="eastAsia"/>
        </w:rPr>
        <w:t>的卷绕试验方法，包括试验条件、设备要求、试验步骤及判定准则。适用于验证此类</w:t>
      </w:r>
      <w:r>
        <w:rPr>
          <w:rFonts w:hint="eastAsia"/>
          <w:lang w:eastAsia="zh-CN"/>
        </w:rPr>
        <w:t>细圆棒</w:t>
      </w:r>
      <w:r>
        <w:rPr>
          <w:rFonts w:hint="eastAsia"/>
        </w:rPr>
        <w:t>在卷绕过程中承受塑性变形能力的测试，以及配套线盘卷轴半径的校核。</w:t>
      </w:r>
    </w:p>
    <w:p w14:paraId="7D160475">
      <w:pPr>
        <w:pStyle w:val="45"/>
        <w:numPr>
          <w:ilvl w:val="0"/>
          <w:numId w:val="0"/>
        </w:numPr>
        <w:spacing w:before="156" w:beforeLines="50" w:after="156" w:afterLines="50"/>
      </w:pPr>
      <w:r>
        <w:rPr>
          <w:rFonts w:hint="eastAsia"/>
        </w:rPr>
        <w:t>4.2主要技术内容</w:t>
      </w:r>
    </w:p>
    <w:p w14:paraId="52D559ED">
      <w:pPr>
        <w:pStyle w:val="40"/>
      </w:pPr>
      <w:r>
        <w:rPr>
          <w:rFonts w:hint="eastAsia"/>
        </w:rPr>
        <w:t>（1）术语和定义：对</w:t>
      </w:r>
      <w:r>
        <w:rPr>
          <w:rFonts w:hint="eastAsia"/>
          <w:lang w:val="en-US" w:eastAsia="zh-CN"/>
        </w:rPr>
        <w:t>架空导线用混杂纤维增强复合材料实芯细圆棒、卷绕试验、轴向拉伸试验、卷绕盘</w:t>
      </w:r>
      <w:r>
        <w:rPr>
          <w:rFonts w:hint="eastAsia"/>
        </w:rPr>
        <w:t>的定义进行了阐述；</w:t>
      </w:r>
    </w:p>
    <w:p w14:paraId="413C82D1">
      <w:pPr>
        <w:pStyle w:val="40"/>
      </w:pPr>
      <w:r>
        <w:rPr>
          <w:rFonts w:hint="eastAsia"/>
        </w:rPr>
        <w:t>（2）</w:t>
      </w:r>
      <w:r>
        <w:rPr>
          <w:rFonts w:hint="eastAsia"/>
          <w:lang w:val="en-US" w:eastAsia="zh-CN"/>
        </w:rPr>
        <w:t>试验条件</w:t>
      </w:r>
      <w:r>
        <w:rPr>
          <w:rFonts w:hint="eastAsia"/>
        </w:rPr>
        <w:t>：对</w:t>
      </w:r>
      <w:r>
        <w:rPr>
          <w:rFonts w:hint="eastAsia"/>
          <w:lang w:val="en-US" w:eastAsia="zh-CN"/>
        </w:rPr>
        <w:t>架空导线用混杂纤维增强复合材料实芯细圆棒进行卷绕试验的室内温度、相对湿度和电源电压的波动范围</w:t>
      </w:r>
      <w:r>
        <w:rPr>
          <w:rFonts w:hint="eastAsia"/>
        </w:rPr>
        <w:t>进行说明；</w:t>
      </w:r>
    </w:p>
    <w:p w14:paraId="6A24E1A9">
      <w:pPr>
        <w:pStyle w:val="40"/>
      </w:pPr>
      <w:r>
        <w:rPr>
          <w:rFonts w:hint="eastAsia"/>
        </w:rPr>
        <w:t>（3）</w:t>
      </w:r>
      <w:r>
        <w:rPr>
          <w:rFonts w:hint="eastAsia"/>
          <w:lang w:val="en-US" w:eastAsia="zh-CN"/>
        </w:rPr>
        <w:t>试验装置</w:t>
      </w:r>
      <w:r>
        <w:rPr>
          <w:rFonts w:hint="eastAsia"/>
        </w:rPr>
        <w:t>：对</w:t>
      </w:r>
      <w:r>
        <w:rPr>
          <w:rFonts w:hint="eastAsia"/>
          <w:lang w:val="en-US" w:eastAsia="zh-CN"/>
        </w:rPr>
        <w:t>架空导线用混杂纤维增强复合材料实芯细圆棒卷绕试验的卷绕机和卧式拉力机两个试验装置的具体要求进行了规定</w:t>
      </w:r>
      <w:r>
        <w:rPr>
          <w:rFonts w:hint="eastAsia"/>
        </w:rPr>
        <w:t>；</w:t>
      </w:r>
    </w:p>
    <w:p w14:paraId="25442188">
      <w:pPr>
        <w:pStyle w:val="40"/>
      </w:pPr>
      <w:r>
        <w:rPr>
          <w:rFonts w:hint="eastAsia"/>
        </w:rPr>
        <w:t>（4）</w:t>
      </w:r>
      <w:r>
        <w:rPr>
          <w:rFonts w:hint="eastAsia"/>
          <w:lang w:val="en-US" w:eastAsia="zh-CN"/>
        </w:rPr>
        <w:t>试验方法</w:t>
      </w:r>
      <w:r>
        <w:rPr>
          <w:rFonts w:hint="eastAsia"/>
        </w:rPr>
        <w:t>：对</w:t>
      </w:r>
      <w:r>
        <w:rPr>
          <w:rFonts w:hint="eastAsia"/>
          <w:lang w:val="en-US" w:eastAsia="zh-CN"/>
        </w:rPr>
        <w:t>架空导线用混杂纤维增强复合材料实芯细圆棒卷绕试验需要进行的外观检查、尺寸测量、试样准备、附件选择前期准备，以及卷绕前的预轴向拉伸测试、卷绕试样安装、逆时针卷绕和轴向拉伸试验的各项试验步骤作出了具体要求</w:t>
      </w:r>
      <w:r>
        <w:rPr>
          <w:rFonts w:hint="eastAsia"/>
        </w:rPr>
        <w:t>；</w:t>
      </w:r>
    </w:p>
    <w:p w14:paraId="61D5C6F1">
      <w:pPr>
        <w:pStyle w:val="40"/>
      </w:pPr>
      <w:r>
        <w:rPr>
          <w:rFonts w:hint="eastAsia"/>
        </w:rPr>
        <w:t>（5）</w:t>
      </w:r>
      <w:r>
        <w:rPr>
          <w:rFonts w:hint="eastAsia"/>
          <w:lang w:val="en-US" w:eastAsia="zh-CN"/>
        </w:rPr>
        <w:t>判定规则</w:t>
      </w:r>
      <w:r>
        <w:rPr>
          <w:rFonts w:hint="eastAsia"/>
        </w:rPr>
        <w:t>：对</w:t>
      </w:r>
      <w:r>
        <w:rPr>
          <w:rFonts w:hint="eastAsia"/>
          <w:lang w:eastAsia="zh-CN"/>
        </w:rPr>
        <w:t>架空导线用混杂纤维增强复合材料实芯细圆棒</w:t>
      </w:r>
      <w:r>
        <w:rPr>
          <w:rFonts w:hint="eastAsia"/>
        </w:rPr>
        <w:t>卷绕试验</w:t>
      </w:r>
      <w:r>
        <w:rPr>
          <w:rFonts w:hint="eastAsia"/>
          <w:lang w:val="en-US" w:eastAsia="zh-CN"/>
        </w:rPr>
        <w:t>的最终试验结果的合格与否</w:t>
      </w:r>
      <w:r>
        <w:rPr>
          <w:rFonts w:hint="eastAsia"/>
        </w:rPr>
        <w:t>提供了</w:t>
      </w:r>
      <w:r>
        <w:rPr>
          <w:rFonts w:hint="eastAsia"/>
          <w:lang w:val="en-US" w:eastAsia="zh-CN"/>
        </w:rPr>
        <w:t>判定依据</w:t>
      </w:r>
      <w:r>
        <w:rPr>
          <w:rFonts w:hint="eastAsia"/>
        </w:rPr>
        <w:t>；</w:t>
      </w:r>
    </w:p>
    <w:p w14:paraId="2FA65068">
      <w:pPr>
        <w:pStyle w:val="40"/>
        <w:rPr>
          <w:rFonts w:hint="eastAsia" w:eastAsia="宋体"/>
          <w:lang w:eastAsia="zh-CN"/>
        </w:rPr>
      </w:pPr>
      <w:r>
        <w:rPr>
          <w:rFonts w:hint="eastAsia"/>
        </w:rPr>
        <w:t>（6）</w:t>
      </w:r>
      <w:r>
        <w:rPr>
          <w:rFonts w:hint="eastAsia"/>
          <w:lang w:val="en-US" w:eastAsia="zh-CN"/>
        </w:rPr>
        <w:t>试验报告</w:t>
      </w:r>
      <w:r>
        <w:rPr>
          <w:rFonts w:hint="eastAsia"/>
        </w:rPr>
        <w:t>：</w:t>
      </w:r>
      <w:r>
        <w:rPr>
          <w:rFonts w:hint="eastAsia"/>
          <w:lang w:val="en-US" w:eastAsia="zh-CN"/>
        </w:rPr>
        <w:t>对架空导线用混杂纤维增强复合材料实芯细圆棒卷绕试验的试验报告应包含的内容提供了相关指导</w:t>
      </w:r>
      <w:r>
        <w:rPr>
          <w:rFonts w:hint="eastAsia"/>
          <w:lang w:eastAsia="zh-CN"/>
        </w:rPr>
        <w:t>。</w:t>
      </w:r>
    </w:p>
    <w:p w14:paraId="50B5F0A4">
      <w:pPr>
        <w:pStyle w:val="43"/>
        <w:spacing w:before="312" w:after="312"/>
      </w:pPr>
      <w:bookmarkStart w:id="32" w:name="_Toc513731114"/>
      <w:r>
        <w:rPr>
          <w:rFonts w:hint="eastAsia" w:ascii="宋体" w:hAnsi="宋体"/>
          <w:szCs w:val="21"/>
        </w:rPr>
        <w:t>5相关</w:t>
      </w:r>
      <w:r>
        <w:rPr>
          <w:rFonts w:hint="eastAsia"/>
        </w:rPr>
        <w:t>标准对比说明</w:t>
      </w:r>
      <w:bookmarkEnd w:id="32"/>
    </w:p>
    <w:p w14:paraId="531D3B46">
      <w:pPr>
        <w:pStyle w:val="40"/>
      </w:pPr>
      <w:r>
        <w:rPr>
          <w:rFonts w:hint="eastAsia"/>
        </w:rPr>
        <w:t>（1）《</w:t>
      </w:r>
      <w:r>
        <w:rPr>
          <w:rFonts w:hint="eastAsia"/>
          <w:lang w:val="en-US" w:eastAsia="zh-CN"/>
        </w:rPr>
        <w:t>裸电线试验方法  第7部分：卷绕试验</w:t>
      </w:r>
      <w:r>
        <w:rPr>
          <w:rFonts w:hint="eastAsia"/>
        </w:rPr>
        <w:t>》（GB</w:t>
      </w:r>
      <w:r>
        <w:rPr>
          <w:rFonts w:hint="eastAsia"/>
          <w:lang w:val="en-US" w:eastAsia="zh-CN"/>
        </w:rPr>
        <w:t>/T 4909.7-2007</w:t>
      </w:r>
      <w:r>
        <w:rPr>
          <w:rFonts w:hint="eastAsia"/>
        </w:rPr>
        <w:t>）规定了裸导线卷绕试验的试验设备、测量步骤、试验结果及评定等。本标准</w:t>
      </w:r>
      <w:r>
        <w:rPr>
          <w:rFonts w:hint="eastAsia"/>
          <w:lang w:val="en-US" w:eastAsia="zh-CN"/>
        </w:rPr>
        <w:t>仅针对铜、铝及其合金、双金属线灯的截面导体的卷绕性能，与架空导线用混杂纤维增强复合材料实芯细圆棒的材料存在差异</w:t>
      </w:r>
      <w:r>
        <w:rPr>
          <w:rFonts w:hint="eastAsia"/>
        </w:rPr>
        <w:t>。</w:t>
      </w:r>
    </w:p>
    <w:p w14:paraId="3F2C40A0">
      <w:pPr>
        <w:pStyle w:val="40"/>
      </w:pPr>
      <w:r>
        <w:rPr>
          <w:rFonts w:hint="eastAsia"/>
        </w:rPr>
        <w:t>（2）《</w:t>
      </w:r>
      <w:r>
        <w:rPr>
          <w:rFonts w:hint="eastAsia"/>
          <w:lang w:val="en-US" w:eastAsia="zh-CN"/>
        </w:rPr>
        <w:t>架空导线用碳纤维增强复合材料芯</w:t>
      </w:r>
      <w:r>
        <w:rPr>
          <w:rFonts w:hint="eastAsia"/>
        </w:rPr>
        <w:t>》</w:t>
      </w:r>
      <w:r>
        <w:rPr>
          <w:rFonts w:hint="eastAsia" w:ascii="Times New Roman"/>
        </w:rPr>
        <w:t>（</w:t>
      </w:r>
      <w:r>
        <w:rPr>
          <w:rFonts w:hint="eastAsia"/>
          <w:lang w:val="en-US" w:eastAsia="zh-CN"/>
        </w:rPr>
        <w:t>GB</w:t>
      </w:r>
      <w:r>
        <w:t xml:space="preserve">/T </w:t>
      </w:r>
      <w:r>
        <w:rPr>
          <w:rFonts w:hint="eastAsia"/>
          <w:lang w:val="en-US" w:eastAsia="zh-CN"/>
        </w:rPr>
        <w:t>29324</w:t>
      </w:r>
      <w:r>
        <w:t>-20</w:t>
      </w:r>
      <w:r>
        <w:rPr>
          <w:rFonts w:hint="eastAsia"/>
          <w:lang w:val="en-US" w:eastAsia="zh-CN"/>
        </w:rPr>
        <w:t>24</w:t>
      </w:r>
      <w:r>
        <w:rPr>
          <w:rFonts w:hint="eastAsia" w:ascii="Times New Roman"/>
        </w:rPr>
        <w:t>）</w:t>
      </w:r>
      <w:r>
        <w:rPr>
          <w:rFonts w:hint="eastAsia"/>
        </w:rPr>
        <w:t>规定了架空导线用碳纤维增强复合材料芯的产品型号和表示方法，结构，技术要求，检验规则，包装、标志、运输和贮存，接受和拒收，描述了相应的试验方法。</w:t>
      </w:r>
      <w:r>
        <w:rPr>
          <w:rFonts w:hint="eastAsia"/>
          <w:lang w:val="en-US" w:eastAsia="zh-CN"/>
        </w:rPr>
        <w:t>本标准内提到了碳纤维芯的卷绕技术要求和试验方法，但仅针对于架空导线用的纤维增强复合材料芯</w:t>
      </w:r>
      <w:r>
        <w:rPr>
          <w:rFonts w:hint="eastAsia"/>
        </w:rPr>
        <w:t>。</w:t>
      </w:r>
    </w:p>
    <w:p w14:paraId="35920ABD">
      <w:pPr>
        <w:pStyle w:val="40"/>
      </w:pPr>
      <w:r>
        <w:t>​</w:t>
      </w:r>
      <w:r>
        <w:rPr>
          <w:rFonts w:hint="eastAsia"/>
        </w:rPr>
        <w:t>（3）《</w:t>
      </w:r>
      <w:r>
        <w:rPr>
          <w:rFonts w:hint="eastAsia"/>
          <w:lang w:val="en-US" w:eastAsia="zh-CN"/>
        </w:rPr>
        <w:t>桥梁用预应力碳纤维板（筋）体外束）</w:t>
      </w:r>
      <w:r>
        <w:rPr>
          <w:rFonts w:hint="eastAsia"/>
        </w:rPr>
        <w:t>》（</w:t>
      </w:r>
      <w:r>
        <w:rPr>
          <w:rFonts w:hint="eastAsia"/>
          <w:lang w:val="en-US" w:eastAsia="zh-CN"/>
        </w:rPr>
        <w:t>JT/T 1450-2022</w:t>
      </w:r>
      <w:r>
        <w:rPr>
          <w:rFonts w:hint="eastAsia"/>
        </w:rPr>
        <w:t>）规定了桥梁用预应力碳纤维板体外束的分类、结构形式、规格和型号，技术要求，试验方法，检验规则，以及标志、包装、运输和储存等要求。本标准</w:t>
      </w:r>
      <w:r>
        <w:rPr>
          <w:rFonts w:hint="eastAsia"/>
          <w:lang w:val="en-US" w:eastAsia="zh-CN"/>
        </w:rPr>
        <w:t>针对预应力、静载锚固性能、疲劳荷载性能、应力松弛性能的要求和试验方法作出了规定</w:t>
      </w:r>
      <w:r>
        <w:rPr>
          <w:rFonts w:hint="eastAsia"/>
        </w:rPr>
        <w:t>。</w:t>
      </w:r>
    </w:p>
    <w:p w14:paraId="5D3B36C0">
      <w:pPr>
        <w:pStyle w:val="40"/>
      </w:pPr>
      <w:r>
        <w:t>​</w:t>
      </w:r>
      <w:r>
        <w:rPr>
          <w:rFonts w:hint="eastAsia"/>
        </w:rPr>
        <w:t>（4）《</w:t>
      </w:r>
      <w:r>
        <w:rPr>
          <w:rFonts w:hint="eastAsia"/>
          <w:lang w:val="en-US" w:eastAsia="zh-CN"/>
        </w:rPr>
        <w:t>金属材料-线材-缠绕试验</w:t>
      </w:r>
      <w:r>
        <w:rPr>
          <w:rFonts w:hint="eastAsia"/>
        </w:rPr>
        <w:t>》（</w:t>
      </w:r>
      <w:r>
        <w:t xml:space="preserve">ISO </w:t>
      </w:r>
      <w:r>
        <w:rPr>
          <w:rFonts w:hint="eastAsia"/>
          <w:lang w:val="en-US" w:eastAsia="zh-CN"/>
        </w:rPr>
        <w:t>7802:2013</w:t>
      </w:r>
      <w:r>
        <w:rPr>
          <w:rFonts w:hint="eastAsia"/>
        </w:rPr>
        <w:t>）规定了测定直径或厚度为 0.1 毫米至 10 毫米（含）的金属丝在缠绕过程中承受塑性变形能力的方法。本标准所述</w:t>
      </w:r>
      <w:r>
        <w:rPr>
          <w:rFonts w:hint="eastAsia"/>
          <w:lang w:val="en-US" w:eastAsia="zh-CN"/>
        </w:rPr>
        <w:t>试验</w:t>
      </w:r>
      <w:r>
        <w:rPr>
          <w:rFonts w:hint="eastAsia"/>
        </w:rPr>
        <w:t>可以检验有色金属线材的表面质量及残余塑形</w:t>
      </w:r>
      <w:r>
        <w:rPr>
          <w:rFonts w:hint="eastAsia"/>
          <w:lang w:eastAsia="zh-CN"/>
        </w:rPr>
        <w:t>，以显示其表面缺陷或镀层的结合牢固性</w:t>
      </w:r>
      <w:r>
        <w:rPr>
          <w:rFonts w:hint="eastAsia"/>
        </w:rPr>
        <w:t>。</w:t>
      </w:r>
    </w:p>
    <w:p w14:paraId="022B5F36">
      <w:pPr>
        <w:pStyle w:val="43"/>
        <w:spacing w:before="312" w:after="312"/>
        <w:rPr>
          <w:rFonts w:hint="eastAsia" w:ascii="宋体" w:hAnsi="宋体"/>
          <w:szCs w:val="21"/>
        </w:rPr>
      </w:pPr>
      <w:bookmarkStart w:id="33" w:name="_Toc513731115"/>
      <w:r>
        <w:rPr>
          <w:rFonts w:hint="eastAsia" w:ascii="宋体" w:hAnsi="宋体"/>
          <w:szCs w:val="21"/>
        </w:rPr>
        <w:t>6标准实施措施说明</w:t>
      </w:r>
      <w:bookmarkEnd w:id="33"/>
    </w:p>
    <w:p w14:paraId="2B8ACB62">
      <w:pPr>
        <w:pStyle w:val="40"/>
      </w:pPr>
      <w:r>
        <w:rPr>
          <w:rFonts w:hint="eastAsia"/>
        </w:rPr>
        <w:t>本标准发布后，标准发起单位</w:t>
      </w:r>
      <w:r>
        <w:rPr>
          <w:rFonts w:hint="eastAsia"/>
          <w:lang w:val="en-US" w:eastAsia="zh-CN"/>
        </w:rPr>
        <w:t>华东送变电工程</w:t>
      </w:r>
      <w:r>
        <w:rPr>
          <w:rFonts w:hint="eastAsia"/>
        </w:rPr>
        <w:t>有限公司将发挥行业领域带头作用，联合参与单位组织开展宣贯培训，高效协调行业内相关电力公司、</w:t>
      </w:r>
      <w:r>
        <w:rPr>
          <w:rFonts w:hint="eastAsia"/>
          <w:lang w:val="en-US" w:eastAsia="zh-CN"/>
        </w:rPr>
        <w:t>检测机构</w:t>
      </w:r>
      <w:r>
        <w:rPr>
          <w:rFonts w:hint="eastAsia"/>
        </w:rPr>
        <w:t>等单位参与标准学习，保障标准有效落地，并对标准实施成效作出充分的评估及持续改进。集团将第一时间落实标准内容，建立长效管理机制，确保落实到位。</w:t>
      </w:r>
    </w:p>
    <w:p w14:paraId="06A94AC4">
      <w:pPr>
        <w:pStyle w:val="40"/>
      </w:pPr>
      <w:r>
        <w:rPr>
          <w:rFonts w:hint="eastAsia"/>
        </w:rPr>
        <w:t>为全面宣传和贯彻执行标准，需采取下列措施进行推进：</w:t>
      </w:r>
    </w:p>
    <w:p w14:paraId="27A604B7">
      <w:pPr>
        <w:pStyle w:val="40"/>
      </w:pPr>
      <w:r>
        <w:rPr>
          <w:rFonts w:hint="eastAsia"/>
        </w:rPr>
        <w:t>（1）组建宣贯领导组和工作组。组织参与本标准编制工作的相关人员组成标准宣贯领导组和工作组；</w:t>
      </w:r>
    </w:p>
    <w:p w14:paraId="47E948AF">
      <w:pPr>
        <w:pStyle w:val="40"/>
      </w:pPr>
      <w:r>
        <w:rPr>
          <w:rFonts w:hint="eastAsia"/>
        </w:rPr>
        <w:t>（2）广泛宣传，大力动员。举办宣传贯彻培训班，印制发放宣传手册，借助政府网站、新闻媒体、现代通信手段等平台进行广泛宣传。</w:t>
      </w:r>
    </w:p>
    <w:p w14:paraId="6C71F28D">
      <w:pPr>
        <w:pStyle w:val="40"/>
      </w:pPr>
      <w:r>
        <w:rPr>
          <w:rFonts w:hint="eastAsia"/>
        </w:rPr>
        <w:t>（3）解析技术指标与实施难点。联合</w:t>
      </w:r>
      <w:r>
        <w:rPr>
          <w:rFonts w:hint="eastAsia"/>
          <w:lang w:val="en-US" w:eastAsia="zh-CN"/>
        </w:rPr>
        <w:t>碳纤维细圆棒生产厂家及检测机构</w:t>
      </w:r>
      <w:r>
        <w:rPr>
          <w:rFonts w:hint="eastAsia"/>
        </w:rPr>
        <w:t>等相关单位开展</w:t>
      </w:r>
      <w:r>
        <w:rPr>
          <w:rFonts w:hint="eastAsia"/>
          <w:lang w:val="en-US" w:eastAsia="zh-CN"/>
        </w:rPr>
        <w:t>实操</w:t>
      </w:r>
      <w:r>
        <w:rPr>
          <w:rFonts w:hint="eastAsia"/>
        </w:rPr>
        <w:t>及</w:t>
      </w:r>
      <w:r>
        <w:rPr>
          <w:rFonts w:hint="eastAsia"/>
          <w:lang w:val="en-US" w:eastAsia="zh-CN"/>
        </w:rPr>
        <w:t>试验分析</w:t>
      </w:r>
      <w:r>
        <w:rPr>
          <w:rFonts w:hint="eastAsia"/>
        </w:rPr>
        <w:t>等，为</w:t>
      </w:r>
      <w:r>
        <w:rPr>
          <w:rFonts w:hint="eastAsia"/>
          <w:lang w:val="en-US" w:eastAsia="zh-CN"/>
        </w:rPr>
        <w:t>标准的制定</w:t>
      </w:r>
      <w:r>
        <w:rPr>
          <w:rFonts w:hint="eastAsia"/>
        </w:rPr>
        <w:t>提供有效的技术指导。</w:t>
      </w:r>
    </w:p>
    <w:p w14:paraId="5B963CC3">
      <w:pPr>
        <w:rPr>
          <w:rFonts w:hint="eastAsia" w:ascii="黑体" w:hAnsi="黑体" w:eastAsia="黑体"/>
          <w:bCs/>
          <w:sz w:val="32"/>
          <w:szCs w:val="32"/>
        </w:rPr>
      </w:pPr>
    </w:p>
    <w:p w14:paraId="5948D186"/>
    <w:sectPr>
      <w:pgSz w:w="11906" w:h="16838"/>
      <w:pgMar w:top="1440" w:right="1588" w:bottom="1440"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9BA72">
    <w:pPr>
      <w:pStyle w:val="46"/>
      <w:jc w:val="center"/>
    </w:pPr>
    <w:r>
      <w:rPr>
        <w:kern w:val="2"/>
      </w:rPr>
      <w:fldChar w:fldCharType="begin"/>
    </w:r>
    <w:r>
      <w:rPr>
        <w:rStyle w:val="18"/>
        <w:kern w:val="2"/>
      </w:rPr>
      <w:instrText xml:space="preserve"> PAGE </w:instrText>
    </w:r>
    <w:r>
      <w:rPr>
        <w:kern w:val="2"/>
      </w:rPr>
      <w:fldChar w:fldCharType="separate"/>
    </w:r>
    <w:r>
      <w:rPr>
        <w:rStyle w:val="18"/>
        <w:kern w:val="2"/>
      </w:rPr>
      <w:t>27</w:t>
    </w:r>
    <w:r>
      <w:rPr>
        <w:kern w:val="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582B3">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65430" cy="174625"/>
              <wp:effectExtent l="0" t="0" r="0" b="0"/>
              <wp:wrapNone/>
              <wp:docPr id="1" name="文本框 5"/>
              <wp:cNvGraphicFramePr/>
              <a:graphic xmlns:a="http://schemas.openxmlformats.org/drawingml/2006/main">
                <a:graphicData uri="http://schemas.microsoft.com/office/word/2010/wordprocessingShape">
                  <wps:wsp>
                    <wps:cNvSpPr txBox="1"/>
                    <wps:spPr>
                      <a:xfrm>
                        <a:off x="0" y="0"/>
                        <a:ext cx="265430" cy="174625"/>
                      </a:xfrm>
                      <a:prstGeom prst="rect">
                        <a:avLst/>
                      </a:prstGeom>
                      <a:noFill/>
                      <a:ln>
                        <a:noFill/>
                      </a:ln>
                    </wps:spPr>
                    <wps:txbx>
                      <w:txbxContent>
                        <w:p w14:paraId="4FAFE722">
                          <w:pPr>
                            <w:tabs>
                              <w:tab w:val="center" w:pos="4153"/>
                              <w:tab w:val="right" w:pos="8306"/>
                            </w:tabs>
                          </w:pPr>
                          <w:r>
                            <w:fldChar w:fldCharType="begin"/>
                          </w:r>
                          <w:r>
                            <w:instrText xml:space="preserve"> PAGE  \* MERGEFORMAT </w:instrText>
                          </w:r>
                          <w:r>
                            <w:fldChar w:fldCharType="separate"/>
                          </w:r>
                          <w:r>
                            <w:t>33</w:t>
                          </w:r>
                          <w:r>
                            <w:fldChar w:fldCharType="end"/>
                          </w:r>
                        </w:p>
                      </w:txbxContent>
                    </wps:txbx>
                    <wps:bodyPr lIns="0" tIns="0" rIns="0" bIns="0" upright="1"/>
                  </wps:wsp>
                </a:graphicData>
              </a:graphic>
            </wp:anchor>
          </w:drawing>
        </mc:Choice>
        <mc:Fallback>
          <w:pict>
            <v:shape id="文本框 5" o:spid="_x0000_s1026" o:spt="202" type="#_x0000_t202" style="position:absolute;left:0pt;margin-top:0pt;height:13.75pt;width:20.9pt;mso-position-horizontal:center;mso-position-horizontal-relative:margin;z-index:251659264;mso-width-relative:page;mso-height-relative:page;" filled="f" stroked="f" coordsize="21600,21600" o:gfxdata="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ExBmdQAAAADAQAADwAAAAAAAAABACAAAAAiAAAAZHJzL2Rvd25yZXYueG1sUEsBAhQAFAAA&#10;AAgAh07iQJDCOna6AQAAcQMAAA4AAAAAAAAAAQAgAAAAIwEAAGRycy9lMm9Eb2MueG1sUEsFBgAA&#10;AAAGAAYAWQEAAE8FAAAAAA==&#10;">
              <v:fill on="f" focussize="0,0"/>
              <v:stroke on="f"/>
              <v:imagedata o:title=""/>
              <o:lock v:ext="edit" aspectratio="f"/>
              <v:textbox inset="0mm,0mm,0mm,0mm">
                <w:txbxContent>
                  <w:p w14:paraId="4FAFE722">
                    <w:pPr>
                      <w:tabs>
                        <w:tab w:val="center" w:pos="4153"/>
                        <w:tab w:val="right" w:pos="8306"/>
                      </w:tabs>
                    </w:pPr>
                    <w:r>
                      <w:fldChar w:fldCharType="begin"/>
                    </w:r>
                    <w:r>
                      <w:instrText xml:space="preserve"> PAGE  \* MERGEFORMAT </w:instrText>
                    </w:r>
                    <w:r>
                      <w:fldChar w:fldCharType="separate"/>
                    </w:r>
                    <w:r>
                      <w:t>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C7861">
    <w:pPr>
      <w:pStyle w:val="41"/>
      <w:wordWrap w:val="0"/>
    </w:pPr>
    <w:r>
      <w:rPr>
        <w:rFonts w:hint="eastAsia"/>
      </w:rPr>
      <w:t>T</w:t>
    </w:r>
    <w:r>
      <w:t>/</w:t>
    </w:r>
    <w:r>
      <w:rPr>
        <w:rFonts w:hint="eastAsia"/>
      </w:rPr>
      <w:t>CSEE</w:t>
    </w:r>
    <w:r>
      <w:rPr>
        <w:rFonts w:hint="eastAsia" w:hAnsi="黑体"/>
      </w:rPr>
      <w:t xml:space="preserve"> XXXX-YYYY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19AE1">
    <w:pPr>
      <w:pStyle w:val="41"/>
      <w:spacing w:before="120" w:after="120"/>
      <w:jc w:val="both"/>
    </w:pPr>
    <w:r>
      <w:t>Q/</w:t>
    </w:r>
    <w:r>
      <w:rPr>
        <w:rFonts w:hint="eastAsia"/>
      </w:rPr>
      <w:t>GDW</w:t>
    </w:r>
    <w:r>
      <w:rPr>
        <w:rFonts w:hint="eastAsia" w:hAnsi="宋体"/>
      </w:rPr>
      <w:t xml:space="preserve"> </w:t>
    </w:r>
    <w:r>
      <w:rPr>
        <w:rFonts w:hint="eastAsia" w:hAnsi="黑体"/>
      </w:rPr>
      <w:t>XX-XXX</w:t>
    </w:r>
    <w:r>
      <w:rPr>
        <w:rFonts w:hAnsi="黑体"/>
      </w:rPr>
      <w:t>—</w:t>
    </w:r>
    <w:r>
      <w:rPr>
        <w:rFonts w:hint="eastAsia" w:hAnsi="黑体"/>
      </w:rPr>
      <w:t>2012-1XXXX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3896C">
    <w:pPr>
      <w:pStyle w:val="41"/>
      <w:wordWrap w:val="0"/>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42"/>
      <w:suff w:val="nothing"/>
      <w:lvlText w:val="%1　"/>
      <w:lvlJc w:val="left"/>
      <w:pPr>
        <w:ind w:left="426" w:firstLine="0"/>
      </w:pPr>
      <w:rPr>
        <w:rFonts w:hint="eastAsia" w:ascii="黑体" w:hAnsi="Times New Roman" w:eastAsia="黑体"/>
        <w:b w:val="0"/>
        <w:i w:val="0"/>
        <w:sz w:val="21"/>
        <w:szCs w:val="21"/>
      </w:rPr>
    </w:lvl>
    <w:lvl w:ilvl="1" w:tentative="0">
      <w:start w:val="1"/>
      <w:numFmt w:val="decimal"/>
      <w:suff w:val="nothing"/>
      <w:lvlText w:val="%1.%2　"/>
      <w:lvlJc w:val="left"/>
      <w:pPr>
        <w:ind w:left="142"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56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4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hdrShapeDefaults>
    <o:shapelayout v:ext="edit">
      <o:idmap v:ext="edit" data="1"/>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E9"/>
    <w:rsid w:val="0008287A"/>
    <w:rsid w:val="000C5607"/>
    <w:rsid w:val="00131C5B"/>
    <w:rsid w:val="00153106"/>
    <w:rsid w:val="001539A9"/>
    <w:rsid w:val="00163E9D"/>
    <w:rsid w:val="00175325"/>
    <w:rsid w:val="001B3D28"/>
    <w:rsid w:val="001B73FA"/>
    <w:rsid w:val="001E3E8B"/>
    <w:rsid w:val="002763D4"/>
    <w:rsid w:val="002F2E48"/>
    <w:rsid w:val="00530FED"/>
    <w:rsid w:val="005A7CD2"/>
    <w:rsid w:val="005B2AD1"/>
    <w:rsid w:val="006E2E9A"/>
    <w:rsid w:val="00746DE5"/>
    <w:rsid w:val="00750F8D"/>
    <w:rsid w:val="007538E1"/>
    <w:rsid w:val="007F43C0"/>
    <w:rsid w:val="00843D4B"/>
    <w:rsid w:val="008502D9"/>
    <w:rsid w:val="008519DE"/>
    <w:rsid w:val="008631BA"/>
    <w:rsid w:val="008A71FC"/>
    <w:rsid w:val="008F28F5"/>
    <w:rsid w:val="0094403B"/>
    <w:rsid w:val="009A23E9"/>
    <w:rsid w:val="00A407CD"/>
    <w:rsid w:val="00A561DE"/>
    <w:rsid w:val="00B451D3"/>
    <w:rsid w:val="00BE7592"/>
    <w:rsid w:val="00C41E93"/>
    <w:rsid w:val="00C81D62"/>
    <w:rsid w:val="00C8478C"/>
    <w:rsid w:val="00E32CEF"/>
    <w:rsid w:val="00EA60AA"/>
    <w:rsid w:val="00F37B7C"/>
    <w:rsid w:val="00F44D60"/>
    <w:rsid w:val="00FA7E07"/>
    <w:rsid w:val="00FE50F1"/>
    <w:rsid w:val="149D101A"/>
    <w:rsid w:val="1AE94FB9"/>
    <w:rsid w:val="1E124827"/>
    <w:rsid w:val="266D4CF0"/>
    <w:rsid w:val="2ADC2444"/>
    <w:rsid w:val="2B473D61"/>
    <w:rsid w:val="2E95044B"/>
    <w:rsid w:val="3B8821A8"/>
    <w:rsid w:val="404C5150"/>
    <w:rsid w:val="411B561D"/>
    <w:rsid w:val="41A9762F"/>
    <w:rsid w:val="4BA97CC9"/>
    <w:rsid w:val="566B1D4F"/>
    <w:rsid w:val="5847689F"/>
    <w:rsid w:val="58F12AC1"/>
    <w:rsid w:val="5BC87CF7"/>
    <w:rsid w:val="5D3A69D3"/>
    <w:rsid w:val="60522673"/>
    <w:rsid w:val="69533249"/>
    <w:rsid w:val="74A25132"/>
    <w:rsid w:val="79024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14:ligatures w14:val="none"/>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3"/>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4"/>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5"/>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6"/>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9"/>
    <w:unhideWhenUsed/>
    <w:qFormat/>
    <w:uiPriority w:val="99"/>
    <w:pPr>
      <w:tabs>
        <w:tab w:val="center" w:pos="4153"/>
        <w:tab w:val="right" w:pos="8306"/>
      </w:tabs>
      <w:snapToGrid w:val="0"/>
      <w:jc w:val="left"/>
    </w:pPr>
    <w:rPr>
      <w:sz w:val="18"/>
      <w:szCs w:val="18"/>
    </w:rPr>
  </w:style>
  <w:style w:type="paragraph" w:styleId="12">
    <w:name w:val="header"/>
    <w:basedOn w:val="1"/>
    <w:link w:val="38"/>
    <w:unhideWhenUsed/>
    <w:qFormat/>
    <w:uiPriority w:val="99"/>
    <w:pP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14">
    <w:name w:val="Subtitle"/>
    <w:basedOn w:val="1"/>
    <w:next w:val="1"/>
    <w:link w:val="30"/>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9"/>
    <w:qFormat/>
    <w:uiPriority w:val="0"/>
    <w:pPr>
      <w:spacing w:after="80"/>
      <w:contextualSpacing/>
      <w:jc w:val="center"/>
    </w:pPr>
    <w:rPr>
      <w:rFonts w:asciiTheme="majorHAnsi" w:hAnsiTheme="majorHAnsi" w:eastAsiaTheme="majorEastAsia" w:cstheme="majorBidi"/>
      <w:spacing w:val="-10"/>
      <w:kern w:val="28"/>
      <w:sz w:val="56"/>
      <w:szCs w:val="56"/>
    </w:rPr>
  </w:style>
  <w:style w:type="character" w:styleId="18">
    <w:name w:val="page number"/>
    <w:qFormat/>
    <w:uiPriority w:val="0"/>
    <w:rPr>
      <w:rFonts w:ascii="Times New Roman" w:hAnsi="Times New Roman" w:eastAsia="宋体"/>
      <w:sz w:val="18"/>
    </w:rPr>
  </w:style>
  <w:style w:type="character" w:styleId="19">
    <w:name w:val="Hyperlink"/>
    <w:unhideWhenUsed/>
    <w:qFormat/>
    <w:uiPriority w:val="99"/>
    <w:rPr>
      <w:color w:val="0000FF"/>
      <w:u w:val="single"/>
    </w:rPr>
  </w:style>
  <w:style w:type="character" w:customStyle="1" w:styleId="20">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21">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2">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3">
    <w:name w:val="标题 4 字符"/>
    <w:basedOn w:val="17"/>
    <w:link w:val="5"/>
    <w:semiHidden/>
    <w:qFormat/>
    <w:uiPriority w:val="9"/>
    <w:rPr>
      <w:rFonts w:cstheme="majorBidi"/>
      <w:color w:val="104862" w:themeColor="accent1" w:themeShade="BF"/>
      <w:sz w:val="28"/>
      <w:szCs w:val="28"/>
    </w:rPr>
  </w:style>
  <w:style w:type="character" w:customStyle="1" w:styleId="24">
    <w:name w:val="标题 5 字符"/>
    <w:basedOn w:val="17"/>
    <w:link w:val="6"/>
    <w:semiHidden/>
    <w:qFormat/>
    <w:uiPriority w:val="9"/>
    <w:rPr>
      <w:rFonts w:cstheme="majorBidi"/>
      <w:color w:val="104862" w:themeColor="accent1" w:themeShade="BF"/>
      <w:sz w:val="24"/>
      <w:szCs w:val="24"/>
    </w:rPr>
  </w:style>
  <w:style w:type="character" w:customStyle="1" w:styleId="25">
    <w:name w:val="标题 6 字符"/>
    <w:basedOn w:val="17"/>
    <w:link w:val="7"/>
    <w:semiHidden/>
    <w:qFormat/>
    <w:uiPriority w:val="9"/>
    <w:rPr>
      <w:rFonts w:cstheme="majorBidi"/>
      <w:b/>
      <w:bCs/>
      <w:color w:val="104862" w:themeColor="accent1" w:themeShade="BF"/>
    </w:rPr>
  </w:style>
  <w:style w:type="character" w:customStyle="1" w:styleId="26">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7"/>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7"/>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Intense Emphasis"/>
    <w:basedOn w:val="17"/>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明显引用 字符"/>
    <w:basedOn w:val="17"/>
    <w:link w:val="35"/>
    <w:qFormat/>
    <w:uiPriority w:val="30"/>
    <w:rPr>
      <w:i/>
      <w:iCs/>
      <w:color w:val="104862" w:themeColor="accent1" w:themeShade="BF"/>
    </w:rPr>
  </w:style>
  <w:style w:type="character" w:customStyle="1" w:styleId="37">
    <w:name w:val="Intense Reference"/>
    <w:basedOn w:val="17"/>
    <w:qFormat/>
    <w:uiPriority w:val="32"/>
    <w:rPr>
      <w:b/>
      <w:bCs/>
      <w:smallCaps/>
      <w:color w:val="104862" w:themeColor="accent1" w:themeShade="BF"/>
      <w:spacing w:val="5"/>
    </w:rPr>
  </w:style>
  <w:style w:type="character" w:customStyle="1" w:styleId="38">
    <w:name w:val="页眉 字符"/>
    <w:basedOn w:val="17"/>
    <w:link w:val="12"/>
    <w:qFormat/>
    <w:uiPriority w:val="99"/>
    <w:rPr>
      <w:sz w:val="18"/>
      <w:szCs w:val="18"/>
    </w:rPr>
  </w:style>
  <w:style w:type="character" w:customStyle="1" w:styleId="39">
    <w:name w:val="页脚 字符"/>
    <w:basedOn w:val="17"/>
    <w:link w:val="11"/>
    <w:qFormat/>
    <w:uiPriority w:val="99"/>
    <w:rPr>
      <w:sz w:val="18"/>
      <w:szCs w:val="18"/>
    </w:rPr>
  </w:style>
  <w:style w:type="paragraph" w:customStyle="1" w:styleId="4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14:ligatures w14:val="none"/>
    </w:rPr>
  </w:style>
  <w:style w:type="paragraph" w:customStyle="1" w:styleId="41">
    <w:name w:val="标准书眉_奇数页"/>
    <w:next w:val="1"/>
    <w:qFormat/>
    <w:uiPriority w:val="0"/>
    <w:pPr>
      <w:tabs>
        <w:tab w:val="center" w:pos="4154"/>
        <w:tab w:val="right" w:pos="8306"/>
      </w:tabs>
      <w:spacing w:after="220"/>
      <w:jc w:val="right"/>
    </w:pPr>
    <w:rPr>
      <w:rFonts w:ascii="黑体" w:hAnsi="Times New Roman" w:eastAsia="黑体" w:cs="Times New Roman"/>
      <w:kern w:val="0"/>
      <w:sz w:val="21"/>
      <w:szCs w:val="21"/>
      <w:lang w:val="en-US" w:eastAsia="zh-CN" w:bidi="ar-SA"/>
      <w14:ligatures w14:val="none"/>
    </w:rPr>
  </w:style>
  <w:style w:type="paragraph" w:customStyle="1" w:styleId="42">
    <w:name w:val="章标题"/>
    <w:next w:val="40"/>
    <w:qFormat/>
    <w:uiPriority w:val="0"/>
    <w:pPr>
      <w:numPr>
        <w:ilvl w:val="0"/>
        <w:numId w:val="1"/>
      </w:numPr>
      <w:spacing w:before="312" w:beforeLines="100" w:after="312" w:afterLines="100"/>
      <w:jc w:val="both"/>
      <w:outlineLvl w:val="1"/>
    </w:pPr>
    <w:rPr>
      <w:rFonts w:ascii="黑体" w:hAnsi="Times New Roman" w:eastAsia="黑体" w:cs="Times New Roman"/>
      <w:kern w:val="0"/>
      <w:sz w:val="21"/>
      <w:szCs w:val="20"/>
      <w:lang w:val="en-US" w:eastAsia="zh-CN" w:bidi="ar-SA"/>
      <w14:ligatures w14:val="none"/>
    </w:rPr>
  </w:style>
  <w:style w:type="paragraph" w:customStyle="1" w:styleId="43">
    <w:name w:val="样式 标题 1 + 非加粗"/>
    <w:basedOn w:val="2"/>
    <w:qFormat/>
    <w:uiPriority w:val="0"/>
    <w:pPr>
      <w:spacing w:before="100" w:beforeLines="100" w:after="100" w:afterLines="100"/>
    </w:pPr>
    <w:rPr>
      <w:rFonts w:ascii="Times New Roman" w:hAnsi="Times New Roman" w:eastAsia="黑体" w:cs="Times New Roman"/>
      <w:color w:val="auto"/>
      <w:kern w:val="44"/>
      <w:sz w:val="21"/>
      <w:szCs w:val="44"/>
    </w:rPr>
  </w:style>
  <w:style w:type="paragraph" w:customStyle="1" w:styleId="44">
    <w:name w:val="目次、标准名称标题"/>
    <w:basedOn w:val="1"/>
    <w:next w:val="40"/>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45">
    <w:name w:val="附录章标题"/>
    <w:next w:val="40"/>
    <w:qFormat/>
    <w:uiPriority w:val="0"/>
    <w:pPr>
      <w:numPr>
        <w:ilvl w:val="1"/>
        <w:numId w:val="2"/>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szCs w:val="20"/>
      <w:lang w:val="en-US" w:eastAsia="zh-CN" w:bidi="ar-SA"/>
      <w14:ligatures w14:val="none"/>
    </w:rPr>
  </w:style>
  <w:style w:type="paragraph" w:customStyle="1" w:styleId="46">
    <w:name w:val="标准书脚_奇数页"/>
    <w:qFormat/>
    <w:uiPriority w:val="0"/>
    <w:pPr>
      <w:spacing w:before="120"/>
      <w:ind w:right="198"/>
      <w:jc w:val="right"/>
    </w:pPr>
    <w:rPr>
      <w:rFonts w:ascii="宋体" w:hAnsi="Times New Roman" w:eastAsia="宋体" w:cs="Times New Roman"/>
      <w:kern w:val="0"/>
      <w:sz w:val="18"/>
      <w:szCs w:val="18"/>
      <w:lang w:val="en-US" w:eastAsia="zh-CN" w:bidi="ar-SA"/>
      <w14:ligatures w14: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72D07D-5FF2-4CDE-8862-1B34271E3921}">
  <ds:schemaRefs/>
</ds:datastoreItem>
</file>

<file path=docProps/app.xml><?xml version="1.0" encoding="utf-8"?>
<Properties xmlns="http://schemas.openxmlformats.org/officeDocument/2006/extended-properties" xmlns:vt="http://schemas.openxmlformats.org/officeDocument/2006/docPropsVTypes">
  <Template>Normal</Template>
  <Pages>5</Pages>
  <Words>3470</Words>
  <Characters>3617</Characters>
  <Lines>31</Lines>
  <Paragraphs>8</Paragraphs>
  <TotalTime>112</TotalTime>
  <ScaleCrop>false</ScaleCrop>
  <LinksUpToDate>false</LinksUpToDate>
  <CharactersWithSpaces>3658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2025-03-04T06:49:00Z</dcterms:created>
  <dc:creator>硕 董</dc:creator>
  <cp:lastModifiedBy>JZ</cp:lastModifiedBy>
  <dcterms:modified xsi:type="dcterms:W3CDTF">2025-04-10T07:54:44Z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DA7BE1D2273042E49DDBE784711C67BA_12</vt:lpwstr>
  </property>
  <property fmtid="{D5CDD505-2E9C-101B-9397-08002B2CF9AE}" pid="4" name="KSOTemplateDocerSaveRecord">
    <vt:lpwstr>eyJoZGlkIjoiMTRlNzVhZTFiN2QwNDc3YjIzMmNlNjU3ZDkyNGU0NzEiLCJ1c2VySWQiOiIyNzI5MzA3ODQifQ==</vt:lpwstr>
  </property>
</Properties>
</file>