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1C5B4">
      <w:pPr>
        <w:pStyle w:val="35"/>
        <w:ind w:firstLine="0" w:firstLineChars="0"/>
      </w:pPr>
    </w:p>
    <w:p w14:paraId="351A56D2">
      <w:pPr>
        <w:pStyle w:val="35"/>
        <w:ind w:firstLine="0" w:firstLineChars="0"/>
      </w:pPr>
    </w:p>
    <w:p w14:paraId="4E817441">
      <w:pPr>
        <w:pStyle w:val="35"/>
        <w:ind w:firstLine="0" w:firstLineChars="0"/>
      </w:pPr>
    </w:p>
    <w:p w14:paraId="5755C3C5">
      <w:pPr>
        <w:pStyle w:val="35"/>
        <w:ind w:firstLine="0" w:firstLineChars="0"/>
      </w:pPr>
    </w:p>
    <w:p w14:paraId="10443476">
      <w:pPr>
        <w:pStyle w:val="35"/>
        <w:ind w:firstLine="0" w:firstLineChars="0"/>
      </w:pPr>
    </w:p>
    <w:p w14:paraId="239D48D1">
      <w:pPr>
        <w:pStyle w:val="35"/>
        <w:ind w:firstLine="0" w:firstLineChars="0"/>
      </w:pPr>
    </w:p>
    <w:p w14:paraId="63FF4B5F">
      <w:pPr>
        <w:pStyle w:val="35"/>
        <w:ind w:firstLine="0" w:firstLineChars="0"/>
      </w:pPr>
    </w:p>
    <w:p w14:paraId="53FB665C">
      <w:pPr>
        <w:pStyle w:val="35"/>
        <w:ind w:firstLine="0" w:firstLineChars="0"/>
      </w:pPr>
    </w:p>
    <w:p w14:paraId="6E92B202">
      <w:pPr>
        <w:pStyle w:val="35"/>
        <w:ind w:firstLine="0" w:firstLineChars="0"/>
      </w:pPr>
    </w:p>
    <w:p w14:paraId="0CC3E7B9">
      <w:pPr>
        <w:pStyle w:val="35"/>
        <w:ind w:firstLine="0" w:firstLineChars="0"/>
      </w:pPr>
    </w:p>
    <w:p w14:paraId="529D5463">
      <w:pPr>
        <w:pStyle w:val="35"/>
        <w:ind w:firstLine="0" w:firstLineChars="0"/>
        <w:jc w:val="center"/>
        <w:rPr>
          <w:rFonts w:ascii="黑体" w:eastAsia="黑体"/>
          <w:sz w:val="44"/>
          <w:szCs w:val="44"/>
        </w:rPr>
      </w:pPr>
      <w:r>
        <w:rPr>
          <w:rFonts w:hint="eastAsia" w:ascii="黑体" w:eastAsia="黑体"/>
          <w:sz w:val="44"/>
          <w:szCs w:val="44"/>
        </w:rPr>
        <w:t>海上风电场水下设施检测技术规范</w:t>
      </w:r>
    </w:p>
    <w:p w14:paraId="78BB2BEF">
      <w:pPr>
        <w:pStyle w:val="35"/>
        <w:ind w:firstLine="0" w:firstLineChars="0"/>
        <w:jc w:val="center"/>
        <w:rPr>
          <w:rFonts w:ascii="黑体" w:eastAsia="黑体"/>
          <w:sz w:val="44"/>
          <w:szCs w:val="44"/>
        </w:rPr>
      </w:pPr>
    </w:p>
    <w:p w14:paraId="3F916516">
      <w:pPr>
        <w:pStyle w:val="35"/>
        <w:ind w:firstLine="0" w:firstLineChars="0"/>
        <w:jc w:val="center"/>
        <w:rPr>
          <w:rFonts w:ascii="黑体" w:eastAsia="黑体"/>
          <w:sz w:val="44"/>
          <w:szCs w:val="44"/>
        </w:rPr>
      </w:pPr>
    </w:p>
    <w:p w14:paraId="47DFE12C">
      <w:pPr>
        <w:pStyle w:val="35"/>
      </w:pPr>
    </w:p>
    <w:p w14:paraId="72CE2933">
      <w:pPr>
        <w:pStyle w:val="35"/>
      </w:pPr>
    </w:p>
    <w:p w14:paraId="6A0F9005">
      <w:pPr>
        <w:pStyle w:val="37"/>
        <w:numPr>
          <w:ilvl w:val="0"/>
          <w:numId w:val="0"/>
        </w:numPr>
        <w:jc w:val="center"/>
        <w:rPr>
          <w:sz w:val="28"/>
          <w:szCs w:val="28"/>
        </w:rPr>
      </w:pPr>
      <w:bookmarkStart w:id="0" w:name="_Toc298937368"/>
      <w:bookmarkStart w:id="1" w:name="_Toc298937333"/>
      <w:bookmarkStart w:id="2" w:name="_Toc309995410"/>
      <w:bookmarkStart w:id="3" w:name="_Toc309994571"/>
      <w:bookmarkStart w:id="4" w:name="_Toc309995492"/>
      <w:bookmarkStart w:id="5" w:name="_Toc304825020"/>
      <w:bookmarkStart w:id="6" w:name="_Toc298937473"/>
      <w:bookmarkStart w:id="7" w:name="_Toc304828086"/>
      <w:bookmarkStart w:id="8" w:name="_Toc309997060"/>
      <w:bookmarkStart w:id="9" w:name="_Toc304402675"/>
      <w:bookmarkStart w:id="10" w:name="_Toc309996019"/>
      <w:bookmarkStart w:id="11" w:name="_Toc298938794"/>
      <w:bookmarkStart w:id="12" w:name="_Toc298937620"/>
      <w:bookmarkStart w:id="13" w:name="_Toc318613715"/>
      <w:bookmarkStart w:id="14" w:name="_Toc298937430"/>
      <w:bookmarkStart w:id="15" w:name="_Toc310002657"/>
      <w:bookmarkStart w:id="16" w:name="_Toc298937560"/>
      <w:bookmarkStart w:id="17" w:name="_Toc304824981"/>
      <w:bookmarkStart w:id="18" w:name="_Toc298938646"/>
      <w:bookmarkStart w:id="19" w:name="_Toc309993200"/>
      <w:bookmarkStart w:id="20" w:name="_Toc320020914"/>
      <w:bookmarkStart w:id="21" w:name="_Toc304825093"/>
      <w:bookmarkStart w:id="22" w:name="_Toc309995598"/>
      <w:r>
        <w:rPr>
          <w:rFonts w:hint="eastAsia"/>
          <w:sz w:val="28"/>
          <w:szCs w:val="28"/>
        </w:rPr>
        <w:t>编 制 说</w:t>
      </w:r>
      <w:bookmarkEnd w:id="0"/>
      <w:bookmarkEnd w:id="1"/>
      <w:r>
        <w:rPr>
          <w:rFonts w:hint="eastAsia"/>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21511D0">
      <w:pPr>
        <w:pStyle w:val="35"/>
        <w:ind w:firstLine="560"/>
        <w:jc w:val="center"/>
        <w:rPr>
          <w:rFonts w:ascii="黑体" w:eastAsia="黑体"/>
          <w:sz w:val="28"/>
          <w:szCs w:val="28"/>
        </w:rPr>
      </w:pPr>
    </w:p>
    <w:p w14:paraId="2D595E63">
      <w:pPr>
        <w:pStyle w:val="35"/>
        <w:ind w:firstLine="560"/>
        <w:jc w:val="center"/>
        <w:rPr>
          <w:rFonts w:ascii="黑体" w:eastAsia="黑体"/>
          <w:sz w:val="28"/>
          <w:szCs w:val="28"/>
        </w:rPr>
      </w:pPr>
    </w:p>
    <w:p w14:paraId="5886BF53">
      <w:pPr>
        <w:pStyle w:val="35"/>
        <w:sectPr>
          <w:footerReference r:id="rId4" w:type="default"/>
          <w:headerReference r:id="rId3" w:type="even"/>
          <w:pgSz w:w="11906" w:h="16838"/>
          <w:pgMar w:top="567" w:right="1134" w:bottom="1134" w:left="1417" w:header="1418" w:footer="1134" w:gutter="0"/>
          <w:cols w:space="720" w:num="1"/>
          <w:formProt w:val="0"/>
          <w:docGrid w:type="lines" w:linePitch="312" w:charSpace="0"/>
        </w:sectPr>
      </w:pPr>
    </w:p>
    <w:p w14:paraId="4466B84E">
      <w:pPr>
        <w:jc w:val="center"/>
        <w:rPr>
          <w:b/>
          <w:bCs/>
          <w:sz w:val="28"/>
          <w:szCs w:val="32"/>
        </w:rPr>
      </w:pPr>
      <w:bookmarkStart w:id="23" w:name="_Toc309992160"/>
      <w:bookmarkStart w:id="24" w:name="_Toc513731021"/>
      <w:bookmarkStart w:id="25" w:name="_Toc513731109"/>
      <w:r>
        <w:rPr>
          <w:rFonts w:hint="eastAsia"/>
          <w:b/>
          <w:bCs/>
          <w:sz w:val="28"/>
          <w:szCs w:val="32"/>
        </w:rPr>
        <w:t>目  次</w:t>
      </w:r>
      <w:bookmarkEnd w:id="23"/>
      <w:bookmarkEnd w:id="24"/>
      <w:bookmarkEnd w:id="25"/>
    </w:p>
    <w:p w14:paraId="33B96A6B">
      <w:pPr>
        <w:pStyle w:val="7"/>
        <w:tabs>
          <w:tab w:val="right" w:leader="dot" w:pos="9355"/>
          <w:tab w:val="clear" w:pos="9241"/>
        </w:tabs>
        <w:spacing w:before="78" w:after="78"/>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r>
        <w:fldChar w:fldCharType="begin"/>
      </w:r>
      <w:r>
        <w:instrText xml:space="preserve"> HYPERLINK \l "_Toc29063" </w:instrText>
      </w:r>
      <w:r>
        <w:fldChar w:fldCharType="separate"/>
      </w:r>
      <w:r>
        <w:rPr>
          <w:rFonts w:hint="eastAsia" w:hAnsi="宋体"/>
        </w:rPr>
        <w:t>1 编制背景</w:t>
      </w:r>
      <w:r>
        <w:tab/>
      </w:r>
      <w:r>
        <w:fldChar w:fldCharType="begin"/>
      </w:r>
      <w:r>
        <w:instrText xml:space="preserve"> PAGEREF _Toc29063 \h </w:instrText>
      </w:r>
      <w:r>
        <w:fldChar w:fldCharType="separate"/>
      </w:r>
      <w:r>
        <w:t>1</w:t>
      </w:r>
      <w:r>
        <w:fldChar w:fldCharType="end"/>
      </w:r>
      <w:r>
        <w:fldChar w:fldCharType="end"/>
      </w:r>
    </w:p>
    <w:p w14:paraId="6B345BCB">
      <w:pPr>
        <w:pStyle w:val="7"/>
        <w:tabs>
          <w:tab w:val="right" w:leader="dot" w:pos="9355"/>
          <w:tab w:val="clear" w:pos="9241"/>
        </w:tabs>
        <w:spacing w:before="78" w:after="78"/>
      </w:pPr>
      <w:r>
        <w:fldChar w:fldCharType="begin"/>
      </w:r>
      <w:r>
        <w:instrText xml:space="preserve"> HYPERLINK \l "_Toc11094" </w:instrText>
      </w:r>
      <w:r>
        <w:fldChar w:fldCharType="separate"/>
      </w:r>
      <w:r>
        <w:rPr>
          <w:rFonts w:hint="eastAsia" w:hAnsi="宋体"/>
        </w:rPr>
        <w:t>2 编制主要原则</w:t>
      </w:r>
      <w:r>
        <w:tab/>
      </w:r>
      <w:r>
        <w:fldChar w:fldCharType="begin"/>
      </w:r>
      <w:r>
        <w:instrText xml:space="preserve"> PAGEREF _Toc11094 \h </w:instrText>
      </w:r>
      <w:r>
        <w:fldChar w:fldCharType="separate"/>
      </w:r>
      <w:r>
        <w:t>1</w:t>
      </w:r>
      <w:r>
        <w:fldChar w:fldCharType="end"/>
      </w:r>
      <w:r>
        <w:fldChar w:fldCharType="end"/>
      </w:r>
    </w:p>
    <w:p w14:paraId="52B25B2E">
      <w:pPr>
        <w:pStyle w:val="7"/>
        <w:tabs>
          <w:tab w:val="right" w:leader="dot" w:pos="9355"/>
          <w:tab w:val="clear" w:pos="9241"/>
        </w:tabs>
        <w:spacing w:before="78" w:after="78"/>
      </w:pPr>
      <w:r>
        <w:fldChar w:fldCharType="begin"/>
      </w:r>
      <w:r>
        <w:instrText xml:space="preserve"> HYPERLINK \l "_Toc21642" </w:instrText>
      </w:r>
      <w:r>
        <w:fldChar w:fldCharType="separate"/>
      </w:r>
      <w:r>
        <w:rPr>
          <w:rFonts w:hint="eastAsia" w:hAnsi="宋体"/>
        </w:rPr>
        <w:t>3 主要工作过程</w:t>
      </w:r>
      <w:r>
        <w:tab/>
      </w:r>
      <w:r>
        <w:fldChar w:fldCharType="begin"/>
      </w:r>
      <w:r>
        <w:instrText xml:space="preserve"> PAGEREF _Toc21642 \h </w:instrText>
      </w:r>
      <w:r>
        <w:fldChar w:fldCharType="separate"/>
      </w:r>
      <w:r>
        <w:t>2</w:t>
      </w:r>
      <w:r>
        <w:fldChar w:fldCharType="end"/>
      </w:r>
      <w:r>
        <w:fldChar w:fldCharType="end"/>
      </w:r>
    </w:p>
    <w:p w14:paraId="1F60C4DC">
      <w:pPr>
        <w:pStyle w:val="7"/>
        <w:tabs>
          <w:tab w:val="right" w:leader="dot" w:pos="9355"/>
          <w:tab w:val="clear" w:pos="9241"/>
        </w:tabs>
        <w:spacing w:before="78" w:after="78"/>
      </w:pPr>
      <w:r>
        <w:fldChar w:fldCharType="begin"/>
      </w:r>
      <w:r>
        <w:instrText xml:space="preserve"> HYPERLINK \l "_Toc25146" </w:instrText>
      </w:r>
      <w:r>
        <w:fldChar w:fldCharType="separate"/>
      </w:r>
      <w:r>
        <w:rPr>
          <w:rFonts w:hint="eastAsia" w:hAnsi="宋体"/>
        </w:rPr>
        <w:t>4 标准结构和内容说明</w:t>
      </w:r>
      <w:r>
        <w:tab/>
      </w:r>
      <w:r>
        <w:fldChar w:fldCharType="begin"/>
      </w:r>
      <w:r>
        <w:instrText xml:space="preserve"> PAGEREF _Toc25146 \h </w:instrText>
      </w:r>
      <w:r>
        <w:fldChar w:fldCharType="separate"/>
      </w:r>
      <w:r>
        <w:t>2</w:t>
      </w:r>
      <w:r>
        <w:fldChar w:fldCharType="end"/>
      </w:r>
      <w:r>
        <w:fldChar w:fldCharType="end"/>
      </w:r>
    </w:p>
    <w:p w14:paraId="5E6CFAE5">
      <w:pPr>
        <w:pStyle w:val="7"/>
        <w:tabs>
          <w:tab w:val="right" w:leader="dot" w:pos="9355"/>
          <w:tab w:val="clear" w:pos="9241"/>
        </w:tabs>
        <w:spacing w:before="78" w:after="78"/>
      </w:pPr>
      <w:r>
        <w:fldChar w:fldCharType="begin"/>
      </w:r>
      <w:r>
        <w:instrText xml:space="preserve"> HYPERLINK \l "_Toc13751" </w:instrText>
      </w:r>
      <w:r>
        <w:fldChar w:fldCharType="separate"/>
      </w:r>
      <w:r>
        <w:rPr>
          <w:rFonts w:hint="eastAsia" w:hAnsi="宋体"/>
        </w:rPr>
        <w:t>5相关</w:t>
      </w:r>
      <w:r>
        <w:rPr>
          <w:rFonts w:hint="eastAsia"/>
        </w:rPr>
        <w:t>标准对比说明</w:t>
      </w:r>
      <w:r>
        <w:tab/>
      </w:r>
      <w:r>
        <w:fldChar w:fldCharType="begin"/>
      </w:r>
      <w:r>
        <w:instrText xml:space="preserve"> PAGEREF _Toc13751 \h </w:instrText>
      </w:r>
      <w:r>
        <w:fldChar w:fldCharType="separate"/>
      </w:r>
      <w:r>
        <w:t>2</w:t>
      </w:r>
      <w:r>
        <w:fldChar w:fldCharType="end"/>
      </w:r>
      <w:r>
        <w:fldChar w:fldCharType="end"/>
      </w:r>
    </w:p>
    <w:p w14:paraId="15E20E44">
      <w:pPr>
        <w:pStyle w:val="7"/>
        <w:tabs>
          <w:tab w:val="right" w:leader="dot" w:pos="9355"/>
          <w:tab w:val="clear" w:pos="9241"/>
        </w:tabs>
        <w:spacing w:before="78" w:after="78"/>
      </w:pPr>
      <w:r>
        <w:fldChar w:fldCharType="begin"/>
      </w:r>
      <w:r>
        <w:instrText xml:space="preserve"> HYPERLINK \l "_Toc15428" </w:instrText>
      </w:r>
      <w:r>
        <w:fldChar w:fldCharType="separate"/>
      </w:r>
      <w:r>
        <w:rPr>
          <w:rFonts w:hint="eastAsia" w:hAnsi="宋体"/>
        </w:rPr>
        <w:t>6标准实施措施说明</w:t>
      </w:r>
      <w:r>
        <w:tab/>
      </w:r>
      <w:r>
        <w:fldChar w:fldCharType="begin"/>
      </w:r>
      <w:r>
        <w:instrText xml:space="preserve"> PAGEREF _Toc15428 \h </w:instrText>
      </w:r>
      <w:r>
        <w:fldChar w:fldCharType="separate"/>
      </w:r>
      <w:r>
        <w:t>3</w:t>
      </w:r>
      <w:r>
        <w:fldChar w:fldCharType="end"/>
      </w:r>
      <w:r>
        <w:fldChar w:fldCharType="end"/>
      </w:r>
    </w:p>
    <w:p w14:paraId="1C4A0FD6">
      <w:pPr>
        <w:pStyle w:val="35"/>
        <w:rPr>
          <w:rFonts w:hint="eastAsia" w:hAnsi="宋体"/>
          <w:szCs w:val="21"/>
        </w:rPr>
      </w:pPr>
      <w:r>
        <w:rPr>
          <w:rFonts w:hAnsi="宋体"/>
          <w:szCs w:val="21"/>
        </w:rPr>
        <w:fldChar w:fldCharType="end"/>
      </w:r>
    </w:p>
    <w:p w14:paraId="604E4302">
      <w:pPr>
        <w:pStyle w:val="35"/>
        <w:rPr>
          <w:rFonts w:hint="eastAsia" w:hAnsi="宋体"/>
          <w:szCs w:val="21"/>
        </w:rPr>
      </w:pPr>
    </w:p>
    <w:p w14:paraId="356D7B65">
      <w:pPr>
        <w:pStyle w:val="35"/>
        <w:rPr>
          <w:rFonts w:hint="eastAsia" w:hAnsi="宋体"/>
          <w:szCs w:val="21"/>
        </w:rPr>
      </w:pPr>
    </w:p>
    <w:p w14:paraId="44239919">
      <w:pPr>
        <w:pStyle w:val="35"/>
        <w:rPr>
          <w:rFonts w:hint="eastAsia" w:hAnsi="宋体"/>
          <w:szCs w:val="21"/>
        </w:rPr>
      </w:pPr>
    </w:p>
    <w:p w14:paraId="24B531E5">
      <w:pPr>
        <w:pStyle w:val="35"/>
        <w:rPr>
          <w:rFonts w:hint="eastAsia" w:hAnsi="宋体"/>
          <w:szCs w:val="21"/>
        </w:rPr>
        <w:sectPr>
          <w:headerReference r:id="rId5" w:type="default"/>
          <w:footerReference r:id="rId6" w:type="default"/>
          <w:pgSz w:w="11906" w:h="16838"/>
          <w:pgMar w:top="567" w:right="1134" w:bottom="1134" w:left="1417" w:header="1418" w:footer="1134" w:gutter="0"/>
          <w:pgNumType w:start="28"/>
          <w:cols w:space="720" w:num="1"/>
          <w:formProt w:val="0"/>
          <w:docGrid w:type="lines" w:linePitch="312" w:charSpace="0"/>
        </w:sectPr>
      </w:pPr>
    </w:p>
    <w:p w14:paraId="5647E18D">
      <w:pPr>
        <w:pStyle w:val="51"/>
        <w:spacing w:before="156" w:beforeLines="50" w:after="156" w:afterLines="50"/>
        <w:rPr>
          <w:rFonts w:hint="eastAsia" w:ascii="宋体" w:hAnsi="宋体"/>
          <w:szCs w:val="21"/>
        </w:rPr>
      </w:pPr>
      <w:bookmarkStart w:id="26" w:name="_Toc29063"/>
      <w:r>
        <w:rPr>
          <w:rFonts w:hint="eastAsia" w:ascii="宋体" w:hAnsi="宋体"/>
          <w:szCs w:val="21"/>
        </w:rPr>
        <w:t>1 编制背景</w:t>
      </w:r>
      <w:bookmarkEnd w:id="26"/>
    </w:p>
    <w:p w14:paraId="1EA4C361">
      <w:pPr>
        <w:pStyle w:val="35"/>
        <w:rPr>
          <w:rFonts w:ascii="Calibri" w:hAnsi="Calibri"/>
          <w:szCs w:val="21"/>
        </w:rPr>
      </w:pPr>
      <w:r>
        <w:rPr>
          <w:rFonts w:hint="eastAsia" w:ascii="Calibri" w:hAnsi="Calibri"/>
          <w:szCs w:val="21"/>
        </w:rPr>
        <w:t>本标准是根据电机咨</w:t>
      </w:r>
      <w:bookmarkStart w:id="39" w:name="_GoBack"/>
      <w:r>
        <w:rPr>
          <w:rFonts w:hint="eastAsia" w:ascii="Calibri" w:hAnsi="Calibri"/>
          <w:szCs w:val="21"/>
        </w:rPr>
        <w:t>[2023]512号</w:t>
      </w:r>
      <w:bookmarkEnd w:id="39"/>
      <w:r>
        <w:rPr>
          <w:rFonts w:hint="eastAsia" w:ascii="Calibri" w:hAnsi="Calibri"/>
          <w:szCs w:val="21"/>
        </w:rPr>
        <w:t>文“中国电机工程学会关于印发‘中国电机工程学会 2023 年标准计划（第二批）’的通知”下达的制定任务（项目序号16：海上风电场水下设施检测技术规范）进行制定的。由西安热工研究院有限公司牵头，华能国际电力江苏能源开发有限公司清洁能源分公司、中天科技海缆股份有限公司、上海勘测设计研究院有限公司、西安交通大学、杭州电子科技大学等单位共同起草。</w:t>
      </w:r>
    </w:p>
    <w:p w14:paraId="31E81BF5">
      <w:pPr>
        <w:pStyle w:val="35"/>
        <w:rPr>
          <w:rFonts w:ascii="Calibri" w:hAnsi="Calibri"/>
          <w:szCs w:val="21"/>
        </w:rPr>
      </w:pPr>
      <w:r>
        <w:rPr>
          <w:rFonts w:hint="eastAsia" w:ascii="Calibri" w:hAnsi="Calibri"/>
          <w:szCs w:val="21"/>
        </w:rPr>
        <w:t>海上风电机组和海上升压站的桩基础结构长期受到高盐度海水浸泡、海生物附着，桩结构和海缆同时承受复杂的风、浪、流的联合作用，以及基础附近海底容易受到地质变化、水动力作用的影响形成冲刷坑，增加了结构损害的可能性，影响海上风电场安全稳定运行。桩基础和海缆的健康状态对机组海上升压站的安全有着至关重要的作用，国外曾多次发生因为桩基础结构缺陷导致的海上石油平台倾斜、倒塌等安全事故，以及海缆缺陷导致的设备故障。因此有必要在工程关键节点(验收、出质保前)以及定期对水下桩基结构和海缆开展检测。</w:t>
      </w:r>
    </w:p>
    <w:p w14:paraId="308556ED">
      <w:pPr>
        <w:pStyle w:val="35"/>
        <w:rPr>
          <w:rFonts w:hint="eastAsia" w:hAnsi="宋体" w:cs="宋体"/>
        </w:rPr>
      </w:pPr>
      <w:r>
        <w:rPr>
          <w:rFonts w:hint="eastAsia" w:hAnsi="宋体" w:cs="宋体"/>
        </w:rPr>
        <w:t>然而，</w:t>
      </w:r>
      <w:r>
        <w:rPr>
          <w:rFonts w:hint="eastAsia" w:ascii="Calibri" w:hAnsi="Calibri"/>
          <w:szCs w:val="21"/>
        </w:rPr>
        <w:t>目前适用海上风电设备水下部分的检测方法大多借鉴海洋油气工程，缺乏海上风电针对性标准。</w:t>
      </w:r>
      <w:r>
        <w:rPr>
          <w:rFonts w:hint="eastAsia" w:hAnsi="宋体" w:cs="宋体"/>
        </w:rPr>
        <w:t>为保障海上风电水下设施检测任务的安全性和成效，有必要对其检测作业流程与注意事项进行系统规范，提供科学的检测技术指导。</w:t>
      </w:r>
    </w:p>
    <w:p w14:paraId="0664A289">
      <w:pPr>
        <w:pStyle w:val="35"/>
      </w:pPr>
      <w:r>
        <w:rPr>
          <w:rFonts w:hint="eastAsia" w:ascii="Calibri" w:hAnsi="Calibri"/>
          <w:szCs w:val="21"/>
        </w:rPr>
        <w:t>本规范的目的是明确海上风电场水下设施检测内容、检测周期、检测方法、使用的检测设备、设备操作方法、检测成果、检测记录和报告等内容，规范海上风电的水下检测，提高检测质量和效率，降低检测安全风险，从而更好地掌握水下资产健康状态，提前发现问题，避免故障导致的发电损失和安全事故，降低海上风电运维成本，从而推进我国海上风电行业的持续高效快速发展。</w:t>
      </w:r>
    </w:p>
    <w:p w14:paraId="5DBC0C7A">
      <w:pPr>
        <w:pStyle w:val="51"/>
        <w:spacing w:before="312" w:after="312"/>
        <w:rPr>
          <w:rFonts w:hint="eastAsia" w:ascii="宋体" w:hAnsi="宋体"/>
          <w:szCs w:val="21"/>
        </w:rPr>
      </w:pPr>
      <w:bookmarkStart w:id="27" w:name="_Toc11094"/>
      <w:r>
        <w:rPr>
          <w:rFonts w:hint="eastAsia" w:ascii="宋体" w:hAnsi="宋体"/>
          <w:szCs w:val="21"/>
        </w:rPr>
        <w:t>2 编制主要原则</w:t>
      </w:r>
      <w:bookmarkEnd w:id="27"/>
    </w:p>
    <w:p w14:paraId="123792B1">
      <w:pPr>
        <w:pStyle w:val="55"/>
        <w:numPr>
          <w:ilvl w:val="0"/>
          <w:numId w:val="0"/>
        </w:numPr>
        <w:spacing w:before="156" w:beforeLines="50" w:after="156" w:afterLines="50"/>
      </w:pPr>
      <w:r>
        <w:rPr>
          <w:rFonts w:hint="eastAsia"/>
        </w:rPr>
        <w:t>2.1 规范性</w:t>
      </w:r>
    </w:p>
    <w:p w14:paraId="79035921">
      <w:pPr>
        <w:pStyle w:val="35"/>
      </w:pPr>
      <w:r>
        <w:rPr>
          <w:rFonts w:hint="eastAsia"/>
        </w:rPr>
        <w:t>本文件是首次制定版本。编制遵循“统一性、协调性、适用性、一致性和规范性”的原则，严格按照GB/T 1.1-2020《标准化工作导则 第1部分：标准化文件的结构和起草规则》进行编制，并与相关标准协调统一。</w:t>
      </w:r>
    </w:p>
    <w:p w14:paraId="107F361C">
      <w:pPr>
        <w:pStyle w:val="55"/>
        <w:numPr>
          <w:ilvl w:val="0"/>
          <w:numId w:val="0"/>
        </w:numPr>
        <w:spacing w:before="156" w:beforeLines="50" w:after="156" w:afterLines="50"/>
      </w:pPr>
      <w:r>
        <w:rPr>
          <w:rFonts w:hint="eastAsia"/>
        </w:rPr>
        <w:t>2.2 一致性</w:t>
      </w:r>
    </w:p>
    <w:p w14:paraId="7B4B9208">
      <w:pPr>
        <w:pStyle w:val="35"/>
        <w:spacing w:before="78" w:after="78"/>
      </w:pPr>
      <w:r>
        <w:rPr>
          <w:rFonts w:hint="eastAsia"/>
        </w:rPr>
        <w:t>标准文本内部各部分之间要保持一致，使用相同的用语和术语，避免同义词的使用，确保标准的一致性。</w:t>
      </w:r>
    </w:p>
    <w:p w14:paraId="1D2E3026">
      <w:pPr>
        <w:pStyle w:val="55"/>
        <w:numPr>
          <w:ilvl w:val="0"/>
          <w:numId w:val="0"/>
        </w:numPr>
        <w:spacing w:before="156" w:beforeLines="50" w:after="156" w:afterLines="50"/>
      </w:pPr>
      <w:r>
        <w:rPr>
          <w:rFonts w:hint="eastAsia"/>
        </w:rPr>
        <w:t xml:space="preserve">2.3 </w:t>
      </w:r>
      <w:r>
        <w:t>开放性</w:t>
      </w:r>
    </w:p>
    <w:p w14:paraId="0FF9E35F">
      <w:pPr>
        <w:pStyle w:val="35"/>
        <w:spacing w:before="78" w:after="78"/>
        <w:rPr>
          <w:rFonts w:eastAsia="等线"/>
        </w:rPr>
      </w:pPr>
      <w:r>
        <w:rPr>
          <w:rFonts w:hint="eastAsia"/>
        </w:rPr>
        <w:t>标准制定过程中要保证各相关方的有效参与，通过设立规则让各方充分讨论，解决技术内容分歧</w:t>
      </w:r>
      <w:r>
        <w:rPr>
          <w:rFonts w:hint="eastAsia" w:ascii="等线" w:hAnsi="等线" w:eastAsia="等线" w:cs="MS Gothic"/>
        </w:rPr>
        <w:t>。</w:t>
      </w:r>
    </w:p>
    <w:p w14:paraId="00946485">
      <w:pPr>
        <w:pStyle w:val="55"/>
        <w:numPr>
          <w:ilvl w:val="0"/>
          <w:numId w:val="0"/>
        </w:numPr>
        <w:spacing w:before="156" w:beforeLines="50" w:after="156" w:afterLines="50"/>
      </w:pPr>
      <w:r>
        <w:t>‌</w:t>
      </w:r>
      <w:r>
        <w:rPr>
          <w:rFonts w:hint="eastAsia"/>
        </w:rPr>
        <w:t xml:space="preserve">2.4 </w:t>
      </w:r>
      <w:r>
        <w:t>公正性和协商一致</w:t>
      </w:r>
    </w:p>
    <w:p w14:paraId="57E0EDD9">
      <w:pPr>
        <w:pStyle w:val="35"/>
        <w:spacing w:before="78" w:after="78"/>
      </w:pPr>
      <w:r>
        <w:rPr>
          <w:rFonts w:hint="eastAsia"/>
        </w:rPr>
        <w:t>参编单位</w:t>
      </w:r>
      <w:r>
        <w:t>通过协商一致的方式达成普遍同意</w:t>
      </w:r>
      <w:r>
        <w:rPr>
          <w:rFonts w:hint="eastAsia"/>
        </w:rPr>
        <w:t>。</w:t>
      </w:r>
    </w:p>
    <w:p w14:paraId="6B118C20">
      <w:pPr>
        <w:pStyle w:val="55"/>
        <w:numPr>
          <w:ilvl w:val="0"/>
          <w:numId w:val="0"/>
        </w:numPr>
        <w:spacing w:before="156" w:beforeLines="50" w:after="156" w:afterLines="50"/>
      </w:pPr>
      <w:r>
        <w:rPr>
          <w:rFonts w:hint="eastAsia"/>
        </w:rPr>
        <w:t>2.5 协调性</w:t>
      </w:r>
    </w:p>
    <w:p w14:paraId="1B399B51">
      <w:pPr>
        <w:pStyle w:val="35"/>
        <w:spacing w:before="78" w:after="78"/>
      </w:pPr>
      <w:r>
        <w:rPr>
          <w:rFonts w:hint="eastAsia" w:hAnsi="宋体" w:cs="宋体"/>
        </w:rPr>
        <w:t>标准与现行有效的文件相互协调，避免重复和不必要的差异，遵守基础标准和通用标准的规定</w:t>
      </w:r>
      <w:r>
        <w:rPr>
          <w:rFonts w:hint="eastAsia" w:ascii="等线" w:hAnsi="等线" w:eastAsia="等线" w:cs="MS Gothic"/>
        </w:rPr>
        <w:t>。</w:t>
      </w:r>
    </w:p>
    <w:p w14:paraId="0C08374A">
      <w:pPr>
        <w:pStyle w:val="51"/>
        <w:spacing w:before="312" w:after="312"/>
        <w:rPr>
          <w:rFonts w:hint="eastAsia" w:ascii="宋体" w:hAnsi="宋体"/>
          <w:szCs w:val="21"/>
        </w:rPr>
      </w:pPr>
      <w:bookmarkStart w:id="28" w:name="_Toc21642"/>
      <w:r>
        <w:rPr>
          <w:rFonts w:hint="eastAsia" w:ascii="宋体" w:hAnsi="宋体"/>
          <w:szCs w:val="21"/>
        </w:rPr>
        <w:t>3 主要工作过程</w:t>
      </w:r>
      <w:bookmarkEnd w:id="28"/>
    </w:p>
    <w:p w14:paraId="323DC296">
      <w:pPr>
        <w:ind w:firstLine="420" w:firstLineChars="200"/>
        <w:rPr>
          <w:rFonts w:ascii="宋体" w:hAnsi="Times New Roman"/>
          <w:kern w:val="0"/>
          <w:szCs w:val="20"/>
        </w:rPr>
      </w:pPr>
      <w:r>
        <w:rPr>
          <w:rFonts w:hint="eastAsia" w:ascii="宋体" w:hAnsi="Times New Roman"/>
          <w:kern w:val="0"/>
          <w:szCs w:val="20"/>
        </w:rPr>
        <w:t>2023年12月，</w:t>
      </w:r>
      <w:r>
        <w:rPr>
          <w:rFonts w:hint="eastAsia" w:ascii="Times New Roman" w:hAnsi="Times New Roman"/>
        </w:rPr>
        <w:t>中国电机工程学会下达标准立项通知，工作组完成项目任务书编写</w:t>
      </w:r>
      <w:r>
        <w:rPr>
          <w:rFonts w:hint="eastAsia" w:ascii="宋体" w:hAnsi="Times New Roman"/>
          <w:kern w:val="0"/>
          <w:szCs w:val="20"/>
        </w:rPr>
        <w:t>。</w:t>
      </w:r>
    </w:p>
    <w:p w14:paraId="065ED0E2">
      <w:pPr>
        <w:ind w:firstLine="420" w:firstLineChars="200"/>
        <w:rPr>
          <w:rFonts w:ascii="宋体" w:hAnsi="Times New Roman"/>
          <w:kern w:val="0"/>
          <w:szCs w:val="20"/>
        </w:rPr>
      </w:pPr>
      <w:r>
        <w:rPr>
          <w:rFonts w:hint="eastAsia" w:ascii="宋体" w:hAnsi="Times New Roman"/>
          <w:kern w:val="0"/>
          <w:szCs w:val="20"/>
        </w:rPr>
        <w:t>2024年1月，</w:t>
      </w:r>
      <w:r>
        <w:rPr>
          <w:rFonts w:hint="eastAsia"/>
        </w:rPr>
        <w:t>西安热工研究院有限公司</w:t>
      </w:r>
      <w:r>
        <w:rPr>
          <w:rFonts w:hint="eastAsia" w:ascii="宋体" w:hAnsi="Times New Roman"/>
          <w:kern w:val="0"/>
          <w:szCs w:val="20"/>
        </w:rPr>
        <w:t>牵头</w:t>
      </w:r>
      <w:r>
        <w:rPr>
          <w:rFonts w:hint="eastAsia"/>
        </w:rPr>
        <w:t>成立了</w:t>
      </w:r>
      <w:r>
        <w:rPr>
          <w:rFonts w:hint="eastAsia" w:ascii="宋体" w:hAnsi="Times New Roman"/>
          <w:kern w:val="0"/>
          <w:szCs w:val="20"/>
        </w:rPr>
        <w:t>标准编写工作组，组织各参与单位召开了《</w:t>
      </w:r>
      <w:r>
        <w:rPr>
          <w:rFonts w:hint="eastAsia"/>
        </w:rPr>
        <w:t>海上风电场水下设施检测技术规范</w:t>
      </w:r>
      <w:r>
        <w:rPr>
          <w:rFonts w:hint="eastAsia" w:ascii="宋体" w:hAnsi="Times New Roman"/>
          <w:kern w:val="0"/>
          <w:szCs w:val="20"/>
        </w:rPr>
        <w:t>》标准编制启动会议，</w:t>
      </w:r>
      <w:r>
        <w:rPr>
          <w:rFonts w:hint="eastAsia" w:ascii="宋体" w:hAnsi="宋体"/>
        </w:rPr>
        <w:t>成立了编写组，</w:t>
      </w:r>
      <w:r>
        <w:rPr>
          <w:rFonts w:hint="eastAsia" w:ascii="宋体" w:hAnsi="Times New Roman"/>
          <w:kern w:val="0"/>
          <w:szCs w:val="20"/>
        </w:rPr>
        <w:t>讨论确定了标准编制思路和工作计划。</w:t>
      </w:r>
    </w:p>
    <w:p w14:paraId="7E802026">
      <w:pPr>
        <w:ind w:firstLine="420" w:firstLineChars="200"/>
        <w:rPr>
          <w:rFonts w:ascii="宋体" w:hAnsi="Times New Roman"/>
          <w:kern w:val="0"/>
          <w:szCs w:val="20"/>
        </w:rPr>
      </w:pPr>
      <w:r>
        <w:rPr>
          <w:rFonts w:hint="eastAsia" w:ascii="宋体" w:hAnsi="Times New Roman"/>
          <w:kern w:val="0"/>
          <w:szCs w:val="20"/>
        </w:rPr>
        <w:t>202</w:t>
      </w:r>
      <w:r>
        <w:rPr>
          <w:rFonts w:ascii="宋体" w:hAnsi="Times New Roman"/>
          <w:kern w:val="0"/>
          <w:szCs w:val="20"/>
        </w:rPr>
        <w:t>4</w:t>
      </w:r>
      <w:r>
        <w:rPr>
          <w:rFonts w:hint="eastAsia" w:ascii="宋体" w:hAnsi="Times New Roman"/>
          <w:kern w:val="0"/>
          <w:szCs w:val="20"/>
        </w:rPr>
        <w:t>年4月，工作组结合立项评审专家建议，开展广泛调查研究，基于</w:t>
      </w:r>
      <w:r>
        <w:rPr>
          <w:rFonts w:hint="eastAsia"/>
        </w:rPr>
        <w:t>海上风电场水下设施检测技术的</w:t>
      </w:r>
      <w:r>
        <w:rPr>
          <w:rFonts w:hint="eastAsia" w:ascii="宋体" w:hAnsi="Times New Roman"/>
          <w:kern w:val="0"/>
          <w:szCs w:val="20"/>
        </w:rPr>
        <w:t>研判需求，</w:t>
      </w:r>
    </w:p>
    <w:p w14:paraId="145E5EE6">
      <w:pPr>
        <w:ind w:firstLine="420" w:firstLineChars="200"/>
        <w:rPr>
          <w:rFonts w:ascii="宋体" w:hAnsi="Times New Roman"/>
          <w:kern w:val="0"/>
          <w:szCs w:val="20"/>
        </w:rPr>
      </w:pPr>
      <w:r>
        <w:rPr>
          <w:rFonts w:hint="eastAsia" w:ascii="宋体" w:hAnsi="Times New Roman"/>
          <w:kern w:val="0"/>
          <w:szCs w:val="20"/>
        </w:rPr>
        <w:t>2024年12月，工作组结合在各海域海上风电场的实践经验，全面开展标准草案的修改完善工作，形成了标准初稿。</w:t>
      </w:r>
    </w:p>
    <w:p w14:paraId="036B523C">
      <w:pPr>
        <w:pStyle w:val="54"/>
        <w:rPr>
          <w:rFonts w:hint="eastAsia" w:ascii="宋体" w:hAnsi="宋体"/>
        </w:rPr>
      </w:pPr>
      <w:r>
        <w:rPr>
          <w:rFonts w:hint="eastAsia" w:ascii="宋体" w:hAnsi="宋体"/>
        </w:rPr>
        <w:t>2025年2月，由</w:t>
      </w:r>
      <w:r>
        <w:rPr>
          <w:rFonts w:hint="eastAsia" w:hAnsi="宋体" w:cs="宋体"/>
        </w:rPr>
        <w:t>西安热工研究院有限公司</w:t>
      </w:r>
      <w:r>
        <w:rPr>
          <w:rFonts w:hint="eastAsia" w:ascii="宋体" w:hAnsi="宋体"/>
        </w:rPr>
        <w:t>组织召开标准第二次工作组会议，与会专家对标准各个章节逐条进行详细讨论，提出了修改意见和建议。</w:t>
      </w:r>
    </w:p>
    <w:p w14:paraId="473E6F82">
      <w:pPr>
        <w:ind w:firstLine="420" w:firstLineChars="200"/>
        <w:rPr>
          <w:rFonts w:ascii="宋体" w:hAnsi="Times New Roman"/>
          <w:kern w:val="0"/>
          <w:szCs w:val="20"/>
        </w:rPr>
      </w:pPr>
      <w:r>
        <w:rPr>
          <w:rFonts w:hint="eastAsia" w:ascii="宋体" w:hAnsi="Times New Roman"/>
          <w:kern w:val="0"/>
          <w:szCs w:val="20"/>
        </w:rPr>
        <w:t>2025年4月，工作组根据</w:t>
      </w:r>
      <w:r>
        <w:rPr>
          <w:rFonts w:hint="eastAsia" w:ascii="宋体" w:hAnsi="宋体"/>
        </w:rPr>
        <w:t>第二次工作组会议修改意见和建议对标准进行了修改，</w:t>
      </w:r>
      <w:r>
        <w:rPr>
          <w:rFonts w:hint="eastAsia" w:ascii="宋体" w:hAnsi="Times New Roman"/>
          <w:kern w:val="0"/>
          <w:szCs w:val="20"/>
        </w:rPr>
        <w:t>形成标准征求意见稿初稿。</w:t>
      </w:r>
    </w:p>
    <w:p w14:paraId="4148B268">
      <w:pPr>
        <w:ind w:firstLine="420" w:firstLineChars="200"/>
        <w:rPr>
          <w:rFonts w:ascii="Times New Roman" w:hAnsi="Times New Roman"/>
          <w:color w:val="FF0000"/>
        </w:rPr>
      </w:pPr>
      <w:r>
        <w:rPr>
          <w:rFonts w:hint="eastAsia" w:ascii="宋体" w:hAnsi="Times New Roman"/>
          <w:kern w:val="0"/>
          <w:szCs w:val="20"/>
        </w:rPr>
        <w:t>2025年7月，经过编制小组和外部相关专家的反复论证和修改，我们向中国电机工程学会提交了标准征求意见稿，并向相关单位广泛征求意见。</w:t>
      </w:r>
    </w:p>
    <w:p w14:paraId="1CF11401">
      <w:pPr>
        <w:pStyle w:val="51"/>
        <w:spacing w:before="312" w:after="312"/>
        <w:rPr>
          <w:rFonts w:hint="eastAsia" w:ascii="宋体" w:hAnsi="宋体"/>
          <w:szCs w:val="21"/>
        </w:rPr>
      </w:pPr>
      <w:bookmarkStart w:id="29" w:name="_Toc25146"/>
      <w:r>
        <w:rPr>
          <w:rFonts w:hint="eastAsia" w:ascii="宋体" w:hAnsi="宋体"/>
          <w:szCs w:val="21"/>
        </w:rPr>
        <w:t>4 标准结构和内容说明</w:t>
      </w:r>
      <w:bookmarkEnd w:id="29"/>
    </w:p>
    <w:p w14:paraId="67992422">
      <w:pPr>
        <w:pStyle w:val="35"/>
      </w:pPr>
      <w:r>
        <w:rPr>
          <w:rFonts w:hint="eastAsia"/>
        </w:rPr>
        <w:t>本文件规定了海上风电场水下设施检测的一般要求、检测项目、检测设备、检测内容、检测方法等技术要求。</w:t>
      </w:r>
    </w:p>
    <w:p w14:paraId="790C07E9">
      <w:pPr>
        <w:pStyle w:val="35"/>
      </w:pPr>
      <w:r>
        <w:rPr>
          <w:rFonts w:hint="eastAsia"/>
        </w:rPr>
        <w:t>本文件适用于工程期、运维期海上风电场水下设施的现场检测工作。</w:t>
      </w:r>
    </w:p>
    <w:p w14:paraId="5D98747F">
      <w:pPr>
        <w:pStyle w:val="35"/>
      </w:pPr>
      <w:r>
        <w:rPr>
          <w:rFonts w:hint="eastAsia"/>
        </w:rPr>
        <w:t>文件的主要结构和内容如下：</w:t>
      </w:r>
    </w:p>
    <w:p w14:paraId="3CBA19E8">
      <w:pPr>
        <w:pStyle w:val="66"/>
        <w:ind w:firstLineChars="0"/>
        <w:rPr>
          <w:rFonts w:ascii="Times New Roman" w:hAnsi="Times New Roman"/>
        </w:rPr>
      </w:pPr>
      <w:r>
        <w:rPr>
          <w:rFonts w:hint="eastAsia" w:ascii="Times New Roman" w:hAnsi="Times New Roman"/>
        </w:rPr>
        <w:t>1）范围</w:t>
      </w:r>
      <w:bookmarkStart w:id="30" w:name="pindex806"/>
      <w:bookmarkEnd w:id="30"/>
    </w:p>
    <w:p w14:paraId="4A80B717">
      <w:pPr>
        <w:pStyle w:val="66"/>
        <w:ind w:firstLineChars="0"/>
        <w:rPr>
          <w:rFonts w:ascii="Times New Roman" w:hAnsi="Times New Roman"/>
        </w:rPr>
      </w:pPr>
      <w:r>
        <w:rPr>
          <w:rFonts w:hint="eastAsia" w:ascii="Times New Roman" w:hAnsi="Times New Roman"/>
        </w:rPr>
        <w:t>2）规范性引用文件</w:t>
      </w:r>
      <w:bookmarkStart w:id="31" w:name="pindex807"/>
      <w:bookmarkEnd w:id="31"/>
    </w:p>
    <w:p w14:paraId="46FCD714">
      <w:pPr>
        <w:pStyle w:val="66"/>
        <w:ind w:firstLineChars="0"/>
        <w:rPr>
          <w:rFonts w:ascii="Times New Roman" w:hAnsi="Times New Roman"/>
        </w:rPr>
      </w:pPr>
      <w:r>
        <w:rPr>
          <w:rFonts w:hint="eastAsia" w:ascii="Times New Roman" w:hAnsi="Times New Roman"/>
        </w:rPr>
        <w:t>3）术语和定义</w:t>
      </w:r>
      <w:bookmarkStart w:id="32" w:name="pindex808"/>
      <w:bookmarkEnd w:id="32"/>
    </w:p>
    <w:p w14:paraId="6CD3FF6B">
      <w:pPr>
        <w:pStyle w:val="66"/>
        <w:ind w:firstLineChars="0"/>
        <w:rPr>
          <w:rFonts w:ascii="Times New Roman" w:hAnsi="Times New Roman"/>
        </w:rPr>
      </w:pPr>
      <w:r>
        <w:rPr>
          <w:rFonts w:hint="eastAsia" w:ascii="Times New Roman" w:hAnsi="Times New Roman"/>
        </w:rPr>
        <w:t>4）</w:t>
      </w:r>
      <w:bookmarkStart w:id="33" w:name="pindex809"/>
      <w:bookmarkEnd w:id="33"/>
      <w:r>
        <w:rPr>
          <w:rFonts w:hint="eastAsia" w:ascii="Times New Roman" w:hAnsi="Times New Roman"/>
        </w:rPr>
        <w:t>基本要求</w:t>
      </w:r>
    </w:p>
    <w:p w14:paraId="1BFA8DF4">
      <w:pPr>
        <w:pStyle w:val="66"/>
        <w:ind w:firstLineChars="0"/>
        <w:rPr>
          <w:rFonts w:ascii="Times New Roman" w:hAnsi="Times New Roman"/>
        </w:rPr>
      </w:pPr>
      <w:r>
        <w:rPr>
          <w:rFonts w:hint="eastAsia" w:ascii="Times New Roman" w:hAnsi="Times New Roman"/>
        </w:rPr>
        <w:t>5）</w:t>
      </w:r>
      <w:bookmarkStart w:id="34" w:name="pindex810"/>
      <w:bookmarkEnd w:id="34"/>
      <w:r>
        <w:rPr>
          <w:rFonts w:hint="eastAsia"/>
        </w:rPr>
        <w:t>检测前准备工作</w:t>
      </w:r>
    </w:p>
    <w:p w14:paraId="76249AA3">
      <w:pPr>
        <w:pStyle w:val="66"/>
        <w:ind w:firstLineChars="0"/>
        <w:rPr>
          <w:rFonts w:ascii="Times New Roman" w:hAnsi="Times New Roman"/>
        </w:rPr>
      </w:pPr>
      <w:r>
        <w:rPr>
          <w:rFonts w:hint="eastAsia" w:ascii="Times New Roman" w:hAnsi="Times New Roman"/>
        </w:rPr>
        <w:t>6）</w:t>
      </w:r>
      <w:bookmarkStart w:id="35" w:name="pindex811"/>
      <w:bookmarkEnd w:id="35"/>
      <w:r>
        <w:rPr>
          <w:rFonts w:hint="eastAsia"/>
        </w:rPr>
        <w:t>基础结构检测</w:t>
      </w:r>
    </w:p>
    <w:p w14:paraId="754D469D">
      <w:pPr>
        <w:pStyle w:val="54"/>
      </w:pPr>
      <w:r>
        <w:rPr>
          <w:rFonts w:hint="eastAsia"/>
        </w:rPr>
        <w:t>7）基础防腐检测</w:t>
      </w:r>
    </w:p>
    <w:p w14:paraId="309AE85A">
      <w:pPr>
        <w:pStyle w:val="54"/>
      </w:pPr>
      <w:r>
        <w:rPr>
          <w:rFonts w:hint="eastAsia"/>
        </w:rPr>
        <w:t>8）基础冲刷检测</w:t>
      </w:r>
    </w:p>
    <w:p w14:paraId="41D08D27">
      <w:pPr>
        <w:pStyle w:val="54"/>
      </w:pPr>
      <w:r>
        <w:rPr>
          <w:rFonts w:hint="eastAsia"/>
        </w:rPr>
        <w:t>9）海缆接入端检测</w:t>
      </w:r>
    </w:p>
    <w:p w14:paraId="78C3DD71">
      <w:pPr>
        <w:pStyle w:val="54"/>
      </w:pPr>
      <w:r>
        <w:rPr>
          <w:rFonts w:hint="eastAsia"/>
        </w:rPr>
        <w:t>10）掩埋海缆检测</w:t>
      </w:r>
    </w:p>
    <w:p w14:paraId="0D1334CF">
      <w:pPr>
        <w:pStyle w:val="54"/>
      </w:pPr>
      <w:r>
        <w:rPr>
          <w:rFonts w:hint="eastAsia"/>
        </w:rPr>
        <w:t>11）检测记录和报告</w:t>
      </w:r>
    </w:p>
    <w:p w14:paraId="34DDAD4F">
      <w:pPr>
        <w:pStyle w:val="51"/>
        <w:spacing w:before="312" w:after="312"/>
      </w:pPr>
      <w:bookmarkStart w:id="36" w:name="_Toc13751"/>
      <w:r>
        <w:rPr>
          <w:rFonts w:hint="eastAsia" w:ascii="宋体" w:hAnsi="宋体"/>
          <w:szCs w:val="21"/>
        </w:rPr>
        <w:t>5相关</w:t>
      </w:r>
      <w:r>
        <w:rPr>
          <w:rFonts w:hint="eastAsia"/>
        </w:rPr>
        <w:t>标准对比说明</w:t>
      </w:r>
      <w:bookmarkEnd w:id="36"/>
    </w:p>
    <w:p w14:paraId="374E8DCF">
      <w:pPr>
        <w:pStyle w:val="35"/>
        <w:rPr>
          <w:rFonts w:hint="eastAsia" w:hAnsi="宋体" w:eastAsia="宋体"/>
          <w:lang w:val="en-US" w:eastAsia="zh-CN"/>
        </w:rPr>
      </w:pPr>
      <w:r>
        <w:rPr>
          <w:rFonts w:hint="eastAsia" w:hAnsi="宋体"/>
        </w:rPr>
        <w:t>海上风电场水下设施检测技术属于海上风电水下检测领域的范畴。在编制过程中，参考了海上风电海缆勘察、海上风电防腐蚀技术、无损检测技术、水下机器人技术等相关领域的国家标准、行业标准，主要包括《GB/T 17502 海底电缆管道路由勘察规范》、《GB/T 33423 沿海及海上风电机组腐蚀控制规范》、《GB/T 36896 轻型有缆遥控水下机器人》、《GB/T 40332 无损检测 超声检测 超声测厚仪性能特征和测试方法</w:t>
      </w:r>
      <w:bookmarkStart w:id="37" w:name="_Hlk193899128"/>
      <w:r>
        <w:rPr>
          <w:rFonts w:hint="eastAsia" w:hAnsi="宋体"/>
        </w:rPr>
        <w:t>》、《NB/T 10104 海上风电场工程测量规程</w:t>
      </w:r>
      <w:bookmarkEnd w:id="37"/>
      <w:r>
        <w:rPr>
          <w:rFonts w:hint="eastAsia" w:hAnsi="宋体"/>
        </w:rPr>
        <w:t>》、《NB/T 11085-2023 海上风电场工程结构安全监测建设规范》、《NB/T 31006 海上风电场钢结构防腐蚀技术标准》</w:t>
      </w:r>
      <w:r>
        <w:rPr>
          <w:rFonts w:hint="eastAsia" w:hAnsi="宋体"/>
          <w:lang w:val="en-US" w:eastAsia="zh-CN"/>
        </w:rPr>
        <w:t>等。</w:t>
      </w:r>
    </w:p>
    <w:p w14:paraId="5BA31D6F">
      <w:pPr>
        <w:pStyle w:val="35"/>
        <w:rPr>
          <w:rFonts w:hint="eastAsia" w:hAnsi="宋体"/>
        </w:rPr>
      </w:pPr>
      <w:r>
        <w:rPr>
          <w:rFonts w:hint="eastAsia" w:hAnsi="宋体"/>
        </w:rPr>
        <w:t>目前，国内仅存在一些针对海上风电水下设施部分检测内容的相关标准，《GB/T 17502 海底电缆管道路由勘察规范》、《GB/T 33423 沿海及海上风电机组腐蚀控制规范》、《GB/T 36896 轻型有缆遥控水下机器人》、《GB/T 40332 无损检测 超声检测 超声测厚仪性能特征和测试方法》、《NB/T 10104 海上风电场工程测量规程》、《NB/T 11085-2023 海上风电场工程结构安全监测建设规范》、《NB/T 31006 海上风电场钢结构防腐蚀技术标准》等标准仅针对单一检测内容，无法涵盖海上风电水下设施所有的水下检测内容，且未涉及使用水下机器人进行水下检测的相关标准，指导不够全面。</w:t>
      </w:r>
    </w:p>
    <w:p w14:paraId="1BACFFFF">
      <w:pPr>
        <w:pStyle w:val="35"/>
        <w:rPr>
          <w:rFonts w:hint="eastAsia" w:hAnsi="宋体"/>
        </w:rPr>
      </w:pPr>
      <w:r>
        <w:rPr>
          <w:rFonts w:hint="eastAsia" w:hAnsi="宋体"/>
        </w:rPr>
        <w:t>标准工作组在标准编制前期组织开展了大量调研与试验验证工作，围绕海上风电水下设施的</w:t>
      </w:r>
      <w:r>
        <w:rPr>
          <w:rFonts w:hAnsi="宋体"/>
        </w:rPr>
        <w:t>检测内容、检测周期、检测方法、使用的检测设备、设备操作方法、检测成果、检测记录和报告等内容</w:t>
      </w:r>
      <w:r>
        <w:rPr>
          <w:rFonts w:hint="eastAsia" w:hAnsi="宋体"/>
        </w:rPr>
        <w:t>进行系统评估和现场验证，积累了丰富的技术经验，并据此完成了本标准的编制。本标准已广泛征求电力相关单位的意见，不断修改完善标准。</w:t>
      </w:r>
    </w:p>
    <w:p w14:paraId="56E596DA">
      <w:pPr>
        <w:pStyle w:val="51"/>
        <w:spacing w:before="312" w:after="312"/>
        <w:rPr>
          <w:rFonts w:hint="eastAsia" w:ascii="宋体" w:hAnsi="宋体"/>
          <w:szCs w:val="21"/>
        </w:rPr>
      </w:pPr>
      <w:bookmarkStart w:id="38" w:name="_Toc15428"/>
      <w:r>
        <w:rPr>
          <w:rFonts w:hint="eastAsia" w:ascii="宋体" w:hAnsi="宋体"/>
          <w:szCs w:val="21"/>
        </w:rPr>
        <w:t>6标准实施措施说明</w:t>
      </w:r>
      <w:bookmarkEnd w:id="38"/>
    </w:p>
    <w:p w14:paraId="40D91265">
      <w:pPr>
        <w:pStyle w:val="35"/>
        <w:rPr>
          <w:rFonts w:ascii="Times New Roman"/>
        </w:rPr>
      </w:pPr>
      <w:r>
        <w:rPr>
          <w:rFonts w:hint="eastAsia" w:hAnsi="宋体" w:cs="宋体"/>
        </w:rPr>
        <w:t>本规范的制定有助于推动海上风电水下设施检测技术的发展，完善海上风电水下设施检测作业的技术体系和检测方法，支撑相关从业单位在检测设备选择、检测实施、检测记录与报告等方面实现标准化、规范化操作。标准发布实施后，将优先在从事海上风电水下设施检测服务企业中推广应用，标准适用范围涵盖大部分海上风电水下设施的检测内容。随着技术应用的深入与检测需求的增长，未来本规范可根据实践经验和技术发展进行优化提升，逐步形成行业或国家层级的技术规范。</w:t>
      </w:r>
    </w:p>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93E83">
    <w:pPr>
      <w:pStyle w:val="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AADC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5FD76">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B2154">
                          <w:pPr>
                            <w:pStyle w:val="9"/>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FDB2154">
                    <w:pPr>
                      <w:pStyle w:val="9"/>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14:paraId="0489978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FF99">
    <w:pPr>
      <w:pStyle w:val="36"/>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569A">
    <w:pPr>
      <w:pStyle w:val="36"/>
      <w:wordWrap w:val="0"/>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33B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7"/>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63"/>
      <w:suff w:val="space"/>
      <w:lvlText w:val="%1"/>
      <w:lvlJc w:val="left"/>
      <w:pPr>
        <w:ind w:left="0" w:firstLine="0"/>
      </w:pPr>
      <w:rPr>
        <w:rFonts w:hint="eastAsia"/>
        <w:color w:val="FFFFFF"/>
        <w:sz w:val="2"/>
      </w:rPr>
    </w:lvl>
    <w:lvl w:ilvl="1" w:tentative="0">
      <w:start w:val="1"/>
      <w:numFmt w:val="decimal"/>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2C5917C3"/>
    <w:multiLevelType w:val="multilevel"/>
    <w:tmpl w:val="2C5917C3"/>
    <w:lvl w:ilvl="0" w:tentative="0">
      <w:start w:val="1"/>
      <w:numFmt w:val="none"/>
      <w:pStyle w:val="59"/>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0B55DC2"/>
    <w:multiLevelType w:val="multilevel"/>
    <w:tmpl w:val="60B55DC2"/>
    <w:lvl w:ilvl="0" w:tentative="0">
      <w:start w:val="1"/>
      <w:numFmt w:val="upperLetter"/>
      <w:pStyle w:val="50"/>
      <w:lvlText w:val="%1"/>
      <w:lvlJc w:val="left"/>
      <w:pPr>
        <w:tabs>
          <w:tab w:val="left" w:pos="0"/>
        </w:tabs>
        <w:ind w:left="0" w:firstLine="0"/>
      </w:pPr>
      <w:rPr>
        <w:rFonts w:hint="eastAsia"/>
        <w:color w:val="FFFFFF"/>
        <w:sz w:val="2"/>
      </w:rPr>
    </w:lvl>
    <w:lvl w:ilvl="1" w:tentative="0">
      <w:start w:val="1"/>
      <w:numFmt w:val="decimal"/>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tentative="0">
      <w:start w:val="1"/>
      <w:numFmt w:val="upperLetter"/>
      <w:pStyle w:val="4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001D4D34"/>
    <w:rsid w:val="000029C5"/>
    <w:rsid w:val="00016764"/>
    <w:rsid w:val="000307A1"/>
    <w:rsid w:val="00050379"/>
    <w:rsid w:val="000B475C"/>
    <w:rsid w:val="000B6578"/>
    <w:rsid w:val="00106B59"/>
    <w:rsid w:val="0010708C"/>
    <w:rsid w:val="001741DB"/>
    <w:rsid w:val="0018274C"/>
    <w:rsid w:val="00186747"/>
    <w:rsid w:val="001A46C5"/>
    <w:rsid w:val="001A4BB7"/>
    <w:rsid w:val="001C296E"/>
    <w:rsid w:val="001C2C54"/>
    <w:rsid w:val="001D4D34"/>
    <w:rsid w:val="001F0C68"/>
    <w:rsid w:val="001F553B"/>
    <w:rsid w:val="0021442C"/>
    <w:rsid w:val="0023126C"/>
    <w:rsid w:val="002400D2"/>
    <w:rsid w:val="00247103"/>
    <w:rsid w:val="00264C77"/>
    <w:rsid w:val="00294E81"/>
    <w:rsid w:val="00305D44"/>
    <w:rsid w:val="00320884"/>
    <w:rsid w:val="0035792A"/>
    <w:rsid w:val="003830BE"/>
    <w:rsid w:val="00390EE5"/>
    <w:rsid w:val="003E04D4"/>
    <w:rsid w:val="003F683B"/>
    <w:rsid w:val="003F728B"/>
    <w:rsid w:val="00430581"/>
    <w:rsid w:val="004503D6"/>
    <w:rsid w:val="00457477"/>
    <w:rsid w:val="004B00B2"/>
    <w:rsid w:val="004D422C"/>
    <w:rsid w:val="005109DE"/>
    <w:rsid w:val="00514B31"/>
    <w:rsid w:val="005354E3"/>
    <w:rsid w:val="00536D89"/>
    <w:rsid w:val="00547422"/>
    <w:rsid w:val="00560051"/>
    <w:rsid w:val="00567C1C"/>
    <w:rsid w:val="0057765D"/>
    <w:rsid w:val="005A10F9"/>
    <w:rsid w:val="005A5D7A"/>
    <w:rsid w:val="005A6707"/>
    <w:rsid w:val="005F736F"/>
    <w:rsid w:val="006112DA"/>
    <w:rsid w:val="00644088"/>
    <w:rsid w:val="00656DF6"/>
    <w:rsid w:val="00656E23"/>
    <w:rsid w:val="00681C85"/>
    <w:rsid w:val="006A6D8D"/>
    <w:rsid w:val="006D50BD"/>
    <w:rsid w:val="006D758A"/>
    <w:rsid w:val="006E4C3B"/>
    <w:rsid w:val="006E5F2D"/>
    <w:rsid w:val="006F5A44"/>
    <w:rsid w:val="00705284"/>
    <w:rsid w:val="00752C39"/>
    <w:rsid w:val="00766FB4"/>
    <w:rsid w:val="00791ADA"/>
    <w:rsid w:val="007A77E3"/>
    <w:rsid w:val="007B2737"/>
    <w:rsid w:val="007E3428"/>
    <w:rsid w:val="007F30CA"/>
    <w:rsid w:val="00801778"/>
    <w:rsid w:val="008050C3"/>
    <w:rsid w:val="00806B9E"/>
    <w:rsid w:val="008137BF"/>
    <w:rsid w:val="0086068B"/>
    <w:rsid w:val="00870975"/>
    <w:rsid w:val="00890058"/>
    <w:rsid w:val="008D4D71"/>
    <w:rsid w:val="008E5570"/>
    <w:rsid w:val="008F287C"/>
    <w:rsid w:val="008F60F3"/>
    <w:rsid w:val="009269CC"/>
    <w:rsid w:val="009375BB"/>
    <w:rsid w:val="00964128"/>
    <w:rsid w:val="00984794"/>
    <w:rsid w:val="009A3DC7"/>
    <w:rsid w:val="009F6BFC"/>
    <w:rsid w:val="00A129F4"/>
    <w:rsid w:val="00A45283"/>
    <w:rsid w:val="00A53DF5"/>
    <w:rsid w:val="00A80431"/>
    <w:rsid w:val="00AA1EC4"/>
    <w:rsid w:val="00AD321C"/>
    <w:rsid w:val="00AE5B06"/>
    <w:rsid w:val="00AF1819"/>
    <w:rsid w:val="00B1457B"/>
    <w:rsid w:val="00B2672D"/>
    <w:rsid w:val="00B52607"/>
    <w:rsid w:val="00B94C71"/>
    <w:rsid w:val="00B9701B"/>
    <w:rsid w:val="00BB7B87"/>
    <w:rsid w:val="00BC337C"/>
    <w:rsid w:val="00BD3DA7"/>
    <w:rsid w:val="00BD4BB1"/>
    <w:rsid w:val="00BD7943"/>
    <w:rsid w:val="00BF3DA3"/>
    <w:rsid w:val="00C36E76"/>
    <w:rsid w:val="00C43C7A"/>
    <w:rsid w:val="00C54DE5"/>
    <w:rsid w:val="00C605D2"/>
    <w:rsid w:val="00CA03D6"/>
    <w:rsid w:val="00CA67D7"/>
    <w:rsid w:val="00CB0668"/>
    <w:rsid w:val="00CC4834"/>
    <w:rsid w:val="00CF40C3"/>
    <w:rsid w:val="00D4184E"/>
    <w:rsid w:val="00D51130"/>
    <w:rsid w:val="00DC114C"/>
    <w:rsid w:val="00DD5590"/>
    <w:rsid w:val="00E020A8"/>
    <w:rsid w:val="00E11A6E"/>
    <w:rsid w:val="00E54418"/>
    <w:rsid w:val="00E62369"/>
    <w:rsid w:val="00E7646D"/>
    <w:rsid w:val="00EA4457"/>
    <w:rsid w:val="00EA4720"/>
    <w:rsid w:val="00EC20B7"/>
    <w:rsid w:val="00EE1AFE"/>
    <w:rsid w:val="00F041AA"/>
    <w:rsid w:val="00F11837"/>
    <w:rsid w:val="00F30766"/>
    <w:rsid w:val="00F33585"/>
    <w:rsid w:val="00F52815"/>
    <w:rsid w:val="00F713EE"/>
    <w:rsid w:val="00FF6C28"/>
    <w:rsid w:val="072B5A55"/>
    <w:rsid w:val="10245F02"/>
    <w:rsid w:val="116D72C1"/>
    <w:rsid w:val="12EA1DE5"/>
    <w:rsid w:val="12EF7EDF"/>
    <w:rsid w:val="131C1B91"/>
    <w:rsid w:val="13586884"/>
    <w:rsid w:val="14EF46DF"/>
    <w:rsid w:val="151417DA"/>
    <w:rsid w:val="18343536"/>
    <w:rsid w:val="193F0930"/>
    <w:rsid w:val="23CB6EE2"/>
    <w:rsid w:val="24AB742F"/>
    <w:rsid w:val="250A35F8"/>
    <w:rsid w:val="26B92668"/>
    <w:rsid w:val="26EB3904"/>
    <w:rsid w:val="2A4751E2"/>
    <w:rsid w:val="2BEF1858"/>
    <w:rsid w:val="2DF0478A"/>
    <w:rsid w:val="308C2661"/>
    <w:rsid w:val="374970B3"/>
    <w:rsid w:val="3B255741"/>
    <w:rsid w:val="3C346376"/>
    <w:rsid w:val="3EE319C4"/>
    <w:rsid w:val="43244B6C"/>
    <w:rsid w:val="43BA29DA"/>
    <w:rsid w:val="47B74924"/>
    <w:rsid w:val="4A617BB2"/>
    <w:rsid w:val="56E85B49"/>
    <w:rsid w:val="581E19BA"/>
    <w:rsid w:val="594B5E19"/>
    <w:rsid w:val="5B1C7CE6"/>
    <w:rsid w:val="5B524A14"/>
    <w:rsid w:val="5B814BED"/>
    <w:rsid w:val="5C125DFC"/>
    <w:rsid w:val="5D345D7F"/>
    <w:rsid w:val="5EC34DD2"/>
    <w:rsid w:val="619E72E2"/>
    <w:rsid w:val="696E178E"/>
    <w:rsid w:val="6FB3769C"/>
    <w:rsid w:val="717F6A43"/>
    <w:rsid w:val="7185070D"/>
    <w:rsid w:val="72E47108"/>
    <w:rsid w:val="735105F2"/>
    <w:rsid w:val="7509519E"/>
    <w:rsid w:val="78B33DB1"/>
    <w:rsid w:val="79E76372"/>
    <w:rsid w:val="7ABA21C5"/>
    <w:rsid w:val="7BF85F7F"/>
    <w:rsid w:val="7C2B47A6"/>
    <w:rsid w:val="7DDF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locked/>
    <w:uiPriority w:val="9"/>
    <w:pPr>
      <w:keepNext/>
      <w:keepLines/>
      <w:spacing w:before="340" w:after="330" w:line="578" w:lineRule="auto"/>
      <w:outlineLvl w:val="0"/>
    </w:pPr>
    <w:rPr>
      <w:rFonts w:ascii="Times New Roman" w:hAnsi="Times New Roman"/>
      <w:b/>
      <w:bCs/>
      <w:kern w:val="44"/>
      <w:sz w:val="44"/>
      <w:szCs w:val="4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ody Text"/>
    <w:basedOn w:val="1"/>
    <w:link w:val="28"/>
    <w:unhideWhenUsed/>
    <w:qFormat/>
    <w:uiPriority w:val="99"/>
    <w:pPr>
      <w:spacing w:after="120"/>
    </w:pPr>
    <w:rPr>
      <w:rFonts w:ascii="Times New Roman" w:hAnsi="Times New Roman"/>
      <w:szCs w:val="20"/>
    </w:rPr>
  </w:style>
  <w:style w:type="paragraph" w:styleId="5">
    <w:name w:val="toc 3"/>
    <w:basedOn w:val="6"/>
    <w:next w:val="1"/>
    <w:qFormat/>
    <w:locked/>
    <w:uiPriority w:val="39"/>
    <w:pPr>
      <w:tabs>
        <w:tab w:val="right" w:leader="dot" w:pos="9241"/>
      </w:tabs>
      <w:ind w:left="100" w:leftChars="100"/>
    </w:pPr>
  </w:style>
  <w:style w:type="paragraph" w:styleId="6">
    <w:name w:val="toc 2"/>
    <w:basedOn w:val="7"/>
    <w:next w:val="1"/>
    <w:qFormat/>
    <w:locked/>
    <w:uiPriority w:val="39"/>
    <w:pPr>
      <w:tabs>
        <w:tab w:val="right" w:leader="dot" w:pos="9241"/>
      </w:tabs>
    </w:pPr>
  </w:style>
  <w:style w:type="paragraph" w:styleId="7">
    <w:name w:val="toc 1"/>
    <w:basedOn w:val="1"/>
    <w:next w:val="1"/>
    <w:qFormat/>
    <w:locked/>
    <w:uiPriority w:val="39"/>
    <w:pPr>
      <w:tabs>
        <w:tab w:val="right" w:leader="dot" w:pos="9241"/>
      </w:tabs>
      <w:spacing w:before="25" w:beforeLines="25" w:after="25" w:afterLines="25"/>
      <w:jc w:val="left"/>
    </w:pPr>
    <w:rPr>
      <w:rFonts w:ascii="宋体" w:hAnsi="Times New Roman"/>
      <w:szCs w:val="21"/>
    </w:rPr>
  </w:style>
  <w:style w:type="paragraph" w:styleId="8">
    <w:name w:val="Balloon Text"/>
    <w:basedOn w:val="1"/>
    <w:link w:val="22"/>
    <w:qFormat/>
    <w:uiPriority w:val="99"/>
    <w:rPr>
      <w:kern w:val="0"/>
      <w:sz w:val="18"/>
      <w:szCs w:val="18"/>
    </w:rPr>
  </w:style>
  <w:style w:type="paragraph" w:styleId="9">
    <w:name w:val="footer"/>
    <w:basedOn w:val="1"/>
    <w:link w:val="23"/>
    <w:qFormat/>
    <w:uiPriority w:val="99"/>
    <w:pPr>
      <w:tabs>
        <w:tab w:val="center" w:pos="4153"/>
        <w:tab w:val="right" w:pos="8306"/>
      </w:tabs>
      <w:snapToGrid w:val="0"/>
      <w:jc w:val="left"/>
    </w:pPr>
    <w:rPr>
      <w:kern w:val="0"/>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5"/>
    <w:qFormat/>
    <w:locked/>
    <w:uiPriority w:val="0"/>
    <w:pPr>
      <w:spacing w:before="240" w:after="60"/>
      <w:jc w:val="center"/>
      <w:outlineLvl w:val="0"/>
    </w:pPr>
    <w:rPr>
      <w:rFonts w:ascii="Cambria" w:hAnsi="Cambria"/>
      <w:b/>
      <w:bCs/>
      <w:sz w:val="32"/>
      <w:szCs w:val="32"/>
    </w:rPr>
  </w:style>
  <w:style w:type="paragraph" w:styleId="13">
    <w:name w:val="annotation subject"/>
    <w:basedOn w:val="3"/>
    <w:next w:val="3"/>
    <w:link w:val="21"/>
    <w:unhideWhenUsed/>
    <w:qFormat/>
    <w:uiPriority w:val="99"/>
    <w:rPr>
      <w:b/>
      <w:bCs/>
    </w:rPr>
  </w:style>
  <w:style w:type="character" w:styleId="16">
    <w:name w:val="page number"/>
    <w:qFormat/>
    <w:uiPriority w:val="0"/>
    <w:rPr>
      <w:rFonts w:ascii="Times New Roman" w:hAnsi="Times New Roman" w:eastAsia="宋体"/>
      <w:sz w:val="18"/>
    </w:rPr>
  </w:style>
  <w:style w:type="character" w:styleId="17">
    <w:name w:val="Hyperlink"/>
    <w:qFormat/>
    <w:uiPriority w:val="99"/>
    <w:rPr>
      <w:rFonts w:cs="Times New Roman"/>
      <w:color w:val="0563C1"/>
      <w:u w:val="single"/>
    </w:rPr>
  </w:style>
  <w:style w:type="character" w:styleId="18">
    <w:name w:val="annotation reference"/>
    <w:unhideWhenUsed/>
    <w:qFormat/>
    <w:uiPriority w:val="99"/>
    <w:rPr>
      <w:sz w:val="21"/>
      <w:szCs w:val="21"/>
    </w:rPr>
  </w:style>
  <w:style w:type="character" w:customStyle="1" w:styleId="19">
    <w:name w:val="标题 1 字符"/>
    <w:basedOn w:val="15"/>
    <w:link w:val="2"/>
    <w:qFormat/>
    <w:uiPriority w:val="9"/>
    <w:rPr>
      <w:rFonts w:ascii="Times New Roman" w:hAnsi="Times New Roman" w:cs="Times New Roman"/>
      <w:b/>
      <w:bCs/>
      <w:kern w:val="44"/>
      <w:sz w:val="44"/>
      <w:szCs w:val="44"/>
    </w:rPr>
  </w:style>
  <w:style w:type="character" w:customStyle="1" w:styleId="20">
    <w:name w:val="批注文字 字符"/>
    <w:link w:val="3"/>
    <w:qFormat/>
    <w:uiPriority w:val="99"/>
    <w:rPr>
      <w:kern w:val="2"/>
      <w:sz w:val="21"/>
      <w:szCs w:val="22"/>
    </w:rPr>
  </w:style>
  <w:style w:type="character" w:customStyle="1" w:styleId="21">
    <w:name w:val="批注主题 字符"/>
    <w:link w:val="13"/>
    <w:semiHidden/>
    <w:qFormat/>
    <w:uiPriority w:val="99"/>
    <w:rPr>
      <w:b/>
      <w:bCs/>
      <w:kern w:val="2"/>
      <w:sz w:val="21"/>
      <w:szCs w:val="22"/>
    </w:rPr>
  </w:style>
  <w:style w:type="character" w:customStyle="1" w:styleId="22">
    <w:name w:val="批注框文本 字符"/>
    <w:link w:val="8"/>
    <w:semiHidden/>
    <w:qFormat/>
    <w:locked/>
    <w:uiPriority w:val="99"/>
    <w:rPr>
      <w:rFonts w:cs="Times New Roman"/>
      <w:sz w:val="18"/>
      <w:szCs w:val="18"/>
    </w:rPr>
  </w:style>
  <w:style w:type="character" w:customStyle="1" w:styleId="23">
    <w:name w:val="页脚 字符"/>
    <w:link w:val="9"/>
    <w:qFormat/>
    <w:locked/>
    <w:uiPriority w:val="99"/>
    <w:rPr>
      <w:rFonts w:ascii="Calibri" w:hAnsi="Calibri" w:eastAsia="宋体" w:cs="Times New Roman"/>
      <w:kern w:val="0"/>
      <w:sz w:val="18"/>
      <w:szCs w:val="18"/>
    </w:rPr>
  </w:style>
  <w:style w:type="character" w:customStyle="1" w:styleId="24">
    <w:name w:val="页眉 字符"/>
    <w:link w:val="10"/>
    <w:qFormat/>
    <w:locked/>
    <w:uiPriority w:val="99"/>
    <w:rPr>
      <w:rFonts w:ascii="Calibri" w:hAnsi="Calibri" w:eastAsia="宋体" w:cs="Times New Roman"/>
      <w:kern w:val="0"/>
      <w:sz w:val="18"/>
      <w:szCs w:val="18"/>
    </w:rPr>
  </w:style>
  <w:style w:type="character" w:customStyle="1" w:styleId="25">
    <w:name w:val="标题 字符"/>
    <w:link w:val="12"/>
    <w:qFormat/>
    <w:uiPriority w:val="0"/>
    <w:rPr>
      <w:rFonts w:ascii="Cambria" w:hAnsi="Cambria" w:cs="Times New Roman"/>
      <w:b/>
      <w:bCs/>
      <w:kern w:val="2"/>
      <w:sz w:val="32"/>
      <w:szCs w:val="32"/>
    </w:rPr>
  </w:style>
  <w:style w:type="paragraph" w:customStyle="1" w:styleId="26">
    <w:name w:val="列出段落1"/>
    <w:basedOn w:val="1"/>
    <w:qFormat/>
    <w:uiPriority w:val="99"/>
    <w:pPr>
      <w:widowControl/>
      <w:ind w:firstLine="420" w:firstLineChars="200"/>
      <w:jc w:val="left"/>
    </w:pPr>
    <w:rPr>
      <w:rFonts w:ascii="宋体" w:hAnsi="宋体" w:cs="宋体"/>
      <w:kern w:val="0"/>
      <w:sz w:val="24"/>
      <w:szCs w:val="24"/>
    </w:rPr>
  </w:style>
  <w:style w:type="paragraph" w:customStyle="1" w:styleId="27">
    <w:name w:val="修订1"/>
    <w:hidden/>
    <w:unhideWhenUsed/>
    <w:qFormat/>
    <w:uiPriority w:val="99"/>
    <w:rPr>
      <w:rFonts w:ascii="Calibri" w:hAnsi="Calibri" w:eastAsia="宋体" w:cs="Calibri"/>
      <w:kern w:val="2"/>
      <w:sz w:val="21"/>
      <w:szCs w:val="22"/>
      <w:lang w:val="en-US" w:eastAsia="zh-CN" w:bidi="ar-SA"/>
    </w:rPr>
  </w:style>
  <w:style w:type="character" w:customStyle="1" w:styleId="28">
    <w:name w:val="正文文本 字符"/>
    <w:basedOn w:val="15"/>
    <w:link w:val="4"/>
    <w:qFormat/>
    <w:uiPriority w:val="99"/>
    <w:rPr>
      <w:rFonts w:ascii="Times New Roman" w:hAnsi="Times New Roman" w:cs="Times New Roman"/>
      <w:kern w:val="2"/>
      <w:sz w:val="21"/>
    </w:rPr>
  </w:style>
  <w:style w:type="paragraph" w:customStyle="1" w:styleId="29">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发布GB"/>
    <w:basedOn w:val="4"/>
    <w:qFormat/>
    <w:uiPriority w:val="0"/>
    <w:pPr>
      <w:spacing w:after="0" w:line="280" w:lineRule="exact"/>
      <w:ind w:left="284"/>
    </w:pPr>
    <w:rPr>
      <w:rFonts w:ascii="黑体" w:eastAsia="黑体"/>
      <w:kern w:val="3"/>
      <w:sz w:val="28"/>
    </w:rPr>
  </w:style>
  <w:style w:type="paragraph" w:customStyle="1" w:styleId="32">
    <w:name w:val="二级无标题条"/>
    <w:basedOn w:val="33"/>
    <w:qFormat/>
    <w:uiPriority w:val="0"/>
    <w:pPr>
      <w:spacing w:before="0" w:beforeLines="0" w:after="0" w:afterLines="0"/>
    </w:pPr>
    <w:rPr>
      <w:rFonts w:eastAsia="宋体"/>
    </w:rPr>
  </w:style>
  <w:style w:type="paragraph" w:customStyle="1" w:styleId="33">
    <w:name w:val="二级条标题"/>
    <w:basedOn w:val="34"/>
    <w:next w:val="35"/>
    <w:qFormat/>
    <w:uiPriority w:val="0"/>
    <w:pPr>
      <w:numPr>
        <w:ilvl w:val="0"/>
        <w:numId w:val="0"/>
      </w:numPr>
      <w:spacing w:before="50" w:after="50"/>
      <w:ind w:left="568"/>
      <w:outlineLvl w:val="9"/>
    </w:pPr>
  </w:style>
  <w:style w:type="paragraph" w:customStyle="1" w:styleId="34">
    <w:name w:val="一级条标题"/>
    <w:next w:val="3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章标题"/>
    <w:next w:val="3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标准书眉一"/>
    <w:qFormat/>
    <w:uiPriority w:val="0"/>
    <w:pPr>
      <w:jc w:val="both"/>
    </w:pPr>
    <w:rPr>
      <w:rFonts w:ascii="Times New Roman" w:hAnsi="Times New Roman" w:eastAsia="宋体" w:cs="Times New Roman"/>
      <w:lang w:val="en-US" w:eastAsia="zh-CN" w:bidi="ar-SA"/>
    </w:rPr>
  </w:style>
  <w:style w:type="paragraph" w:customStyle="1" w:styleId="39">
    <w:name w:val="封面标准代替信息"/>
    <w:basedOn w:val="40"/>
    <w:qFormat/>
    <w:uiPriority w:val="0"/>
    <w:pPr>
      <w:spacing w:before="0" w:line="360" w:lineRule="exact"/>
    </w:pPr>
    <w:rPr>
      <w:rFonts w:hAnsi="黑体"/>
      <w:sz w:val="21"/>
    </w:rPr>
  </w:style>
  <w:style w:type="paragraph" w:customStyle="1" w:styleId="40">
    <w:name w:val="封面标准号2"/>
    <w:basedOn w:val="41"/>
    <w:qFormat/>
    <w:uiPriority w:val="0"/>
    <w:pPr>
      <w:adjustRightInd w:val="0"/>
      <w:spacing w:before="357" w:line="280" w:lineRule="exact"/>
    </w:pPr>
  </w:style>
  <w:style w:type="paragraph" w:customStyle="1" w:styleId="41">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42">
    <w:name w:val="名称"/>
    <w:basedOn w:val="43"/>
    <w:next w:val="35"/>
    <w:qFormat/>
    <w:uiPriority w:val="0"/>
    <w:pPr>
      <w:spacing w:line="460" w:lineRule="exact"/>
      <w:outlineLvl w:val="9"/>
    </w:pPr>
  </w:style>
  <w:style w:type="paragraph" w:customStyle="1" w:styleId="4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
    <w:name w:val="附录标识"/>
    <w:basedOn w:val="1"/>
    <w:next w:val="1"/>
    <w:qFormat/>
    <w:uiPriority w:val="0"/>
    <w:pPr>
      <w:keepNext/>
      <w:widowControl/>
      <w:numPr>
        <w:ilvl w:val="0"/>
        <w:numId w:val="2"/>
      </w:numPr>
      <w:shd w:val="clear" w:color="FFFFFF" w:fill="FFFFFF"/>
      <w:tabs>
        <w:tab w:val="left" w:pos="6405"/>
      </w:tabs>
      <w:spacing w:before="640" w:after="280"/>
      <w:jc w:val="center"/>
      <w:outlineLvl w:val="0"/>
    </w:pPr>
    <w:rPr>
      <w:rFonts w:ascii="黑体" w:hAnsi="Times New Roman" w:eastAsia="黑体"/>
      <w:kern w:val="0"/>
      <w:szCs w:val="20"/>
    </w:rPr>
  </w:style>
  <w:style w:type="paragraph" w:customStyle="1" w:styleId="45">
    <w:name w:val="一级无标题条"/>
    <w:basedOn w:val="34"/>
    <w:qFormat/>
    <w:uiPriority w:val="0"/>
    <w:pPr>
      <w:spacing w:before="0" w:beforeLines="0" w:after="0" w:afterLines="0"/>
      <w:outlineLvl w:val="9"/>
    </w:pPr>
    <w:rPr>
      <w:rFonts w:eastAsia="宋体"/>
    </w:rPr>
  </w:style>
  <w:style w:type="paragraph" w:customStyle="1" w:styleId="46">
    <w:name w:val="标准书眉_偶数页"/>
    <w:basedOn w:val="36"/>
    <w:next w:val="1"/>
    <w:qFormat/>
    <w:uiPriority w:val="0"/>
    <w:pPr>
      <w:jc w:val="left"/>
    </w:pPr>
  </w:style>
  <w:style w:type="paragraph" w:customStyle="1" w:styleId="47">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48">
    <w:name w:val="实施日期"/>
    <w:basedOn w:val="49"/>
    <w:qFormat/>
    <w:uiPriority w:val="0"/>
    <w:pPr>
      <w:jc w:val="right"/>
    </w:pPr>
  </w:style>
  <w:style w:type="paragraph" w:customStyle="1" w:styleId="49">
    <w:name w:val="发布日期"/>
    <w:qFormat/>
    <w:uiPriority w:val="0"/>
    <w:rPr>
      <w:rFonts w:ascii="黑体" w:hAnsi="黑体" w:eastAsia="黑体" w:cs="Times New Roman"/>
      <w:sz w:val="28"/>
      <w:lang w:val="en-US" w:eastAsia="zh-CN" w:bidi="ar-SA"/>
    </w:rPr>
  </w:style>
  <w:style w:type="paragraph" w:customStyle="1" w:styleId="50">
    <w:name w:val="附录表标号"/>
    <w:basedOn w:val="1"/>
    <w:next w:val="35"/>
    <w:qFormat/>
    <w:uiPriority w:val="0"/>
    <w:pPr>
      <w:numPr>
        <w:ilvl w:val="0"/>
        <w:numId w:val="3"/>
      </w:numPr>
      <w:snapToGrid w:val="0"/>
      <w:spacing w:line="14" w:lineRule="exact"/>
      <w:jc w:val="center"/>
    </w:pPr>
    <w:rPr>
      <w:rFonts w:ascii="Times New Roman" w:hAnsi="Times New Roman"/>
      <w:color w:val="FFFFFF"/>
      <w:szCs w:val="20"/>
    </w:rPr>
  </w:style>
  <w:style w:type="paragraph" w:customStyle="1" w:styleId="51">
    <w:name w:val="样式 标题 1 + 非加粗"/>
    <w:basedOn w:val="2"/>
    <w:qFormat/>
    <w:uiPriority w:val="0"/>
    <w:pPr>
      <w:spacing w:before="100" w:beforeLines="100" w:after="100" w:afterLines="100" w:line="240" w:lineRule="auto"/>
    </w:pPr>
    <w:rPr>
      <w:rFonts w:eastAsia="黑体"/>
      <w:b w:val="0"/>
      <w:bCs w:val="0"/>
      <w:sz w:val="21"/>
    </w:rPr>
  </w:style>
  <w:style w:type="paragraph" w:customStyle="1" w:styleId="52">
    <w:name w:val="目次、标准名称标题"/>
    <w:basedOn w:val="43"/>
    <w:next w:val="35"/>
    <w:qFormat/>
    <w:uiPriority w:val="0"/>
    <w:pPr>
      <w:keepNext/>
      <w:pageBreakBefore/>
      <w:spacing w:line="460" w:lineRule="exact"/>
    </w:pPr>
  </w:style>
  <w:style w:type="paragraph" w:customStyle="1" w:styleId="53">
    <w:name w:val="发布TB"/>
    <w:basedOn w:val="31"/>
    <w:qFormat/>
    <w:uiPriority w:val="0"/>
    <w:pPr>
      <w:ind w:left="567"/>
    </w:pPr>
  </w:style>
  <w:style w:type="paragraph" w:styleId="54">
    <w:name w:val="List Paragraph"/>
    <w:basedOn w:val="1"/>
    <w:qFormat/>
    <w:uiPriority w:val="34"/>
    <w:pPr>
      <w:ind w:firstLine="420" w:firstLineChars="200"/>
    </w:pPr>
  </w:style>
  <w:style w:type="paragraph" w:customStyle="1" w:styleId="55">
    <w:name w:val="附录章标题"/>
    <w:next w:val="35"/>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6">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7">
    <w:name w:val="Char"/>
    <w:basedOn w:val="1"/>
    <w:qFormat/>
    <w:uiPriority w:val="0"/>
    <w:rPr>
      <w:rFonts w:ascii="Times New Roman" w:hAnsi="Times New Roman"/>
      <w:szCs w:val="24"/>
    </w:rPr>
  </w:style>
  <w:style w:type="paragraph" w:customStyle="1" w:styleId="58">
    <w:name w:val="封面正文"/>
    <w:qFormat/>
    <w:uiPriority w:val="0"/>
    <w:pPr>
      <w:jc w:val="both"/>
    </w:pPr>
    <w:rPr>
      <w:rFonts w:ascii="Times New Roman" w:hAnsi="Times New Roman" w:eastAsia="宋体" w:cs="Times New Roman"/>
      <w:lang w:val="en-US" w:eastAsia="zh-CN" w:bidi="ar-SA"/>
    </w:rPr>
  </w:style>
  <w:style w:type="paragraph" w:customStyle="1" w:styleId="59">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2">
    <w:name w:val="ICS"/>
    <w:basedOn w:val="58"/>
    <w:qFormat/>
    <w:uiPriority w:val="0"/>
    <w:pPr>
      <w:jc w:val="left"/>
    </w:pPr>
    <w:rPr>
      <w:rFonts w:ascii="黑体" w:eastAsia="黑体"/>
      <w:sz w:val="21"/>
    </w:rPr>
  </w:style>
  <w:style w:type="paragraph" w:customStyle="1" w:styleId="63">
    <w:name w:val="附录图标号"/>
    <w:basedOn w:val="1"/>
    <w:next w:val="35"/>
    <w:qFormat/>
    <w:uiPriority w:val="0"/>
    <w:pPr>
      <w:numPr>
        <w:ilvl w:val="0"/>
        <w:numId w:val="5"/>
      </w:numPr>
      <w:snapToGrid w:val="0"/>
      <w:spacing w:line="14" w:lineRule="exact"/>
      <w:jc w:val="center"/>
    </w:pPr>
    <w:rPr>
      <w:rFonts w:ascii="Times New Roman" w:hAnsi="Times New Roman"/>
      <w:color w:val="FFFFFF"/>
      <w:szCs w:val="20"/>
    </w:rPr>
  </w:style>
  <w:style w:type="paragraph" w:customStyle="1" w:styleId="64">
    <w:name w:val="术语定义一级条标题"/>
    <w:basedOn w:val="34"/>
    <w:next w:val="35"/>
    <w:qFormat/>
    <w:uiPriority w:val="0"/>
    <w:pPr>
      <w:spacing w:before="0" w:beforeLines="0" w:after="0" w:afterLines="0"/>
      <w:outlineLvl w:val="9"/>
    </w:pPr>
  </w:style>
  <w:style w:type="paragraph" w:customStyle="1" w:styleId="65">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6">
    <w:name w:val="_Style 134"/>
    <w:basedOn w:val="1"/>
    <w:next w:val="54"/>
    <w:autoRedefine/>
    <w:qFormat/>
    <w:uiPriority w:val="34"/>
    <w:pPr>
      <w:ind w:firstLine="420" w:firstLineChars="200"/>
    </w:pPr>
  </w:style>
  <w:style w:type="paragraph" w:customStyle="1" w:styleId="67">
    <w:name w:val="标准文件_段"/>
    <w:link w:val="68"/>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8">
    <w:name w:val="标准文件_段 Char"/>
    <w:link w:val="67"/>
    <w:autoRedefine/>
    <w:qFormat/>
    <w:uiPriority w:val="0"/>
    <w:rPr>
      <w:rFonts w:ascii="宋体"/>
      <w:sz w:val="21"/>
    </w:rPr>
  </w:style>
  <w:style w:type="table" w:customStyle="1" w:styleId="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2467</Words>
  <Characters>2632</Characters>
  <Lines>72</Lines>
  <Paragraphs>50</Paragraphs>
  <TotalTime>33</TotalTime>
  <ScaleCrop>false</ScaleCrop>
  <LinksUpToDate>false</LinksUpToDate>
  <CharactersWithSpaces>2689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2022-10-20T02:15:00Z</dcterms:created>
  <dc:creator>MYQ</dc:creator>
  <cp:lastModifiedBy> 樊伟哲</cp:lastModifiedBy>
  <cp:lastPrinted>2018-05-10T03:48:00Z</cp:lastPrinted>
  <dcterms:modified xsi:type="dcterms:W3CDTF">2025-08-01T09:23:31Z</dcterms:modified>
  <dc:title>中国电机工程学会标准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CACE63BC50874B728E8829BBF130BDA0_13</vt:lpwstr>
  </property>
  <property fmtid="{D5CDD505-2E9C-101B-9397-08002B2CF9AE}" pid="4" name="KSOTemplateDocerSaveRecord">
    <vt:lpwstr>eyJoZGlkIjoiMDU1YTVhZDBiNWQ4YTc4NjAyYWFlOGE0NWE5YjY5ZmMiLCJ1c2VySWQiOiIyNDEwMzE2MTcifQ==</vt:lpwstr>
  </property>
</Properties>
</file>