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2433" w:tblpY="916"/>
        <w:tblOverlap w:val="never"/>
        <w:tblW w:w="7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4" w:hRule="atLeast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136号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文深度解读及应对策略；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电力市场交易现状及问题解析；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bookmarkStart w:id="0" w:name="OLE_LINK6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新能源新型智能发电技术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电站新型配储技术及发展方向；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虚拟电厂及发展路径探讨；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设备性能智能评估及智能检测；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新能源设备故障预警诊断技术；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新能源电站安全运行管控技术及案例分享；</w:t>
            </w:r>
          </w:p>
          <w:p>
            <w:pPr>
              <w:autoSpaceDE w:val="0"/>
              <w:autoSpaceDN w:val="0"/>
              <w:spacing w:before="132"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新能源设备寿命评估及延寿关键技术。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2" w:hRule="atLeast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249" w:firstLineChars="80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zh-CN"/>
              </w:rPr>
              <w:t>高质量论文交流方向（8-10篇）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新能源智能发电技术；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新能源电站智慧基建技术；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新能源设备可靠性及性能评估技术；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新能源设备故障智能诊断技术；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新能源电站智能监管、智慧运维技术；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新能源设备寿命评估及延寿技术；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新能源电站后评价技术；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新能源退役设备回收技术；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电力交易辅助决策技术；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先进智能装备研发及应用技术；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新能源电站先进管理经验；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left="24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 w:bidi="zh-CN"/>
              </w:rPr>
              <w:t>能源电站事故案例分享等。</w:t>
            </w:r>
          </w:p>
        </w:tc>
      </w:tr>
    </w:tbl>
    <w:p>
      <w:pPr>
        <w:autoSpaceDE w:val="0"/>
        <w:autoSpaceDN w:val="0"/>
        <w:adjustRightInd w:val="0"/>
        <w:spacing w:line="460" w:lineRule="atLeast"/>
        <w:ind w:left="1205" w:leftChars="-57" w:hanging="1325" w:hangingChars="300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会议拟定交流方向</w:t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B81B"/>
    <w:rsid w:val="28DE6BA9"/>
    <w:rsid w:val="56AD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2025-09-05T16:59:00Z</dcterms:created>
  <dc:creator>欢の</dc:creator>
  <cp:lastModifiedBy>欢の</cp:lastModifiedBy>
  <dcterms:modified xsi:type="dcterms:W3CDTF">2025-09-05T17:03:31Z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E5AD01246BD486F573A6BA6864DF0073</vt:lpwstr>
  </property>
</Properties>
</file>