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rightChars="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 xml:space="preserve">附件2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rightChars="0" w:firstLine="652" w:firstLineChars="200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157" w:afterLines="50" w:line="580" w:lineRule="exact"/>
        <w:ind w:right="0" w:rightChars="0"/>
        <w:jc w:val="center"/>
        <w:textAlignment w:val="baseline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  <w:t>会议回执二维码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/>
        <w:jc w:val="center"/>
        <w:textAlignment w:val="baseline"/>
        <w:outlineLvl w:val="2"/>
        <w:rPr>
          <w:rFonts w:hint="default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  <w:drawing>
          <wp:inline distT="0" distB="0" distL="114300" distR="114300">
            <wp:extent cx="2844165" cy="2844165"/>
            <wp:effectExtent l="0" t="0" r="635" b="635"/>
            <wp:docPr id="1" name="图片 1" descr="电力化学专委会2025年年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力化学专委会2025年年会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注：请10月8日前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使用微信扫描二维码，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填写参会信息并提交。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DFD023"/>
    <w:rsid w:val="DADF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2025-09-10T09:55:00Z</dcterms:created>
  <dc:creator>欢の</dc:creator>
  <cp:lastModifiedBy>欢の</cp:lastModifiedBy>
  <dcterms:modified xsi:type="dcterms:W3CDTF">2025-09-10T10:03:53Z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39F5652B1D1FFA9B87DAC0680F17B0AB</vt:lpwstr>
  </property>
</Properties>
</file>