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附件：</w:t>
      </w:r>
    </w:p>
    <w:p>
      <w:pPr>
        <w:spacing w:line="360"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大赛获奖作品名单</w:t>
      </w:r>
    </w:p>
    <w:tbl>
      <w:tblPr>
        <w:tblStyle w:val="3"/>
        <w:tblW w:w="14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5383"/>
        <w:gridCol w:w="1324"/>
        <w:gridCol w:w="1438"/>
        <w:gridCol w:w="2148"/>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trPr>
        <w:tc>
          <w:tcPr>
            <w:tcW w:w="1468" w:type="dxa"/>
            <w:vAlign w:val="center"/>
          </w:tcPr>
          <w:p>
            <w:pPr>
              <w:spacing w:line="360" w:lineRule="auto"/>
              <w:jc w:val="center"/>
              <w:rPr>
                <w:rFonts w:hint="eastAsia" w:ascii="Times New Roman" w:hAnsi="Times New Roman" w:eastAsia="宋体" w:cs="Times New Roman"/>
                <w:sz w:val="24"/>
                <w:szCs w:val="24"/>
                <w:lang w:val="en-US" w:eastAsia="zh-CN"/>
              </w:rPr>
            </w:pPr>
            <w:r>
              <w:rPr>
                <w:rFonts w:hint="eastAsia" w:ascii="仿宋" w:hAnsi="仿宋" w:eastAsia="仿宋" w:cs="仿宋"/>
                <w:b/>
                <w:sz w:val="24"/>
                <w:szCs w:val="24"/>
              </w:rPr>
              <w:t>获奖等级</w:t>
            </w:r>
          </w:p>
        </w:tc>
        <w:tc>
          <w:tcPr>
            <w:tcW w:w="5383" w:type="dxa"/>
            <w:vAlign w:val="center"/>
          </w:tcPr>
          <w:p>
            <w:pPr>
              <w:spacing w:line="360" w:lineRule="auto"/>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作品名称</w:t>
            </w:r>
          </w:p>
        </w:tc>
        <w:tc>
          <w:tcPr>
            <w:tcW w:w="1324" w:type="dxa"/>
            <w:vAlign w:val="center"/>
          </w:tcPr>
          <w:p>
            <w:pPr>
              <w:spacing w:line="360" w:lineRule="auto"/>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排名</w:t>
            </w:r>
          </w:p>
        </w:tc>
        <w:tc>
          <w:tcPr>
            <w:tcW w:w="1438" w:type="dxa"/>
            <w:vAlign w:val="center"/>
          </w:tcPr>
          <w:p>
            <w:pPr>
              <w:spacing w:line="360" w:lineRule="auto"/>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总分数</w:t>
            </w:r>
          </w:p>
        </w:tc>
        <w:tc>
          <w:tcPr>
            <w:tcW w:w="2148" w:type="dxa"/>
            <w:vAlign w:val="center"/>
          </w:tcPr>
          <w:p>
            <w:pPr>
              <w:spacing w:line="360" w:lineRule="auto"/>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姓名</w:t>
            </w:r>
          </w:p>
        </w:tc>
        <w:tc>
          <w:tcPr>
            <w:tcW w:w="2455" w:type="dxa"/>
            <w:vAlign w:val="center"/>
          </w:tcPr>
          <w:p>
            <w:pPr>
              <w:spacing w:line="360" w:lineRule="auto"/>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trPr>
        <w:tc>
          <w:tcPr>
            <w:tcW w:w="146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一等奖</w:t>
            </w:r>
          </w:p>
        </w:tc>
        <w:tc>
          <w:tcPr>
            <w:tcW w:w="53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少样本物理信息融合深度学习的储能系统寿命预测方法与实证</w:t>
            </w:r>
          </w:p>
        </w:tc>
        <w:tc>
          <w:tcPr>
            <w:tcW w:w="1324"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4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641</w:t>
            </w:r>
          </w:p>
        </w:tc>
        <w:tc>
          <w:tcPr>
            <w:tcW w:w="2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姜添、杨天</w:t>
            </w:r>
          </w:p>
        </w:tc>
        <w:tc>
          <w:tcPr>
            <w:tcW w:w="245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华北电力大学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atLeast"/>
        </w:trPr>
        <w:tc>
          <w:tcPr>
            <w:tcW w:w="146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二等奖</w:t>
            </w:r>
          </w:p>
        </w:tc>
        <w:tc>
          <w:tcPr>
            <w:tcW w:w="53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高压直流直挂储能主动响应功率支撑和快速直流故障穿越技术</w:t>
            </w:r>
          </w:p>
        </w:tc>
        <w:tc>
          <w:tcPr>
            <w:tcW w:w="1324"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4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633</w:t>
            </w:r>
          </w:p>
        </w:tc>
        <w:tc>
          <w:tcPr>
            <w:tcW w:w="2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赵西贝、徐志强、王晨旭</w:t>
            </w:r>
          </w:p>
        </w:tc>
        <w:tc>
          <w:tcPr>
            <w:tcW w:w="245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华北电力大学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trPr>
        <w:tc>
          <w:tcPr>
            <w:tcW w:w="146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53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构网型（储能）变流器暂态故障全过程主动支撑与电流控制技术</w:t>
            </w:r>
          </w:p>
        </w:tc>
        <w:tc>
          <w:tcPr>
            <w:tcW w:w="1324"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14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620</w:t>
            </w:r>
          </w:p>
        </w:tc>
        <w:tc>
          <w:tcPr>
            <w:tcW w:w="2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金效宽、闫涵、</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王睿尧</w:t>
            </w:r>
          </w:p>
        </w:tc>
        <w:tc>
          <w:tcPr>
            <w:tcW w:w="245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东南大学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7" w:hRule="atLeast"/>
        </w:trPr>
        <w:tc>
          <w:tcPr>
            <w:tcW w:w="146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三等奖</w:t>
            </w:r>
          </w:p>
        </w:tc>
        <w:tc>
          <w:tcPr>
            <w:tcW w:w="53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源侧混合构网型储能系统配置选型及运行优化技术方案研究</w:t>
            </w:r>
          </w:p>
        </w:tc>
        <w:tc>
          <w:tcPr>
            <w:tcW w:w="1324"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14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600</w:t>
            </w:r>
          </w:p>
        </w:tc>
        <w:tc>
          <w:tcPr>
            <w:tcW w:w="2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赵璐璐、刘静佳、苏新凯</w:t>
            </w:r>
          </w:p>
        </w:tc>
        <w:tc>
          <w:tcPr>
            <w:tcW w:w="245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国家能源集团新能源技术研究院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7" w:hRule="atLeast"/>
        </w:trPr>
        <w:tc>
          <w:tcPr>
            <w:tcW w:w="146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53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低短路比场景下新能源基地构网型储能分散式配置与经济性优化</w:t>
            </w:r>
          </w:p>
        </w:tc>
        <w:tc>
          <w:tcPr>
            <w:tcW w:w="1324"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4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599</w:t>
            </w:r>
          </w:p>
        </w:tc>
        <w:tc>
          <w:tcPr>
            <w:tcW w:w="2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王亦楠、冷若寒、单永鹏</w:t>
            </w:r>
          </w:p>
        </w:tc>
        <w:tc>
          <w:tcPr>
            <w:tcW w:w="245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6" w:hRule="atLeast"/>
        </w:trPr>
        <w:tc>
          <w:tcPr>
            <w:tcW w:w="146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53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一种基于分散判据的跟构网混联系统稳定分析和选址优化策略研究</w:t>
            </w:r>
          </w:p>
        </w:tc>
        <w:tc>
          <w:tcPr>
            <w:tcW w:w="1324"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14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593</w:t>
            </w:r>
          </w:p>
        </w:tc>
        <w:tc>
          <w:tcPr>
            <w:tcW w:w="2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罗梁骁、谭枫、</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潘奕晔</w:t>
            </w:r>
          </w:p>
        </w:tc>
        <w:tc>
          <w:tcPr>
            <w:tcW w:w="245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6" w:hRule="atLeast"/>
        </w:trPr>
        <w:tc>
          <w:tcPr>
            <w:tcW w:w="146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53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基于小信号分析与参数辨识的高压直挂构网型储能虚拟惯量实测验证方法</w:t>
            </w:r>
          </w:p>
        </w:tc>
        <w:tc>
          <w:tcPr>
            <w:tcW w:w="1324"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143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593</w:t>
            </w:r>
          </w:p>
        </w:tc>
        <w:tc>
          <w:tcPr>
            <w:tcW w:w="2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陈雨鸽、石吉银、林文彬</w:t>
            </w:r>
          </w:p>
        </w:tc>
        <w:tc>
          <w:tcPr>
            <w:tcW w:w="245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国网福建省电力有限公司电力科学研究院</w:t>
            </w:r>
          </w:p>
        </w:tc>
      </w:tr>
    </w:tbl>
    <w:p>
      <w:pPr>
        <w:jc w:val="both"/>
        <w:rPr>
          <w:rFonts w:hint="eastAsia"/>
          <w:sz w:val="32"/>
          <w:szCs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panose1 w:val="00000000000000000000"/>
    <w:charset w:val="02"/>
    <w:family w:val="roman"/>
    <w:pitch w:val="default"/>
    <w:sig w:usb0="00000000" w:usb1="00000000" w:usb2="00000000" w:usb3="00000000" w:csb0="00000000" w:csb1="00000000"/>
  </w:font>
  <w:font w:name="Calibri">
    <w:panose1 w:val="020F0302020204030204"/>
    <w:charset w:val="00"/>
    <w:family w:val="swiss"/>
    <w:pitch w:val="default"/>
    <w:sig w:usb0="00000000" w:usb1="00000000" w:usb2="00000000" w:usb3="00000000" w:csb0="00000000" w:csb1="00000000"/>
  </w:font>
  <w:font w:name="仿宋">
    <w:panose1 w:val="02010609060101010101"/>
    <w:charset w:val="86"/>
    <w:family w:val="modern"/>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B6CF39"/>
    <w:rsid w:val="FDB6C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2025-09-16T13:53:00Z</dcterms:created>
  <dc:creator>欢の</dc:creator>
  <cp:lastModifiedBy>欢の</cp:lastModifiedBy>
  <dcterms:modified xsi:type="dcterms:W3CDTF">2025-09-16T13:53:31Z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2A5533FC008ACC9043FBC8685FCAEF6B</vt:lpwstr>
  </property>
</Properties>
</file>