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3188" w14:textId="77777777" w:rsidR="006E6220" w:rsidRPr="006E6220" w:rsidRDefault="006E6220" w:rsidP="006E6220">
      <w:pPr>
        <w:jc w:val="center"/>
        <w:rPr>
          <w:rFonts w:ascii="黑体" w:eastAsia="黑体" w:hAnsi="黑体"/>
          <w:bCs/>
          <w:sz w:val="32"/>
          <w:szCs w:val="32"/>
        </w:rPr>
      </w:pPr>
      <w:bookmarkStart w:id="0" w:name="_Toc513731110"/>
    </w:p>
    <w:p w14:paraId="07D91762" w14:textId="77777777" w:rsidR="006E6220" w:rsidRPr="006E6220" w:rsidRDefault="006E6220" w:rsidP="006E6220">
      <w:pPr>
        <w:jc w:val="center"/>
        <w:rPr>
          <w:rFonts w:ascii="黑体" w:eastAsia="黑体" w:hAnsi="黑体"/>
          <w:bCs/>
          <w:sz w:val="32"/>
          <w:szCs w:val="32"/>
        </w:rPr>
      </w:pPr>
      <w:r w:rsidRPr="006E6220">
        <w:rPr>
          <w:rFonts w:ascii="黑体" w:eastAsia="黑体" w:hAnsi="黑体" w:hint="eastAsia"/>
          <w:bCs/>
          <w:sz w:val="32"/>
          <w:szCs w:val="32"/>
        </w:rPr>
        <w:t>编制说明</w:t>
      </w:r>
    </w:p>
    <w:p w14:paraId="2E62D070" w14:textId="77777777" w:rsidR="006E6220" w:rsidRPr="006E6220" w:rsidRDefault="006E6220" w:rsidP="006E6220">
      <w:pPr>
        <w:jc w:val="center"/>
        <w:rPr>
          <w:rFonts w:ascii="黑体" w:eastAsia="黑体" w:hAnsi="黑体"/>
          <w:bCs/>
          <w:sz w:val="32"/>
          <w:szCs w:val="32"/>
        </w:rPr>
      </w:pPr>
    </w:p>
    <w:p w14:paraId="1FE31741"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65FFE5CA"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251F53AC"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3DD9A66E"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61D2A599"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6927BE0A"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34B26F35"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3C611B79"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7467B4EA"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49946B8B" w14:textId="77777777" w:rsidR="006E6220" w:rsidRPr="006E6220" w:rsidRDefault="006E6220" w:rsidP="006E6220">
      <w:pPr>
        <w:widowControl/>
        <w:tabs>
          <w:tab w:val="center" w:pos="4201"/>
          <w:tab w:val="right" w:leader="dot" w:pos="9298"/>
        </w:tabs>
        <w:autoSpaceDE w:val="0"/>
        <w:autoSpaceDN w:val="0"/>
        <w:rPr>
          <w:rFonts w:ascii="宋体"/>
          <w:kern w:val="0"/>
          <w:szCs w:val="20"/>
        </w:rPr>
      </w:pPr>
    </w:p>
    <w:p w14:paraId="5DEE9B1F" w14:textId="7588BDE9" w:rsidR="006E6220" w:rsidRPr="006E6220" w:rsidRDefault="006E6220" w:rsidP="006E6220">
      <w:pPr>
        <w:widowControl/>
        <w:tabs>
          <w:tab w:val="center" w:pos="4201"/>
          <w:tab w:val="right" w:leader="dot" w:pos="9298"/>
        </w:tabs>
        <w:autoSpaceDE w:val="0"/>
        <w:autoSpaceDN w:val="0"/>
        <w:jc w:val="center"/>
        <w:rPr>
          <w:rFonts w:ascii="黑体" w:eastAsia="黑体"/>
          <w:kern w:val="0"/>
          <w:sz w:val="44"/>
          <w:szCs w:val="44"/>
        </w:rPr>
      </w:pPr>
      <w:r w:rsidRPr="006E6220">
        <w:rPr>
          <w:rFonts w:ascii="黑体" w:eastAsia="黑体" w:hint="eastAsia"/>
          <w:kern w:val="0"/>
          <w:sz w:val="44"/>
          <w:szCs w:val="44"/>
        </w:rPr>
        <w:t>电力设备产品碳足迹评价通用要求</w:t>
      </w:r>
    </w:p>
    <w:p w14:paraId="25C1D61F" w14:textId="77777777" w:rsidR="006E6220" w:rsidRPr="006E6220" w:rsidRDefault="006E6220" w:rsidP="006E6220">
      <w:pPr>
        <w:widowControl/>
        <w:tabs>
          <w:tab w:val="center" w:pos="4201"/>
          <w:tab w:val="right" w:leader="dot" w:pos="9298"/>
        </w:tabs>
        <w:autoSpaceDE w:val="0"/>
        <w:autoSpaceDN w:val="0"/>
        <w:ind w:firstLineChars="200" w:firstLine="420"/>
        <w:rPr>
          <w:rFonts w:ascii="宋体"/>
          <w:kern w:val="0"/>
          <w:szCs w:val="20"/>
        </w:rPr>
      </w:pPr>
    </w:p>
    <w:p w14:paraId="18401F48" w14:textId="77777777" w:rsidR="006E6220" w:rsidRPr="006E6220" w:rsidRDefault="006E6220" w:rsidP="006E6220">
      <w:pPr>
        <w:widowControl/>
        <w:tabs>
          <w:tab w:val="center" w:pos="4201"/>
          <w:tab w:val="right" w:leader="dot" w:pos="9298"/>
        </w:tabs>
        <w:autoSpaceDE w:val="0"/>
        <w:autoSpaceDN w:val="0"/>
        <w:ind w:firstLineChars="200" w:firstLine="420"/>
        <w:rPr>
          <w:rFonts w:ascii="宋体"/>
          <w:kern w:val="0"/>
          <w:szCs w:val="20"/>
        </w:rPr>
      </w:pPr>
    </w:p>
    <w:p w14:paraId="6EFCD396" w14:textId="77777777" w:rsidR="006E6220" w:rsidRPr="006E6220" w:rsidRDefault="006E6220" w:rsidP="006E6220">
      <w:pPr>
        <w:widowControl/>
        <w:spacing w:beforeLines="100" w:before="312" w:afterLines="100" w:after="312"/>
        <w:jc w:val="center"/>
        <w:outlineLvl w:val="1"/>
        <w:rPr>
          <w:rFonts w:ascii="黑体" w:eastAsia="黑体"/>
          <w:kern w:val="0"/>
          <w:sz w:val="28"/>
          <w:szCs w:val="28"/>
        </w:rPr>
      </w:pPr>
      <w:bookmarkStart w:id="1" w:name="_Toc298937368"/>
      <w:bookmarkStart w:id="2" w:name="_Toc298937333"/>
      <w:bookmarkStart w:id="3" w:name="_Toc309993200"/>
      <w:bookmarkStart w:id="4" w:name="_Toc298938646"/>
      <w:bookmarkStart w:id="5" w:name="_Toc309995492"/>
      <w:bookmarkStart w:id="6" w:name="_Toc298938794"/>
      <w:bookmarkStart w:id="7" w:name="_Toc298937473"/>
      <w:bookmarkStart w:id="8" w:name="_Toc309995410"/>
      <w:bookmarkStart w:id="9" w:name="_Toc309995598"/>
      <w:bookmarkStart w:id="10" w:name="_Toc304825020"/>
      <w:bookmarkStart w:id="11" w:name="_Toc320020914"/>
      <w:bookmarkStart w:id="12" w:name="_Toc304402675"/>
      <w:bookmarkStart w:id="13" w:name="_Toc298937560"/>
      <w:bookmarkStart w:id="14" w:name="_Toc309996019"/>
      <w:bookmarkStart w:id="15" w:name="_Toc309994571"/>
      <w:bookmarkStart w:id="16" w:name="_Toc298937430"/>
      <w:bookmarkStart w:id="17" w:name="_Toc310002657"/>
      <w:bookmarkStart w:id="18" w:name="_Toc304828086"/>
      <w:bookmarkStart w:id="19" w:name="_Toc304824981"/>
      <w:bookmarkStart w:id="20" w:name="_Toc318613715"/>
      <w:bookmarkStart w:id="21" w:name="_Toc309997060"/>
      <w:bookmarkStart w:id="22" w:name="_Toc304825093"/>
      <w:bookmarkStart w:id="23" w:name="_Toc298937620"/>
      <w:r w:rsidRPr="006E6220">
        <w:rPr>
          <w:rFonts w:ascii="黑体" w:eastAsia="黑体" w:hint="eastAsia"/>
          <w:kern w:val="0"/>
          <w:sz w:val="28"/>
          <w:szCs w:val="28"/>
        </w:rPr>
        <w:t>编 </w:t>
      </w:r>
      <w:r w:rsidRPr="006E6220">
        <w:rPr>
          <w:rFonts w:ascii="黑体" w:eastAsia="黑体" w:hAnsi="黑体" w:cs="黑体" w:hint="eastAsia"/>
          <w:kern w:val="0"/>
          <w:sz w:val="28"/>
          <w:szCs w:val="28"/>
        </w:rPr>
        <w:t>制</w:t>
      </w:r>
      <w:r w:rsidRPr="006E6220">
        <w:rPr>
          <w:rFonts w:ascii="黑体" w:eastAsia="黑体" w:hint="eastAsia"/>
          <w:kern w:val="0"/>
          <w:sz w:val="28"/>
          <w:szCs w:val="28"/>
        </w:rPr>
        <w:t> </w:t>
      </w:r>
      <w:r w:rsidRPr="006E6220">
        <w:rPr>
          <w:rFonts w:ascii="黑体" w:eastAsia="黑体" w:hAnsi="黑体" w:cs="黑体" w:hint="eastAsia"/>
          <w:kern w:val="0"/>
          <w:sz w:val="28"/>
          <w:szCs w:val="28"/>
        </w:rPr>
        <w:t>说</w:t>
      </w:r>
      <w:bookmarkEnd w:id="1"/>
      <w:bookmarkEnd w:id="2"/>
      <w:r w:rsidRPr="006E6220">
        <w:rPr>
          <w:rFonts w:ascii="黑体" w:eastAsia="黑体" w:hint="eastAsia"/>
          <w:kern w:val="0"/>
          <w:sz w:val="28"/>
          <w:szCs w:val="28"/>
        </w:rPr>
        <w:t> </w:t>
      </w:r>
      <w:r w:rsidRPr="006E6220">
        <w:rPr>
          <w:rFonts w:ascii="黑体" w:eastAsia="黑体" w:hAnsi="黑体" w:cs="黑体" w:hint="eastAsia"/>
          <w:kern w:val="0"/>
          <w:sz w:val="28"/>
          <w:szCs w:val="28"/>
        </w:rPr>
        <w:t>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44E17CD" w14:textId="77777777" w:rsidR="006E6220" w:rsidRPr="006E6220" w:rsidRDefault="006E6220" w:rsidP="006E6220">
      <w:pPr>
        <w:widowControl/>
        <w:tabs>
          <w:tab w:val="center" w:pos="4201"/>
          <w:tab w:val="right" w:leader="dot" w:pos="9298"/>
        </w:tabs>
        <w:autoSpaceDE w:val="0"/>
        <w:autoSpaceDN w:val="0"/>
        <w:ind w:firstLineChars="200" w:firstLine="560"/>
        <w:jc w:val="center"/>
        <w:rPr>
          <w:rFonts w:ascii="黑体" w:eastAsia="黑体"/>
          <w:kern w:val="0"/>
          <w:sz w:val="28"/>
          <w:szCs w:val="28"/>
        </w:rPr>
      </w:pPr>
    </w:p>
    <w:p w14:paraId="72F40C7B" w14:textId="77777777" w:rsidR="006E6220" w:rsidRPr="006E6220" w:rsidRDefault="006E6220" w:rsidP="006E6220">
      <w:pPr>
        <w:widowControl/>
        <w:tabs>
          <w:tab w:val="center" w:pos="4201"/>
          <w:tab w:val="right" w:leader="dot" w:pos="9298"/>
        </w:tabs>
        <w:autoSpaceDE w:val="0"/>
        <w:autoSpaceDN w:val="0"/>
        <w:ind w:firstLineChars="200" w:firstLine="560"/>
        <w:jc w:val="center"/>
        <w:rPr>
          <w:rFonts w:ascii="黑体" w:eastAsia="黑体"/>
          <w:kern w:val="0"/>
          <w:sz w:val="28"/>
          <w:szCs w:val="28"/>
        </w:rPr>
      </w:pPr>
    </w:p>
    <w:p w14:paraId="178FB203" w14:textId="77777777" w:rsidR="006E6220" w:rsidRPr="006E6220" w:rsidRDefault="006E6220" w:rsidP="006E6220">
      <w:pPr>
        <w:widowControl/>
        <w:tabs>
          <w:tab w:val="center" w:pos="4201"/>
          <w:tab w:val="right" w:leader="dot" w:pos="9298"/>
        </w:tabs>
        <w:autoSpaceDE w:val="0"/>
        <w:autoSpaceDN w:val="0"/>
        <w:ind w:firstLineChars="200" w:firstLine="420"/>
        <w:rPr>
          <w:rFonts w:ascii="宋体"/>
          <w:kern w:val="0"/>
          <w:szCs w:val="20"/>
        </w:rPr>
        <w:sectPr w:rsidR="006E6220" w:rsidRPr="006E6220" w:rsidSect="006E6220">
          <w:headerReference w:type="even" r:id="rId7"/>
          <w:headerReference w:type="default" r:id="rId8"/>
          <w:footerReference w:type="default" r:id="rId9"/>
          <w:pgSz w:w="11906" w:h="16838"/>
          <w:pgMar w:top="567" w:right="1134" w:bottom="1134" w:left="1417" w:header="1418" w:footer="1134" w:gutter="0"/>
          <w:cols w:space="720"/>
          <w:formProt w:val="0"/>
          <w:docGrid w:type="lines" w:linePitch="312"/>
        </w:sectPr>
      </w:pPr>
    </w:p>
    <w:p w14:paraId="7EACE325" w14:textId="77777777" w:rsidR="006E6220" w:rsidRPr="006E6220" w:rsidRDefault="006E6220" w:rsidP="006E6220">
      <w:pPr>
        <w:keepNext/>
        <w:pageBreakBefore/>
        <w:widowControl/>
        <w:shd w:val="clear" w:color="FFFFFF" w:fill="FFFFFF"/>
        <w:spacing w:before="640" w:after="560" w:line="460" w:lineRule="exact"/>
        <w:jc w:val="center"/>
        <w:outlineLvl w:val="0"/>
        <w:rPr>
          <w:rFonts w:ascii="黑体" w:eastAsia="黑体"/>
          <w:kern w:val="0"/>
          <w:sz w:val="32"/>
          <w:szCs w:val="20"/>
        </w:rPr>
      </w:pPr>
      <w:bookmarkStart w:id="24" w:name="_Toc513731109"/>
      <w:bookmarkStart w:id="25" w:name="_Toc513731021"/>
      <w:bookmarkStart w:id="26" w:name="_Toc309992160"/>
      <w:r w:rsidRPr="006E6220">
        <w:rPr>
          <w:rFonts w:ascii="黑体" w:eastAsia="黑体" w:hint="eastAsia"/>
          <w:kern w:val="0"/>
          <w:sz w:val="32"/>
          <w:szCs w:val="20"/>
        </w:rPr>
        <w:lastRenderedPageBreak/>
        <w:t>目次</w:t>
      </w:r>
      <w:bookmarkEnd w:id="24"/>
      <w:bookmarkEnd w:id="25"/>
      <w:bookmarkEnd w:id="26"/>
    </w:p>
    <w:p w14:paraId="4992FC46" w14:textId="77777777" w:rsidR="006E6220" w:rsidRPr="006E6220" w:rsidRDefault="006E6220" w:rsidP="006E6220">
      <w:pPr>
        <w:tabs>
          <w:tab w:val="right" w:leader="dot" w:pos="9241"/>
        </w:tabs>
        <w:spacing w:beforeLines="25" w:before="78" w:afterLines="25" w:after="78"/>
        <w:jc w:val="left"/>
        <w:rPr>
          <w:rFonts w:ascii="Calibri" w:hAnsi="Calibri"/>
          <w:noProof/>
          <w:szCs w:val="22"/>
        </w:rPr>
      </w:pPr>
      <w:r w:rsidRPr="006E6220">
        <w:rPr>
          <w:rFonts w:ascii="宋体" w:hAnsi="宋体"/>
          <w:szCs w:val="21"/>
        </w:rPr>
        <w:fldChar w:fldCharType="begin"/>
      </w:r>
      <w:r w:rsidRPr="006E6220">
        <w:rPr>
          <w:rFonts w:ascii="宋体" w:hAnsi="宋体"/>
          <w:szCs w:val="21"/>
        </w:rPr>
        <w:instrText xml:space="preserve"> </w:instrText>
      </w:r>
      <w:r w:rsidRPr="006E6220">
        <w:rPr>
          <w:rFonts w:ascii="宋体" w:hAnsi="宋体" w:hint="eastAsia"/>
          <w:szCs w:val="21"/>
        </w:rPr>
        <w:instrText>TOC \o "1-1" \h \z \u</w:instrText>
      </w:r>
      <w:r w:rsidRPr="006E6220">
        <w:rPr>
          <w:rFonts w:ascii="宋体" w:hAnsi="宋体"/>
          <w:szCs w:val="21"/>
        </w:rPr>
        <w:instrText xml:space="preserve"> </w:instrText>
      </w:r>
      <w:r w:rsidRPr="006E6220">
        <w:rPr>
          <w:rFonts w:ascii="宋体" w:hAnsi="宋体"/>
          <w:szCs w:val="21"/>
        </w:rPr>
        <w:fldChar w:fldCharType="separate"/>
      </w:r>
    </w:p>
    <w:p w14:paraId="26E4F0C2" w14:textId="571B4833" w:rsidR="006E6220" w:rsidRPr="006E6220" w:rsidRDefault="006E6220" w:rsidP="006E6220">
      <w:pPr>
        <w:tabs>
          <w:tab w:val="right" w:leader="dot" w:pos="9241"/>
        </w:tabs>
        <w:spacing w:beforeLines="25" w:before="78" w:afterLines="25" w:after="78"/>
        <w:jc w:val="left"/>
        <w:rPr>
          <w:rFonts w:ascii="Calibri" w:hAnsi="Calibri"/>
          <w:noProof/>
          <w:szCs w:val="22"/>
        </w:rPr>
      </w:pPr>
      <w:hyperlink w:anchor="_Toc513731110" w:history="1">
        <w:r w:rsidRPr="006E6220">
          <w:rPr>
            <w:rFonts w:ascii="宋体" w:hAnsi="宋体"/>
            <w:noProof/>
            <w:szCs w:val="21"/>
            <w:u w:val="single"/>
          </w:rPr>
          <w:t xml:space="preserve">1 </w:t>
        </w:r>
        <w:r w:rsidRPr="006E6220">
          <w:rPr>
            <w:rFonts w:ascii="宋体" w:hAnsi="宋体" w:hint="eastAsia"/>
            <w:noProof/>
            <w:szCs w:val="21"/>
            <w:u w:val="single"/>
          </w:rPr>
          <w:t>编制背景</w:t>
        </w:r>
        <w:r w:rsidRPr="006E6220">
          <w:rPr>
            <w:rFonts w:ascii="宋体"/>
            <w:noProof/>
            <w:szCs w:val="21"/>
          </w:rPr>
          <w:tab/>
        </w:r>
        <w:r w:rsidRPr="006E6220">
          <w:rPr>
            <w:rFonts w:ascii="宋体"/>
            <w:noProof/>
            <w:szCs w:val="21"/>
          </w:rPr>
          <w:fldChar w:fldCharType="begin"/>
        </w:r>
        <w:r w:rsidRPr="006E6220">
          <w:rPr>
            <w:rFonts w:ascii="宋体"/>
            <w:noProof/>
            <w:szCs w:val="21"/>
          </w:rPr>
          <w:instrText xml:space="preserve"> PAGEREF _Toc513731110 \h </w:instrText>
        </w:r>
        <w:r w:rsidRPr="006E6220">
          <w:rPr>
            <w:rFonts w:ascii="宋体"/>
            <w:noProof/>
            <w:szCs w:val="21"/>
          </w:rPr>
        </w:r>
        <w:r w:rsidRPr="006E6220">
          <w:rPr>
            <w:rFonts w:ascii="宋体"/>
            <w:noProof/>
            <w:szCs w:val="21"/>
          </w:rPr>
          <w:fldChar w:fldCharType="separate"/>
        </w:r>
        <w:r>
          <w:rPr>
            <w:rFonts w:ascii="宋体"/>
            <w:noProof/>
            <w:szCs w:val="21"/>
          </w:rPr>
          <w:t>1</w:t>
        </w:r>
        <w:r w:rsidRPr="006E6220">
          <w:rPr>
            <w:rFonts w:ascii="宋体"/>
            <w:noProof/>
            <w:szCs w:val="21"/>
          </w:rPr>
          <w:fldChar w:fldCharType="end"/>
        </w:r>
      </w:hyperlink>
    </w:p>
    <w:p w14:paraId="37F50876" w14:textId="5B84A0E4" w:rsidR="006E6220" w:rsidRPr="006E6220" w:rsidRDefault="006E6220" w:rsidP="006E6220">
      <w:pPr>
        <w:tabs>
          <w:tab w:val="right" w:leader="dot" w:pos="9241"/>
        </w:tabs>
        <w:spacing w:beforeLines="25" w:before="78" w:afterLines="25" w:after="78"/>
        <w:jc w:val="left"/>
        <w:rPr>
          <w:rFonts w:ascii="Calibri" w:hAnsi="Calibri"/>
          <w:noProof/>
          <w:szCs w:val="22"/>
        </w:rPr>
      </w:pPr>
      <w:hyperlink w:anchor="_Toc513731111" w:history="1">
        <w:r w:rsidRPr="006E6220">
          <w:rPr>
            <w:rFonts w:ascii="宋体" w:hAnsi="宋体"/>
            <w:noProof/>
            <w:szCs w:val="21"/>
            <w:u w:val="single"/>
          </w:rPr>
          <w:t xml:space="preserve">2 </w:t>
        </w:r>
        <w:r w:rsidRPr="006E6220">
          <w:rPr>
            <w:rFonts w:ascii="宋体" w:hAnsi="宋体" w:hint="eastAsia"/>
            <w:noProof/>
            <w:szCs w:val="21"/>
            <w:u w:val="single"/>
          </w:rPr>
          <w:t>编制主要原则</w:t>
        </w:r>
        <w:r w:rsidRPr="006E6220">
          <w:rPr>
            <w:rFonts w:ascii="宋体"/>
            <w:noProof/>
            <w:szCs w:val="21"/>
          </w:rPr>
          <w:tab/>
        </w:r>
        <w:r w:rsidRPr="006E6220">
          <w:rPr>
            <w:rFonts w:ascii="宋体"/>
            <w:noProof/>
            <w:szCs w:val="21"/>
          </w:rPr>
          <w:fldChar w:fldCharType="begin"/>
        </w:r>
        <w:r w:rsidRPr="006E6220">
          <w:rPr>
            <w:rFonts w:ascii="宋体"/>
            <w:noProof/>
            <w:szCs w:val="21"/>
          </w:rPr>
          <w:instrText xml:space="preserve"> PAGEREF _Toc513731111 \h </w:instrText>
        </w:r>
        <w:r w:rsidRPr="006E6220">
          <w:rPr>
            <w:rFonts w:ascii="宋体"/>
            <w:noProof/>
            <w:szCs w:val="21"/>
          </w:rPr>
        </w:r>
        <w:r w:rsidRPr="006E6220">
          <w:rPr>
            <w:rFonts w:ascii="宋体"/>
            <w:noProof/>
            <w:szCs w:val="21"/>
          </w:rPr>
          <w:fldChar w:fldCharType="separate"/>
        </w:r>
        <w:r>
          <w:rPr>
            <w:rFonts w:ascii="宋体"/>
            <w:noProof/>
            <w:szCs w:val="21"/>
          </w:rPr>
          <w:t>3</w:t>
        </w:r>
        <w:r w:rsidRPr="006E6220">
          <w:rPr>
            <w:rFonts w:ascii="宋体"/>
            <w:noProof/>
            <w:szCs w:val="21"/>
          </w:rPr>
          <w:fldChar w:fldCharType="end"/>
        </w:r>
      </w:hyperlink>
    </w:p>
    <w:p w14:paraId="4E52635E" w14:textId="3856B51E" w:rsidR="006E6220" w:rsidRPr="006E6220" w:rsidRDefault="006E6220" w:rsidP="006E6220">
      <w:pPr>
        <w:tabs>
          <w:tab w:val="right" w:leader="dot" w:pos="9241"/>
        </w:tabs>
        <w:spacing w:beforeLines="25" w:before="78" w:afterLines="25" w:after="78"/>
        <w:jc w:val="left"/>
        <w:rPr>
          <w:rFonts w:ascii="Calibri" w:hAnsi="Calibri"/>
          <w:noProof/>
          <w:szCs w:val="22"/>
        </w:rPr>
      </w:pPr>
      <w:hyperlink w:anchor="_Toc513731112" w:history="1">
        <w:r w:rsidRPr="006E6220">
          <w:rPr>
            <w:rFonts w:ascii="宋体" w:hAnsi="宋体"/>
            <w:noProof/>
            <w:szCs w:val="21"/>
            <w:u w:val="single"/>
          </w:rPr>
          <w:t xml:space="preserve">3 </w:t>
        </w:r>
        <w:r w:rsidRPr="006E6220">
          <w:rPr>
            <w:rFonts w:ascii="宋体" w:hAnsi="宋体" w:hint="eastAsia"/>
            <w:noProof/>
            <w:szCs w:val="21"/>
            <w:u w:val="single"/>
          </w:rPr>
          <w:t>主要工作过程</w:t>
        </w:r>
        <w:r w:rsidRPr="006E6220">
          <w:rPr>
            <w:rFonts w:ascii="宋体"/>
            <w:noProof/>
            <w:szCs w:val="21"/>
          </w:rPr>
          <w:tab/>
        </w:r>
        <w:r w:rsidRPr="006E6220">
          <w:rPr>
            <w:rFonts w:ascii="宋体"/>
            <w:noProof/>
            <w:szCs w:val="21"/>
          </w:rPr>
          <w:fldChar w:fldCharType="begin"/>
        </w:r>
        <w:r w:rsidRPr="006E6220">
          <w:rPr>
            <w:rFonts w:ascii="宋体"/>
            <w:noProof/>
            <w:szCs w:val="21"/>
          </w:rPr>
          <w:instrText xml:space="preserve"> PAGEREF _Toc513731112 \h </w:instrText>
        </w:r>
        <w:r w:rsidRPr="006E6220">
          <w:rPr>
            <w:rFonts w:ascii="宋体"/>
            <w:noProof/>
            <w:szCs w:val="21"/>
          </w:rPr>
        </w:r>
        <w:r w:rsidRPr="006E6220">
          <w:rPr>
            <w:rFonts w:ascii="宋体"/>
            <w:noProof/>
            <w:szCs w:val="21"/>
          </w:rPr>
          <w:fldChar w:fldCharType="separate"/>
        </w:r>
        <w:r>
          <w:rPr>
            <w:rFonts w:ascii="宋体"/>
            <w:noProof/>
            <w:szCs w:val="21"/>
          </w:rPr>
          <w:t>3</w:t>
        </w:r>
        <w:r w:rsidRPr="006E6220">
          <w:rPr>
            <w:rFonts w:ascii="宋体"/>
            <w:noProof/>
            <w:szCs w:val="21"/>
          </w:rPr>
          <w:fldChar w:fldCharType="end"/>
        </w:r>
      </w:hyperlink>
    </w:p>
    <w:p w14:paraId="49BAF872" w14:textId="61E7342E" w:rsidR="006E6220" w:rsidRPr="006E6220" w:rsidRDefault="006E6220" w:rsidP="006E6220">
      <w:pPr>
        <w:tabs>
          <w:tab w:val="right" w:leader="dot" w:pos="9241"/>
        </w:tabs>
        <w:spacing w:beforeLines="25" w:before="78" w:afterLines="25" w:after="78"/>
        <w:jc w:val="left"/>
        <w:rPr>
          <w:rFonts w:ascii="Calibri" w:hAnsi="Calibri"/>
          <w:noProof/>
          <w:szCs w:val="22"/>
        </w:rPr>
      </w:pPr>
      <w:hyperlink w:anchor="_Toc513731113" w:history="1">
        <w:r w:rsidRPr="006E6220">
          <w:rPr>
            <w:rFonts w:ascii="宋体" w:hAnsi="宋体"/>
            <w:noProof/>
            <w:szCs w:val="21"/>
            <w:u w:val="single"/>
          </w:rPr>
          <w:t>4</w:t>
        </w:r>
        <w:r w:rsidRPr="006E6220">
          <w:rPr>
            <w:rFonts w:ascii="宋体"/>
            <w:noProof/>
            <w:szCs w:val="21"/>
            <w:u w:val="single"/>
          </w:rPr>
          <w:t xml:space="preserve"> </w:t>
        </w:r>
        <w:r w:rsidRPr="006E6220">
          <w:rPr>
            <w:rFonts w:ascii="宋体" w:hint="eastAsia"/>
            <w:noProof/>
            <w:szCs w:val="21"/>
            <w:u w:val="single"/>
          </w:rPr>
          <w:t>标准结构和内容说明</w:t>
        </w:r>
        <w:r w:rsidRPr="006E6220">
          <w:rPr>
            <w:rFonts w:ascii="宋体"/>
            <w:noProof/>
            <w:szCs w:val="21"/>
          </w:rPr>
          <w:tab/>
        </w:r>
        <w:r w:rsidRPr="006E6220">
          <w:rPr>
            <w:rFonts w:ascii="宋体"/>
            <w:noProof/>
            <w:szCs w:val="21"/>
          </w:rPr>
          <w:fldChar w:fldCharType="begin"/>
        </w:r>
        <w:r w:rsidRPr="006E6220">
          <w:rPr>
            <w:rFonts w:ascii="宋体"/>
            <w:noProof/>
            <w:szCs w:val="21"/>
          </w:rPr>
          <w:instrText xml:space="preserve"> PAGEREF _Toc513731113 \h </w:instrText>
        </w:r>
        <w:r w:rsidRPr="006E6220">
          <w:rPr>
            <w:rFonts w:ascii="宋体"/>
            <w:noProof/>
            <w:szCs w:val="21"/>
          </w:rPr>
        </w:r>
        <w:r w:rsidRPr="006E6220">
          <w:rPr>
            <w:rFonts w:ascii="宋体"/>
            <w:noProof/>
            <w:szCs w:val="21"/>
          </w:rPr>
          <w:fldChar w:fldCharType="separate"/>
        </w:r>
        <w:r>
          <w:rPr>
            <w:rFonts w:ascii="宋体"/>
            <w:noProof/>
            <w:szCs w:val="21"/>
          </w:rPr>
          <w:t>3</w:t>
        </w:r>
        <w:r w:rsidRPr="006E6220">
          <w:rPr>
            <w:rFonts w:ascii="宋体"/>
            <w:noProof/>
            <w:szCs w:val="21"/>
          </w:rPr>
          <w:fldChar w:fldCharType="end"/>
        </w:r>
      </w:hyperlink>
    </w:p>
    <w:p w14:paraId="24DA0B73" w14:textId="72D7B8DE" w:rsidR="006E6220" w:rsidRPr="006E6220" w:rsidRDefault="006E6220" w:rsidP="006E6220">
      <w:pPr>
        <w:tabs>
          <w:tab w:val="right" w:leader="dot" w:pos="9241"/>
        </w:tabs>
        <w:spacing w:beforeLines="25" w:before="78" w:afterLines="25" w:after="78"/>
        <w:jc w:val="left"/>
        <w:rPr>
          <w:rFonts w:ascii="Calibri" w:hAnsi="Calibri"/>
          <w:noProof/>
          <w:szCs w:val="22"/>
        </w:rPr>
      </w:pPr>
      <w:hyperlink w:anchor="_Toc513731114" w:history="1">
        <w:r w:rsidRPr="006E6220">
          <w:rPr>
            <w:rFonts w:ascii="宋体" w:hAnsi="宋体"/>
            <w:noProof/>
            <w:szCs w:val="21"/>
            <w:u w:val="single"/>
          </w:rPr>
          <w:t>5</w:t>
        </w:r>
        <w:r w:rsidRPr="006E6220">
          <w:rPr>
            <w:rFonts w:ascii="宋体" w:hint="eastAsia"/>
            <w:noProof/>
            <w:szCs w:val="21"/>
            <w:u w:val="single"/>
          </w:rPr>
          <w:t>相关标准对比说明</w:t>
        </w:r>
        <w:r w:rsidRPr="006E6220">
          <w:rPr>
            <w:rFonts w:ascii="宋体"/>
            <w:noProof/>
            <w:szCs w:val="21"/>
            <w:u w:val="single"/>
          </w:rPr>
          <w:tab/>
        </w:r>
        <w:r w:rsidRPr="006E6220">
          <w:rPr>
            <w:rFonts w:ascii="宋体"/>
            <w:noProof/>
            <w:szCs w:val="21"/>
          </w:rPr>
          <w:fldChar w:fldCharType="begin"/>
        </w:r>
        <w:r w:rsidRPr="006E6220">
          <w:rPr>
            <w:rFonts w:ascii="宋体"/>
            <w:noProof/>
            <w:szCs w:val="21"/>
            <w:u w:val="single"/>
          </w:rPr>
          <w:instrText xml:space="preserve"> PAGEREF _Toc513731114 \h </w:instrText>
        </w:r>
        <w:r w:rsidRPr="006E6220">
          <w:rPr>
            <w:rFonts w:ascii="宋体"/>
            <w:noProof/>
            <w:szCs w:val="21"/>
          </w:rPr>
        </w:r>
        <w:r w:rsidRPr="006E6220">
          <w:rPr>
            <w:rFonts w:ascii="宋体"/>
            <w:noProof/>
            <w:szCs w:val="21"/>
          </w:rPr>
          <w:fldChar w:fldCharType="separate"/>
        </w:r>
        <w:r>
          <w:rPr>
            <w:rFonts w:ascii="宋体"/>
            <w:noProof/>
            <w:szCs w:val="21"/>
            <w:u w:val="single"/>
          </w:rPr>
          <w:t>4</w:t>
        </w:r>
        <w:r w:rsidRPr="006E6220">
          <w:rPr>
            <w:rFonts w:ascii="宋体"/>
            <w:noProof/>
            <w:szCs w:val="21"/>
          </w:rPr>
          <w:fldChar w:fldCharType="end"/>
        </w:r>
      </w:hyperlink>
    </w:p>
    <w:p w14:paraId="5BF6130B" w14:textId="7EFCCEA1" w:rsidR="006E6220" w:rsidRPr="006E6220" w:rsidRDefault="006E6220" w:rsidP="006E6220">
      <w:pPr>
        <w:tabs>
          <w:tab w:val="right" w:leader="dot" w:pos="9241"/>
        </w:tabs>
        <w:spacing w:beforeLines="25" w:before="78" w:afterLines="25" w:after="78"/>
        <w:jc w:val="left"/>
        <w:rPr>
          <w:rFonts w:ascii="Calibri" w:hAnsi="Calibri"/>
          <w:noProof/>
          <w:szCs w:val="22"/>
        </w:rPr>
      </w:pPr>
      <w:hyperlink w:anchor="_Toc513731115" w:history="1">
        <w:r w:rsidRPr="006E6220">
          <w:rPr>
            <w:rFonts w:ascii="宋体" w:hAnsi="宋体"/>
            <w:noProof/>
            <w:szCs w:val="21"/>
            <w:u w:val="single"/>
          </w:rPr>
          <w:t>6</w:t>
        </w:r>
        <w:r w:rsidRPr="006E6220">
          <w:rPr>
            <w:rFonts w:ascii="宋体" w:hAnsi="宋体" w:hint="eastAsia"/>
            <w:noProof/>
            <w:szCs w:val="21"/>
            <w:u w:val="single"/>
          </w:rPr>
          <w:t>标准实施措施说明</w:t>
        </w:r>
        <w:r w:rsidRPr="006E6220">
          <w:rPr>
            <w:rFonts w:ascii="宋体"/>
            <w:noProof/>
            <w:szCs w:val="21"/>
          </w:rPr>
          <w:tab/>
        </w:r>
        <w:r w:rsidRPr="006E6220">
          <w:rPr>
            <w:rFonts w:ascii="宋体"/>
            <w:noProof/>
            <w:szCs w:val="21"/>
          </w:rPr>
          <w:fldChar w:fldCharType="begin"/>
        </w:r>
        <w:r w:rsidRPr="006E6220">
          <w:rPr>
            <w:rFonts w:ascii="宋体"/>
            <w:noProof/>
            <w:szCs w:val="21"/>
          </w:rPr>
          <w:instrText xml:space="preserve"> PAGEREF _Toc513731115 \h </w:instrText>
        </w:r>
        <w:r w:rsidRPr="006E6220">
          <w:rPr>
            <w:rFonts w:ascii="宋体"/>
            <w:noProof/>
            <w:szCs w:val="21"/>
          </w:rPr>
        </w:r>
        <w:r w:rsidRPr="006E6220">
          <w:rPr>
            <w:rFonts w:ascii="宋体"/>
            <w:noProof/>
            <w:szCs w:val="21"/>
          </w:rPr>
          <w:fldChar w:fldCharType="separate"/>
        </w:r>
        <w:r>
          <w:rPr>
            <w:rFonts w:ascii="宋体"/>
            <w:noProof/>
            <w:szCs w:val="21"/>
          </w:rPr>
          <w:t>4</w:t>
        </w:r>
        <w:r w:rsidRPr="006E6220">
          <w:rPr>
            <w:rFonts w:ascii="宋体"/>
            <w:noProof/>
            <w:szCs w:val="21"/>
          </w:rPr>
          <w:fldChar w:fldCharType="end"/>
        </w:r>
      </w:hyperlink>
    </w:p>
    <w:p w14:paraId="0A4565CA" w14:textId="77777777" w:rsidR="006E6220" w:rsidRPr="006E6220" w:rsidRDefault="006E6220" w:rsidP="006E6220">
      <w:pPr>
        <w:widowControl/>
        <w:tabs>
          <w:tab w:val="center" w:pos="4201"/>
          <w:tab w:val="right" w:leader="dot" w:pos="9298"/>
        </w:tabs>
        <w:autoSpaceDE w:val="0"/>
        <w:autoSpaceDN w:val="0"/>
        <w:ind w:firstLineChars="200" w:firstLine="420"/>
        <w:rPr>
          <w:rFonts w:ascii="宋体" w:hAnsi="宋体"/>
          <w:kern w:val="0"/>
          <w:szCs w:val="21"/>
        </w:rPr>
      </w:pPr>
      <w:r w:rsidRPr="006E6220">
        <w:rPr>
          <w:rFonts w:ascii="宋体" w:hAnsi="宋体"/>
          <w:kern w:val="0"/>
          <w:szCs w:val="21"/>
        </w:rPr>
        <w:fldChar w:fldCharType="end"/>
      </w:r>
    </w:p>
    <w:p w14:paraId="235EB33A" w14:textId="77777777" w:rsidR="006E6220" w:rsidRPr="006E6220" w:rsidRDefault="006E6220" w:rsidP="006E6220">
      <w:pPr>
        <w:widowControl/>
        <w:tabs>
          <w:tab w:val="center" w:pos="4201"/>
          <w:tab w:val="right" w:leader="dot" w:pos="9298"/>
        </w:tabs>
        <w:autoSpaceDE w:val="0"/>
        <w:autoSpaceDN w:val="0"/>
        <w:ind w:firstLineChars="200" w:firstLine="420"/>
        <w:rPr>
          <w:rFonts w:ascii="宋体" w:hAnsi="宋体"/>
          <w:kern w:val="0"/>
          <w:szCs w:val="21"/>
        </w:rPr>
      </w:pPr>
    </w:p>
    <w:p w14:paraId="030E7E6F" w14:textId="77777777" w:rsidR="006E6220" w:rsidRPr="006E6220" w:rsidRDefault="006E6220" w:rsidP="006E6220">
      <w:pPr>
        <w:widowControl/>
        <w:tabs>
          <w:tab w:val="center" w:pos="4201"/>
          <w:tab w:val="right" w:leader="dot" w:pos="9298"/>
        </w:tabs>
        <w:autoSpaceDE w:val="0"/>
        <w:autoSpaceDN w:val="0"/>
        <w:ind w:firstLineChars="200" w:firstLine="420"/>
        <w:rPr>
          <w:rFonts w:ascii="宋体" w:hAnsi="宋体"/>
          <w:kern w:val="0"/>
          <w:szCs w:val="21"/>
        </w:rPr>
      </w:pPr>
    </w:p>
    <w:p w14:paraId="3FE878A4" w14:textId="77777777" w:rsidR="006E6220" w:rsidRDefault="006E6220">
      <w:pPr>
        <w:widowControl/>
        <w:jc w:val="left"/>
        <w:rPr>
          <w:rFonts w:ascii="宋体" w:eastAsia="黑体" w:hAnsi="宋体"/>
          <w:kern w:val="44"/>
          <w:szCs w:val="21"/>
        </w:rPr>
      </w:pPr>
    </w:p>
    <w:p w14:paraId="66B977B4" w14:textId="743211F9" w:rsidR="006E6220" w:rsidRDefault="006E6220">
      <w:pPr>
        <w:widowControl/>
        <w:jc w:val="left"/>
        <w:rPr>
          <w:rFonts w:ascii="宋体" w:eastAsia="黑体" w:hAnsi="宋体"/>
          <w:kern w:val="44"/>
          <w:szCs w:val="21"/>
        </w:rPr>
      </w:pPr>
      <w:r>
        <w:rPr>
          <w:rFonts w:ascii="宋体" w:eastAsia="黑体" w:hAnsi="宋体"/>
          <w:kern w:val="44"/>
          <w:szCs w:val="21"/>
        </w:rPr>
        <w:br w:type="page"/>
      </w:r>
    </w:p>
    <w:p w14:paraId="02D39847" w14:textId="2DC481EF" w:rsidR="00383510" w:rsidRDefault="00000000">
      <w:pPr>
        <w:keepNext/>
        <w:keepLines/>
        <w:spacing w:beforeLines="100" w:before="312" w:afterLines="100" w:after="312"/>
        <w:outlineLvl w:val="0"/>
        <w:rPr>
          <w:rFonts w:ascii="宋体" w:eastAsia="黑体" w:hAnsi="宋体"/>
          <w:kern w:val="44"/>
          <w:szCs w:val="21"/>
        </w:rPr>
      </w:pPr>
      <w:r>
        <w:rPr>
          <w:rFonts w:ascii="宋体" w:eastAsia="黑体" w:hAnsi="宋体" w:hint="eastAsia"/>
          <w:kern w:val="44"/>
          <w:szCs w:val="21"/>
        </w:rPr>
        <w:lastRenderedPageBreak/>
        <w:t xml:space="preserve">1 </w:t>
      </w:r>
      <w:r>
        <w:rPr>
          <w:rFonts w:ascii="宋体" w:eastAsia="黑体" w:hAnsi="宋体" w:hint="eastAsia"/>
          <w:kern w:val="44"/>
          <w:szCs w:val="21"/>
        </w:rPr>
        <w:t>编制背景</w:t>
      </w:r>
      <w:bookmarkEnd w:id="0"/>
    </w:p>
    <w:p w14:paraId="0A859604" w14:textId="6351773B" w:rsidR="00383510" w:rsidRDefault="00000000" w:rsidP="001B1534">
      <w:pPr>
        <w:tabs>
          <w:tab w:val="center" w:pos="4201"/>
          <w:tab w:val="right" w:leader="dot" w:pos="9298"/>
        </w:tabs>
        <w:autoSpaceDE w:val="0"/>
        <w:autoSpaceDN w:val="0"/>
        <w:ind w:firstLineChars="200" w:firstLine="420"/>
        <w:rPr>
          <w:rFonts w:ascii="宋体"/>
        </w:rPr>
      </w:pPr>
      <w:r>
        <w:rPr>
          <w:rFonts w:ascii="宋体" w:hint="eastAsia"/>
        </w:rPr>
        <w:t>本标准是根据</w:t>
      </w:r>
      <w:r w:rsidR="001B1534" w:rsidRPr="001B1534">
        <w:rPr>
          <w:rFonts w:ascii="宋体" w:hint="eastAsia"/>
        </w:rPr>
        <w:t>电机咨〔2024〕</w:t>
      </w:r>
      <w:r w:rsidR="001B1534">
        <w:rPr>
          <w:rFonts w:ascii="宋体" w:hint="eastAsia"/>
        </w:rPr>
        <w:t>535</w:t>
      </w:r>
      <w:r w:rsidR="001B1534" w:rsidRPr="001B1534">
        <w:rPr>
          <w:rFonts w:ascii="宋体" w:hint="eastAsia"/>
        </w:rPr>
        <w:t>号</w:t>
      </w:r>
      <w:r>
        <w:rPr>
          <w:rFonts w:ascii="宋体" w:hint="eastAsia"/>
        </w:rPr>
        <w:t>，</w:t>
      </w:r>
      <w:r w:rsidR="001B1534">
        <w:rPr>
          <w:rFonts w:ascii="宋体" w:hint="eastAsia"/>
        </w:rPr>
        <w:t>《</w:t>
      </w:r>
      <w:r w:rsidR="001B1534" w:rsidRPr="001B1534">
        <w:rPr>
          <w:rFonts w:ascii="宋体" w:hint="eastAsia"/>
        </w:rPr>
        <w:t>中国电机工程学会关于印发“中国电机工程学会2024年标准计划（第二批）”的通知</w:t>
      </w:r>
      <w:r w:rsidR="001B1534">
        <w:rPr>
          <w:rFonts w:ascii="宋体" w:hint="eastAsia"/>
        </w:rPr>
        <w:t>》</w:t>
      </w:r>
      <w:r>
        <w:rPr>
          <w:rFonts w:ascii="宋体" w:hint="eastAsia"/>
        </w:rPr>
        <w:t>下达的制定任务，项目序号202411010001对“电力设备产品碳足迹评价通用要求标准”进行制定的。由北京创拓国际标准技术研究院有限责任公司、中国华能集团有限公司能源研究院、中国电力科学研究院有限公司、国网电力科学研究院有限公司等单位负责起草。</w:t>
      </w:r>
    </w:p>
    <w:p w14:paraId="60DC3E7B" w14:textId="77777777" w:rsidR="00383510" w:rsidRDefault="00000000">
      <w:pPr>
        <w:tabs>
          <w:tab w:val="center" w:pos="4201"/>
          <w:tab w:val="right" w:leader="dot" w:pos="9298"/>
        </w:tabs>
        <w:autoSpaceDE w:val="0"/>
        <w:autoSpaceDN w:val="0"/>
        <w:ind w:firstLineChars="200" w:firstLine="420"/>
        <w:rPr>
          <w:rFonts w:ascii="宋体"/>
        </w:rPr>
      </w:pPr>
      <w:r>
        <w:rPr>
          <w:rFonts w:ascii="宋体" w:hint="eastAsia"/>
        </w:rPr>
        <w:t>精准、客观、有效的碳排放核算方法是服务碳达峰碳中和、支撑科学碳减排决策的迫切需要，本标准将为电力企业提供一套可操作设备碳足迹评价标准，更加系统和准确的核算其温室气体排放量，推动其在生产运营过程中实现绿色转型、低碳发展，最终实现“双碳”目标。这一标准将规范电力企业在绿色供应链建设、电力系统碳中和评价及能源行业碳足迹基础数据库的具体要求。</w:t>
      </w:r>
    </w:p>
    <w:p w14:paraId="7C55DB7B" w14:textId="77777777" w:rsidR="00383510" w:rsidRDefault="00000000">
      <w:pPr>
        <w:keepNext/>
        <w:keepLines/>
        <w:spacing w:beforeLines="100" w:before="312" w:afterLines="100" w:after="312"/>
        <w:outlineLvl w:val="0"/>
        <w:rPr>
          <w:rFonts w:ascii="宋体" w:eastAsia="黑体" w:hAnsi="宋体"/>
          <w:kern w:val="44"/>
          <w:szCs w:val="21"/>
        </w:rPr>
      </w:pPr>
      <w:bookmarkStart w:id="27" w:name="_Toc513731111"/>
      <w:r>
        <w:rPr>
          <w:rFonts w:ascii="宋体" w:eastAsia="黑体" w:hAnsi="宋体" w:hint="eastAsia"/>
          <w:kern w:val="44"/>
          <w:szCs w:val="21"/>
        </w:rPr>
        <w:t xml:space="preserve">2 </w:t>
      </w:r>
      <w:r>
        <w:rPr>
          <w:rFonts w:ascii="宋体" w:eastAsia="黑体" w:hAnsi="宋体" w:hint="eastAsia"/>
          <w:kern w:val="44"/>
          <w:szCs w:val="21"/>
        </w:rPr>
        <w:t>编制主要原则</w:t>
      </w:r>
      <w:bookmarkEnd w:id="27"/>
    </w:p>
    <w:p w14:paraId="04D205FB"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2.1 科学性原则</w:t>
      </w:r>
    </w:p>
    <w:p w14:paraId="6442A10A"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rFonts w:ascii="宋体"/>
        </w:rPr>
      </w:pPr>
      <w:r>
        <w:rPr>
          <w:rFonts w:ascii="宋体" w:hint="eastAsia"/>
        </w:rPr>
        <w:t>本标准基于科学实际和前沿的理论基础。编制过程中参考了ISO 14067-2018、GBT 24067-2024等国内外标准。</w:t>
      </w:r>
    </w:p>
    <w:p w14:paraId="2EFBECEC"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2.2可操作性原则</w:t>
      </w:r>
    </w:p>
    <w:p w14:paraId="2DC676E4"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rFonts w:ascii="宋体"/>
        </w:rPr>
      </w:pPr>
      <w:r>
        <w:rPr>
          <w:rFonts w:ascii="宋体" w:hint="eastAsia"/>
        </w:rPr>
        <w:t>本标准具备可操作性。起草单位已开展新型电力系统的碳足迹核算、建模及评价体系的相关工作并取得阶段性成果，这些实践经验为本项目的实施提供了参考和借鉴，本标准的提出更具针对性、可操作性。</w:t>
      </w:r>
    </w:p>
    <w:p w14:paraId="5056A63E"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bookmarkStart w:id="28" w:name="_Toc513731112"/>
      <w:r>
        <w:rPr>
          <w:rFonts w:ascii="黑体" w:eastAsia="黑体" w:hint="eastAsia"/>
          <w:kern w:val="21"/>
        </w:rPr>
        <w:t>2.2适用性原则</w:t>
      </w:r>
    </w:p>
    <w:p w14:paraId="595EE1E9"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rFonts w:ascii="宋体"/>
        </w:rPr>
      </w:pPr>
      <w:r>
        <w:rPr>
          <w:rFonts w:ascii="宋体" w:hint="eastAsia"/>
        </w:rPr>
        <w:t>本标准结合了产品碳足迹核算的通用性及电力设备的特殊性，通过对典型环节和关键电工装备产品全生命周期碳足迹进行研究，提出具有行业特色碳足迹评价通则，为电力行业发展提供绿色低碳技术支持。</w:t>
      </w:r>
    </w:p>
    <w:p w14:paraId="57369459" w14:textId="77777777" w:rsidR="00383510" w:rsidRDefault="00000000">
      <w:pPr>
        <w:keepNext/>
        <w:keepLines/>
        <w:spacing w:beforeLines="100" w:before="312" w:afterLines="100" w:after="312"/>
        <w:outlineLvl w:val="0"/>
        <w:rPr>
          <w:rFonts w:ascii="宋体" w:eastAsia="黑体" w:hAnsi="宋体"/>
          <w:kern w:val="44"/>
          <w:szCs w:val="21"/>
        </w:rPr>
      </w:pPr>
      <w:r>
        <w:rPr>
          <w:rFonts w:ascii="宋体" w:eastAsia="黑体" w:hAnsi="宋体" w:hint="eastAsia"/>
          <w:kern w:val="44"/>
          <w:szCs w:val="21"/>
        </w:rPr>
        <w:t xml:space="preserve">3 </w:t>
      </w:r>
      <w:r>
        <w:rPr>
          <w:rFonts w:ascii="宋体" w:eastAsia="黑体" w:hAnsi="宋体" w:hint="eastAsia"/>
          <w:kern w:val="44"/>
          <w:szCs w:val="21"/>
        </w:rPr>
        <w:t>主要工作过程</w:t>
      </w:r>
      <w:bookmarkEnd w:id="28"/>
    </w:p>
    <w:p w14:paraId="7B1BDF25"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rFonts w:ascii="Calibri" w:hAnsi="Calibri" w:cs="Calibri"/>
          <w:szCs w:val="21"/>
        </w:rPr>
      </w:pPr>
      <w:r>
        <w:rPr>
          <w:rFonts w:ascii="Calibri" w:hAnsi="Calibri" w:cs="Calibri" w:hint="eastAsia"/>
          <w:szCs w:val="21"/>
        </w:rPr>
        <w:t>本标准于</w:t>
      </w:r>
      <w:r>
        <w:rPr>
          <w:rFonts w:ascii="Calibri" w:hAnsi="Calibri" w:cs="Calibri" w:hint="eastAsia"/>
          <w:szCs w:val="21"/>
        </w:rPr>
        <w:t>2024</w:t>
      </w:r>
      <w:r>
        <w:rPr>
          <w:rFonts w:ascii="Calibri" w:hAnsi="Calibri" w:cs="Calibri" w:hint="eastAsia"/>
          <w:szCs w:val="21"/>
        </w:rPr>
        <w:t>年</w:t>
      </w:r>
      <w:r>
        <w:rPr>
          <w:rFonts w:ascii="Calibri" w:hAnsi="Calibri" w:cs="Calibri" w:hint="eastAsia"/>
          <w:szCs w:val="21"/>
        </w:rPr>
        <w:t>8</w:t>
      </w:r>
      <w:r>
        <w:rPr>
          <w:rFonts w:ascii="Calibri" w:hAnsi="Calibri" w:cs="Calibri" w:hint="eastAsia"/>
          <w:szCs w:val="21"/>
        </w:rPr>
        <w:t>月由北京创拓国际标准技术研究院有限责任公司牵头成立工作组，结合国内外标准，对新型电力系统全生命周期碳足迹涉及发电、输电、配电、用电等多个环节，和电工装备产品全生命周期碳足迹进行研究，结合实际工作中对电工装备产品碳足迹核算认证的实践经验，于</w:t>
      </w:r>
      <w:r>
        <w:rPr>
          <w:rFonts w:ascii="Calibri" w:hAnsi="Calibri" w:cs="Calibri" w:hint="eastAsia"/>
          <w:szCs w:val="21"/>
        </w:rPr>
        <w:t>2024</w:t>
      </w:r>
      <w:r>
        <w:rPr>
          <w:rFonts w:ascii="Calibri" w:hAnsi="Calibri" w:cs="Calibri" w:hint="eastAsia"/>
          <w:szCs w:val="21"/>
        </w:rPr>
        <w:t>年</w:t>
      </w:r>
      <w:r>
        <w:rPr>
          <w:rFonts w:ascii="Calibri" w:hAnsi="Calibri" w:cs="Calibri" w:hint="eastAsia"/>
          <w:szCs w:val="21"/>
        </w:rPr>
        <w:t>11</w:t>
      </w:r>
      <w:r>
        <w:rPr>
          <w:rFonts w:ascii="Calibri" w:hAnsi="Calibri" w:cs="Calibri" w:hint="eastAsia"/>
          <w:szCs w:val="21"/>
        </w:rPr>
        <w:t>月提交送审稿并于</w:t>
      </w:r>
      <w:r>
        <w:rPr>
          <w:rFonts w:ascii="Calibri" w:hAnsi="Calibri" w:cs="Calibri" w:hint="eastAsia"/>
          <w:szCs w:val="21"/>
        </w:rPr>
        <w:t>2025</w:t>
      </w:r>
      <w:r>
        <w:rPr>
          <w:rFonts w:ascii="Calibri" w:hAnsi="Calibri" w:cs="Calibri" w:hint="eastAsia"/>
          <w:szCs w:val="21"/>
        </w:rPr>
        <w:t>年通过电机工程学会电力碳减排专委会的专家评审成功立项。在标准编制过程中，运用</w:t>
      </w:r>
      <w:r>
        <w:rPr>
          <w:rFonts w:ascii="Calibri" w:hAnsi="Calibri" w:cs="Calibri" w:hint="eastAsia"/>
          <w:szCs w:val="21"/>
        </w:rPr>
        <w:t>ISO 14067-2018</w:t>
      </w:r>
      <w:r>
        <w:rPr>
          <w:rFonts w:ascii="Calibri" w:hAnsi="Calibri" w:cs="Calibri" w:hint="eastAsia"/>
          <w:szCs w:val="21"/>
        </w:rPr>
        <w:t>、</w:t>
      </w:r>
      <w:r>
        <w:rPr>
          <w:rFonts w:ascii="Calibri" w:hAnsi="Calibri" w:cs="Calibri" w:hint="eastAsia"/>
          <w:szCs w:val="21"/>
        </w:rPr>
        <w:t>GBT 24067-2024</w:t>
      </w:r>
      <w:r>
        <w:rPr>
          <w:rFonts w:ascii="Calibri" w:hAnsi="Calibri" w:cs="Calibri" w:hint="eastAsia"/>
          <w:szCs w:val="21"/>
        </w:rPr>
        <w:t>等标准开展了多领域数十家企业产品碳足迹核算、评价报告项目，积累大量实践经验并对本标准不断进行修改完善，于</w:t>
      </w:r>
      <w:r>
        <w:rPr>
          <w:rFonts w:ascii="Calibri" w:hAnsi="Calibri" w:cs="Calibri" w:hint="eastAsia"/>
          <w:szCs w:val="21"/>
        </w:rPr>
        <w:t>2025</w:t>
      </w:r>
      <w:r>
        <w:rPr>
          <w:rFonts w:ascii="Calibri" w:hAnsi="Calibri" w:cs="Calibri" w:hint="eastAsia"/>
          <w:szCs w:val="21"/>
        </w:rPr>
        <w:t>年</w:t>
      </w:r>
      <w:r>
        <w:rPr>
          <w:rFonts w:ascii="Calibri" w:hAnsi="Calibri" w:cs="Calibri" w:hint="eastAsia"/>
          <w:szCs w:val="21"/>
        </w:rPr>
        <w:t>10</w:t>
      </w:r>
      <w:r>
        <w:rPr>
          <w:rFonts w:ascii="Calibri" w:hAnsi="Calibri" w:cs="Calibri" w:hint="eastAsia"/>
          <w:szCs w:val="21"/>
        </w:rPr>
        <w:t>月提交征求意见稿。</w:t>
      </w:r>
    </w:p>
    <w:p w14:paraId="4E7E3DA8" w14:textId="77777777" w:rsidR="00383510" w:rsidRDefault="00000000">
      <w:pPr>
        <w:keepNext/>
        <w:keepLines/>
        <w:spacing w:beforeLines="100" w:before="312" w:afterLines="100" w:after="312"/>
        <w:outlineLvl w:val="0"/>
        <w:rPr>
          <w:rFonts w:eastAsia="黑体"/>
          <w:kern w:val="44"/>
          <w:szCs w:val="44"/>
        </w:rPr>
      </w:pPr>
      <w:bookmarkStart w:id="29" w:name="_Toc513731113"/>
      <w:r>
        <w:rPr>
          <w:rFonts w:ascii="宋体" w:eastAsia="黑体" w:hAnsi="宋体" w:hint="eastAsia"/>
          <w:kern w:val="44"/>
          <w:szCs w:val="21"/>
        </w:rPr>
        <w:t>4</w:t>
      </w:r>
      <w:r>
        <w:rPr>
          <w:rFonts w:eastAsia="黑体" w:hint="eastAsia"/>
          <w:kern w:val="44"/>
          <w:szCs w:val="44"/>
        </w:rPr>
        <w:t xml:space="preserve"> </w:t>
      </w:r>
      <w:r>
        <w:rPr>
          <w:rFonts w:eastAsia="黑体" w:hint="eastAsia"/>
          <w:kern w:val="44"/>
          <w:szCs w:val="44"/>
        </w:rPr>
        <w:t>标准结构和内容说明</w:t>
      </w:r>
      <w:bookmarkEnd w:id="29"/>
    </w:p>
    <w:p w14:paraId="143ACB85"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4.1 研究内容</w:t>
      </w:r>
    </w:p>
    <w:p w14:paraId="09104850"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rFonts w:ascii="Calibri" w:hAnsi="Calibri" w:cs="Calibri"/>
          <w:szCs w:val="21"/>
        </w:rPr>
      </w:pPr>
      <w:r>
        <w:rPr>
          <w:rFonts w:ascii="Calibri" w:hAnsi="Calibri" w:cs="Calibri" w:hint="eastAsia"/>
          <w:szCs w:val="21"/>
        </w:rPr>
        <w:t>通过对国内外碳足迹评价标准的研究及参编单位的实践经验，建立一套符合电力行业需</w:t>
      </w:r>
      <w:r>
        <w:rPr>
          <w:rFonts w:ascii="Calibri" w:hAnsi="Calibri" w:cs="Calibri" w:hint="eastAsia"/>
          <w:szCs w:val="21"/>
        </w:rPr>
        <w:lastRenderedPageBreak/>
        <w:t>求的电力设备碳足迹全生命周期评价方法和碳足迹量化要求，适用于电力设备的碳足迹评价工作，为企业绿色供应链建设、电力系统碳中和评价和能源行业碳足迹基础数据库构建提供借鉴。</w:t>
      </w:r>
    </w:p>
    <w:p w14:paraId="3D8AB06B"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4.2 主要内容和条款</w:t>
      </w:r>
    </w:p>
    <w:p w14:paraId="47A41E3F" w14:textId="77777777" w:rsidR="00383510" w:rsidRDefault="00000000">
      <w:pPr>
        <w:tabs>
          <w:tab w:val="left" w:pos="360"/>
        </w:tabs>
        <w:wordWrap w:val="0"/>
        <w:overflowPunct w:val="0"/>
        <w:autoSpaceDE w:val="0"/>
        <w:spacing w:beforeLines="50" w:before="156" w:afterLines="50" w:after="156"/>
        <w:textAlignment w:val="baseline"/>
        <w:outlineLvl w:val="1"/>
        <w:rPr>
          <w:rFonts w:eastAsia="黑体"/>
          <w:iCs/>
          <w:szCs w:val="21"/>
        </w:rPr>
      </w:pPr>
      <w:r>
        <w:rPr>
          <w:rFonts w:ascii="黑体" w:eastAsia="黑体" w:hint="eastAsia"/>
          <w:kern w:val="21"/>
        </w:rPr>
        <w:t xml:space="preserve">4.2.1 </w:t>
      </w:r>
      <w:r>
        <w:rPr>
          <w:rFonts w:eastAsia="黑体" w:hint="eastAsia"/>
          <w:iCs/>
          <w:szCs w:val="21"/>
        </w:rPr>
        <w:t>适用范围</w:t>
      </w:r>
    </w:p>
    <w:p w14:paraId="1A693751"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rFonts w:ascii="Calibri" w:hAnsi="Calibri" w:cs="Calibri"/>
          <w:szCs w:val="21"/>
        </w:rPr>
      </w:pPr>
      <w:r>
        <w:rPr>
          <w:rFonts w:ascii="Calibri" w:hAnsi="Calibri" w:cs="Calibri" w:hint="eastAsia"/>
          <w:szCs w:val="21"/>
        </w:rPr>
        <w:t>规定了电力设备碳足迹全生命周期评价方法和碳足迹量化要求。</w:t>
      </w:r>
    </w:p>
    <w:p w14:paraId="498DF0DB"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4.2.2 术语和定义</w:t>
      </w:r>
    </w:p>
    <w:p w14:paraId="3A347D31"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rFonts w:ascii="Calibri" w:hAnsi="Calibri" w:cs="Calibri"/>
          <w:szCs w:val="21"/>
        </w:rPr>
      </w:pPr>
      <w:r>
        <w:rPr>
          <w:rFonts w:ascii="Calibri" w:hAnsi="Calibri" w:cs="Calibri" w:hint="eastAsia"/>
          <w:szCs w:val="21"/>
        </w:rPr>
        <w:t>明确了电力设备和碳足迹评价相关术语及定义。</w:t>
      </w:r>
    </w:p>
    <w:p w14:paraId="5F4F7454"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4.2.3 总则</w:t>
      </w:r>
    </w:p>
    <w:p w14:paraId="53A128EC"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szCs w:val="21"/>
        </w:rPr>
      </w:pPr>
      <w:r>
        <w:rPr>
          <w:rFonts w:hint="eastAsia"/>
          <w:szCs w:val="21"/>
        </w:rPr>
        <w:t>明确了电力设备产品碳足迹评价的基本要求。</w:t>
      </w:r>
    </w:p>
    <w:p w14:paraId="5B5AAEDD"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 xml:space="preserve">4.2.4 </w:t>
      </w:r>
      <w:r>
        <w:rPr>
          <w:rFonts w:eastAsia="黑体" w:hint="eastAsia"/>
          <w:iCs/>
          <w:szCs w:val="21"/>
        </w:rPr>
        <w:t>功能单位或声明单位</w:t>
      </w:r>
    </w:p>
    <w:p w14:paraId="0F608853"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szCs w:val="21"/>
        </w:rPr>
      </w:pPr>
      <w:r>
        <w:rPr>
          <w:rFonts w:hint="eastAsia"/>
          <w:szCs w:val="21"/>
        </w:rPr>
        <w:t>对电力设备产品碳足迹研究的功能单位或声明单位进行了规定。</w:t>
      </w:r>
    </w:p>
    <w:p w14:paraId="4BD61C53" w14:textId="77777777" w:rsidR="00383510" w:rsidRDefault="00000000">
      <w:pPr>
        <w:tabs>
          <w:tab w:val="left" w:pos="360"/>
        </w:tabs>
        <w:wordWrap w:val="0"/>
        <w:overflowPunct w:val="0"/>
        <w:autoSpaceDE w:val="0"/>
        <w:spacing w:beforeLines="50" w:before="156" w:afterLines="50" w:after="156"/>
        <w:textAlignment w:val="baseline"/>
        <w:outlineLvl w:val="1"/>
        <w:rPr>
          <w:rFonts w:eastAsia="黑体"/>
          <w:iCs/>
          <w:szCs w:val="21"/>
        </w:rPr>
      </w:pPr>
      <w:r>
        <w:rPr>
          <w:rFonts w:ascii="黑体" w:eastAsia="黑体" w:hint="eastAsia"/>
          <w:kern w:val="21"/>
        </w:rPr>
        <w:t xml:space="preserve">4.2.5 </w:t>
      </w:r>
      <w:r>
        <w:rPr>
          <w:rFonts w:eastAsia="黑体" w:hint="eastAsia"/>
          <w:iCs/>
          <w:szCs w:val="21"/>
        </w:rPr>
        <w:t>系统边界</w:t>
      </w:r>
    </w:p>
    <w:p w14:paraId="0A5EF8FA"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szCs w:val="21"/>
        </w:rPr>
      </w:pPr>
      <w:r>
        <w:rPr>
          <w:rFonts w:hint="eastAsia"/>
          <w:szCs w:val="21"/>
        </w:rPr>
        <w:t>对电力设备产品碳足迹研究中系统边界的选择进行了说明。</w:t>
      </w:r>
    </w:p>
    <w:p w14:paraId="13E8115A"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bookmarkStart w:id="30" w:name="_Toc10480"/>
      <w:r>
        <w:rPr>
          <w:rFonts w:ascii="黑体" w:eastAsia="黑体" w:hint="eastAsia"/>
          <w:kern w:val="21"/>
        </w:rPr>
        <w:t>4.2.6 生命周期清单分析</w:t>
      </w:r>
      <w:bookmarkEnd w:id="30"/>
    </w:p>
    <w:p w14:paraId="03FE2332"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szCs w:val="21"/>
        </w:rPr>
      </w:pPr>
      <w:r>
        <w:rPr>
          <w:rFonts w:hint="eastAsia"/>
          <w:szCs w:val="21"/>
        </w:rPr>
        <w:t>对电力设备产品碳足迹生命周期清单分析的步骤及细节进行了阐述。</w:t>
      </w:r>
    </w:p>
    <w:p w14:paraId="3B40A513"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4.2.7 数据</w:t>
      </w:r>
    </w:p>
    <w:p w14:paraId="404E9617"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szCs w:val="21"/>
        </w:rPr>
      </w:pPr>
      <w:r>
        <w:rPr>
          <w:rFonts w:hint="eastAsia"/>
          <w:szCs w:val="21"/>
        </w:rPr>
        <w:t>对电力设备产品碳足迹数据的来源与选择进行了规范。</w:t>
      </w:r>
    </w:p>
    <w:p w14:paraId="17AC7FD7" w14:textId="77777777" w:rsidR="00383510" w:rsidRDefault="00000000">
      <w:pPr>
        <w:tabs>
          <w:tab w:val="left" w:pos="360"/>
        </w:tabs>
        <w:wordWrap w:val="0"/>
        <w:overflowPunct w:val="0"/>
        <w:autoSpaceDE w:val="0"/>
        <w:spacing w:beforeLines="50" w:before="156" w:afterLines="50" w:after="156"/>
        <w:textAlignment w:val="baseline"/>
        <w:outlineLvl w:val="1"/>
        <w:rPr>
          <w:szCs w:val="21"/>
        </w:rPr>
      </w:pPr>
      <w:r>
        <w:rPr>
          <w:rFonts w:ascii="黑体" w:eastAsia="黑体" w:hint="eastAsia"/>
          <w:kern w:val="21"/>
        </w:rPr>
        <w:t xml:space="preserve">4.2.8 </w:t>
      </w:r>
      <w:r>
        <w:rPr>
          <w:rFonts w:ascii="黑体" w:eastAsia="黑体" w:hAnsi="黑体" w:cs="黑体" w:hint="eastAsia"/>
          <w:iCs/>
          <w:szCs w:val="21"/>
        </w:rPr>
        <w:t>计算方法</w:t>
      </w:r>
    </w:p>
    <w:p w14:paraId="19A5E029"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szCs w:val="21"/>
        </w:rPr>
      </w:pPr>
      <w:r>
        <w:rPr>
          <w:rFonts w:hint="eastAsia"/>
          <w:szCs w:val="21"/>
        </w:rPr>
        <w:t>规定了电力设备产品碳足迹的计算公式。</w:t>
      </w:r>
    </w:p>
    <w:p w14:paraId="2479ECE8" w14:textId="77777777" w:rsidR="00383510" w:rsidRDefault="00000000">
      <w:pPr>
        <w:tabs>
          <w:tab w:val="left" w:pos="360"/>
        </w:tabs>
        <w:wordWrap w:val="0"/>
        <w:overflowPunct w:val="0"/>
        <w:autoSpaceDE w:val="0"/>
        <w:spacing w:beforeLines="50" w:before="156" w:afterLines="50" w:after="156"/>
        <w:textAlignment w:val="baseline"/>
        <w:outlineLvl w:val="1"/>
        <w:rPr>
          <w:rFonts w:ascii="黑体" w:eastAsia="黑体"/>
          <w:kern w:val="21"/>
        </w:rPr>
      </w:pPr>
      <w:r>
        <w:rPr>
          <w:rFonts w:ascii="黑体" w:eastAsia="黑体" w:hint="eastAsia"/>
          <w:kern w:val="21"/>
        </w:rPr>
        <w:t>4.2.9 报告及发布要求</w:t>
      </w:r>
    </w:p>
    <w:p w14:paraId="7653B54C"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rFonts w:ascii="宋体"/>
        </w:rPr>
      </w:pPr>
      <w:r>
        <w:rPr>
          <w:rFonts w:hint="eastAsia"/>
          <w:szCs w:val="21"/>
        </w:rPr>
        <w:t>规定电力设备产品碳足迹报告的几种形式披露及相关要求。</w:t>
      </w:r>
    </w:p>
    <w:p w14:paraId="045F27AA" w14:textId="77777777" w:rsidR="00383510" w:rsidRDefault="00000000">
      <w:pPr>
        <w:keepNext/>
        <w:keepLines/>
        <w:spacing w:beforeLines="100" w:before="312" w:afterLines="100" w:after="312"/>
        <w:outlineLvl w:val="0"/>
        <w:rPr>
          <w:rFonts w:eastAsia="黑体"/>
          <w:kern w:val="44"/>
          <w:szCs w:val="44"/>
        </w:rPr>
      </w:pPr>
      <w:bookmarkStart w:id="31" w:name="_Toc513731114"/>
      <w:r>
        <w:rPr>
          <w:rFonts w:ascii="宋体" w:eastAsia="黑体" w:hAnsi="宋体" w:hint="eastAsia"/>
          <w:kern w:val="44"/>
          <w:szCs w:val="21"/>
        </w:rPr>
        <w:t>5</w:t>
      </w:r>
      <w:r>
        <w:rPr>
          <w:rFonts w:ascii="宋体" w:eastAsia="黑体" w:hAnsi="宋体" w:hint="eastAsia"/>
          <w:kern w:val="44"/>
          <w:szCs w:val="21"/>
        </w:rPr>
        <w:t>相关</w:t>
      </w:r>
      <w:r>
        <w:rPr>
          <w:rFonts w:eastAsia="黑体" w:hint="eastAsia"/>
          <w:kern w:val="44"/>
          <w:szCs w:val="44"/>
        </w:rPr>
        <w:t>标准对比说明</w:t>
      </w:r>
      <w:bookmarkEnd w:id="31"/>
    </w:p>
    <w:p w14:paraId="685C9BE6"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szCs w:val="21"/>
        </w:rPr>
      </w:pPr>
      <w:r>
        <w:rPr>
          <w:rFonts w:hint="eastAsia"/>
          <w:szCs w:val="21"/>
        </w:rPr>
        <w:t>本标准在充分挖掘现有国际通用碳足迹核算方法和数据库的基础上，深入结合我国电力行业特征、先进电工装备生产工艺、地区能源消费与经济发展模式等关键因素，形成电力碳足迹相关标准，是符合我国国情的新型电力系统产品层面碳足迹核算方法。</w:t>
      </w:r>
    </w:p>
    <w:p w14:paraId="7AFD54BB" w14:textId="77777777" w:rsidR="00383510" w:rsidRDefault="00000000">
      <w:pPr>
        <w:keepNext/>
        <w:keepLines/>
        <w:spacing w:beforeLines="100" w:before="312" w:afterLines="100" w:after="312"/>
        <w:outlineLvl w:val="0"/>
        <w:rPr>
          <w:rFonts w:ascii="宋体" w:eastAsia="黑体" w:hAnsi="宋体"/>
          <w:kern w:val="44"/>
          <w:szCs w:val="21"/>
        </w:rPr>
      </w:pPr>
      <w:bookmarkStart w:id="32" w:name="_Toc513731115"/>
      <w:r>
        <w:rPr>
          <w:rFonts w:ascii="宋体" w:eastAsia="黑体" w:hAnsi="宋体" w:hint="eastAsia"/>
          <w:kern w:val="44"/>
          <w:szCs w:val="21"/>
        </w:rPr>
        <w:t>6</w:t>
      </w:r>
      <w:r>
        <w:rPr>
          <w:rFonts w:ascii="宋体" w:eastAsia="黑体" w:hAnsi="宋体" w:hint="eastAsia"/>
          <w:kern w:val="44"/>
          <w:szCs w:val="21"/>
        </w:rPr>
        <w:t>标准实施措施说明</w:t>
      </w:r>
      <w:bookmarkEnd w:id="32"/>
    </w:p>
    <w:p w14:paraId="300B8F92" w14:textId="77777777" w:rsidR="00383510" w:rsidRDefault="00000000">
      <w:pPr>
        <w:tabs>
          <w:tab w:val="left" w:pos="360"/>
        </w:tabs>
        <w:wordWrap w:val="0"/>
        <w:overflowPunct w:val="0"/>
        <w:autoSpaceDE w:val="0"/>
        <w:spacing w:beforeLines="50" w:before="156" w:afterLines="50" w:after="156"/>
        <w:ind w:firstLineChars="200" w:firstLine="420"/>
        <w:textAlignment w:val="baseline"/>
        <w:outlineLvl w:val="1"/>
        <w:rPr>
          <w:szCs w:val="21"/>
        </w:rPr>
      </w:pPr>
      <w:r>
        <w:rPr>
          <w:rFonts w:hint="eastAsia"/>
          <w:szCs w:val="21"/>
        </w:rPr>
        <w:t>随着国家双碳政策的深入推进，电力企业对碳中和的需求日益迫切。大多数企业在降碳减排方面已取得一定成效，但在碳足迹精准量化方面仍缺乏统一的标准和指导。本标准针对电力行业，促进企业快速适应市场需求和政策环境以及助力新型电力系统产业链上相关企业科技研发、计量测试、标准研制和产业转型升级融合发展。本标准编写过程已有大量科研及</w:t>
      </w:r>
      <w:r>
        <w:rPr>
          <w:rFonts w:hint="eastAsia"/>
          <w:szCs w:val="21"/>
        </w:rPr>
        <w:lastRenderedPageBreak/>
        <w:t>生产型企业参与并获得电力行业内部分企业的认可，标准研制产生的费用采用单位自筹科研项目经费承担。</w:t>
      </w:r>
    </w:p>
    <w:sectPr w:rsidR="00383510" w:rsidSect="003A2FC4">
      <w:pgSz w:w="11906" w:h="16838"/>
      <w:pgMar w:top="1440" w:right="1797" w:bottom="1418"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84B1" w14:textId="77777777" w:rsidR="00197738" w:rsidRDefault="00197738" w:rsidP="006E6220">
      <w:r>
        <w:separator/>
      </w:r>
    </w:p>
  </w:endnote>
  <w:endnote w:type="continuationSeparator" w:id="0">
    <w:p w14:paraId="1AFB7449" w14:textId="77777777" w:rsidR="00197738" w:rsidRDefault="00197738" w:rsidP="006E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2E78" w14:textId="77777777" w:rsidR="006E6220" w:rsidRDefault="006E6220">
    <w:pPr>
      <w:pStyle w:val="a9"/>
      <w:jc w:val="center"/>
    </w:pPr>
    <w:r>
      <w:rPr>
        <w:kern w:val="2"/>
      </w:rPr>
      <w:fldChar w:fldCharType="begin"/>
    </w:r>
    <w:r>
      <w:rPr>
        <w:rStyle w:val="a7"/>
      </w:rPr>
      <w:instrText xml:space="preserve"> PAGE </w:instrText>
    </w:r>
    <w:r>
      <w:rPr>
        <w:kern w:val="2"/>
      </w:rPr>
      <w:fldChar w:fldCharType="separate"/>
    </w:r>
    <w:r>
      <w:rPr>
        <w:rStyle w:val="a7"/>
      </w:rPr>
      <w:t>26</w:t>
    </w:r>
    <w:r>
      <w:rPr>
        <w:kern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9E75" w14:textId="77777777" w:rsidR="00197738" w:rsidRDefault="00197738" w:rsidP="006E6220">
      <w:r>
        <w:separator/>
      </w:r>
    </w:p>
  </w:footnote>
  <w:footnote w:type="continuationSeparator" w:id="0">
    <w:p w14:paraId="3A1F1577" w14:textId="77777777" w:rsidR="00197738" w:rsidRDefault="00197738" w:rsidP="006E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0AF1" w14:textId="77777777" w:rsidR="006E6220" w:rsidRDefault="006E6220">
    <w:pPr>
      <w:pStyle w:val="a8"/>
      <w:spacing w:before="120" w:after="120"/>
      <w:jc w:val="both"/>
    </w:pPr>
    <w:r>
      <w:t>Q/</w:t>
    </w:r>
    <w:r>
      <w:rPr>
        <w:rFonts w:hint="eastAsia"/>
      </w:rPr>
      <w:t>GDW</w:t>
    </w:r>
    <w:r>
      <w:rPr>
        <w:rFonts w:hAnsi="宋体" w:hint="eastAsia"/>
      </w:rPr>
      <w:t xml:space="preserve"> </w:t>
    </w:r>
    <w:r>
      <w:rPr>
        <w:rFonts w:hAnsi="黑体" w:hint="eastAsia"/>
      </w:rPr>
      <w:t>XX-XXX</w:t>
    </w:r>
    <w:r>
      <w:rPr>
        <w:rFonts w:hAnsi="黑体"/>
      </w:rPr>
      <w:t>—</w:t>
    </w:r>
    <w:r>
      <w:rPr>
        <w:rFonts w:hAnsi="黑体" w:hint="eastAsia"/>
      </w:rPr>
      <w:t>2012-1XXXX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BF70" w14:textId="77777777" w:rsidR="006E6220" w:rsidRDefault="006E6220">
    <w:pPr>
      <w:pStyle w:val="a8"/>
      <w:wordWrap w:val="0"/>
    </w:pPr>
    <w:r>
      <w:rPr>
        <w:rFonts w:hint="eastAsia"/>
      </w:rPr>
      <w:t>T</w:t>
    </w:r>
    <w:r>
      <w:t>/</w:t>
    </w:r>
    <w:r>
      <w:rPr>
        <w:rFonts w:hint="eastAsia"/>
      </w:rPr>
      <w:t>CSEE</w:t>
    </w:r>
    <w:r>
      <w:rPr>
        <w:rFonts w:hAnsi="黑体" w:hint="eastAsia"/>
      </w:rPr>
      <w:t xml:space="preserve"> XXXX-YYYY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7E805CB"/>
    <w:rsid w:val="00186835"/>
    <w:rsid w:val="00197738"/>
    <w:rsid w:val="001B1534"/>
    <w:rsid w:val="00383510"/>
    <w:rsid w:val="003A2FC4"/>
    <w:rsid w:val="006E6220"/>
    <w:rsid w:val="009C5492"/>
    <w:rsid w:val="00B76DD0"/>
    <w:rsid w:val="022C1CA1"/>
    <w:rsid w:val="37E8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F0E7A"/>
  <w15:docId w15:val="{0880DB39-420B-4B82-A089-F6B553C4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6220"/>
    <w:pPr>
      <w:tabs>
        <w:tab w:val="center" w:pos="4153"/>
        <w:tab w:val="right" w:pos="8306"/>
      </w:tabs>
      <w:snapToGrid w:val="0"/>
      <w:jc w:val="center"/>
    </w:pPr>
    <w:rPr>
      <w:sz w:val="18"/>
      <w:szCs w:val="18"/>
    </w:rPr>
  </w:style>
  <w:style w:type="character" w:customStyle="1" w:styleId="a4">
    <w:name w:val="页眉 字符"/>
    <w:basedOn w:val="a0"/>
    <w:link w:val="a3"/>
    <w:rsid w:val="006E6220"/>
    <w:rPr>
      <w:rFonts w:ascii="Times New Roman" w:eastAsia="宋体" w:hAnsi="Times New Roman" w:cs="Times New Roman"/>
      <w:kern w:val="2"/>
      <w:sz w:val="18"/>
      <w:szCs w:val="18"/>
    </w:rPr>
  </w:style>
  <w:style w:type="paragraph" w:styleId="a5">
    <w:name w:val="footer"/>
    <w:basedOn w:val="a"/>
    <w:link w:val="a6"/>
    <w:rsid w:val="006E6220"/>
    <w:pPr>
      <w:tabs>
        <w:tab w:val="center" w:pos="4153"/>
        <w:tab w:val="right" w:pos="8306"/>
      </w:tabs>
      <w:snapToGrid w:val="0"/>
      <w:jc w:val="left"/>
    </w:pPr>
    <w:rPr>
      <w:sz w:val="18"/>
      <w:szCs w:val="18"/>
    </w:rPr>
  </w:style>
  <w:style w:type="character" w:customStyle="1" w:styleId="a6">
    <w:name w:val="页脚 字符"/>
    <w:basedOn w:val="a0"/>
    <w:link w:val="a5"/>
    <w:rsid w:val="006E6220"/>
    <w:rPr>
      <w:rFonts w:ascii="Times New Roman" w:eastAsia="宋体" w:hAnsi="Times New Roman" w:cs="Times New Roman"/>
      <w:kern w:val="2"/>
      <w:sz w:val="18"/>
      <w:szCs w:val="18"/>
    </w:rPr>
  </w:style>
  <w:style w:type="character" w:styleId="a7">
    <w:name w:val="page number"/>
    <w:qFormat/>
    <w:rsid w:val="006E6220"/>
    <w:rPr>
      <w:rFonts w:ascii="Times New Roman" w:eastAsia="宋体" w:hAnsi="Times New Roman"/>
      <w:sz w:val="18"/>
    </w:rPr>
  </w:style>
  <w:style w:type="paragraph" w:customStyle="1" w:styleId="a8">
    <w:name w:val="标准书眉_奇数页"/>
    <w:next w:val="a"/>
    <w:qFormat/>
    <w:rsid w:val="006E6220"/>
    <w:pPr>
      <w:tabs>
        <w:tab w:val="center" w:pos="4154"/>
        <w:tab w:val="right" w:pos="8306"/>
      </w:tabs>
      <w:spacing w:after="220"/>
      <w:jc w:val="right"/>
    </w:pPr>
    <w:rPr>
      <w:rFonts w:ascii="黑体" w:eastAsia="黑体" w:hAnsi="Times New Roman" w:cs="Times New Roman"/>
      <w:sz w:val="21"/>
      <w:szCs w:val="21"/>
    </w:rPr>
  </w:style>
  <w:style w:type="paragraph" w:customStyle="1" w:styleId="a9">
    <w:name w:val="标准书脚_奇数页"/>
    <w:qFormat/>
    <w:rsid w:val="006E6220"/>
    <w:pPr>
      <w:spacing w:before="120"/>
      <w:ind w:right="198"/>
      <w:jc w:val="right"/>
    </w:pPr>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091A-70E2-4EA9-9128-2D69F93B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天平座吃牛肉大赛冠军</dc:creator>
  <cp:lastModifiedBy>Wanshui Yhu</cp:lastModifiedBy>
  <cp:revision>5</cp:revision>
  <dcterms:created xsi:type="dcterms:W3CDTF">2025-10-27T09:00:00Z</dcterms:created>
  <dcterms:modified xsi:type="dcterms:W3CDTF">2025-10-27T17:52:00Z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BC114368B4FD4681B080A3727C6CF1FC_13</vt:lpwstr>
  </property>
  <property fmtid="{D5CDD505-2E9C-101B-9397-08002B2CF9AE}" pid="4" name="KSOTemplateDocerSaveRecord">
    <vt:lpwstr>eyJoZGlkIjoiNzE2OTkwYzU1ZmRkOTQyMWZiNjQ2NDkwYzRhYWZjZWMiLCJ1c2VySWQiOiI3MDQyMjY0NzcifQ==</vt:lpwstr>
  </property>
</Properties>
</file>