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7847" w14:textId="77777777" w:rsidR="00C93164" w:rsidRDefault="00C93164">
      <w:pPr>
        <w:pStyle w:val="aff3"/>
        <w:ind w:firstLineChars="0" w:firstLine="0"/>
      </w:pPr>
    </w:p>
    <w:p w14:paraId="4DD524B1" w14:textId="77777777" w:rsidR="00C93164" w:rsidRDefault="00C93164">
      <w:pPr>
        <w:pStyle w:val="aff3"/>
        <w:ind w:firstLineChars="0" w:firstLine="0"/>
      </w:pPr>
    </w:p>
    <w:p w14:paraId="04ED7F88" w14:textId="77777777" w:rsidR="00C93164" w:rsidRDefault="00C93164">
      <w:pPr>
        <w:pStyle w:val="aff3"/>
        <w:ind w:firstLineChars="0" w:firstLine="0"/>
      </w:pPr>
    </w:p>
    <w:p w14:paraId="26424718" w14:textId="77777777" w:rsidR="00C93164" w:rsidRDefault="00C93164">
      <w:pPr>
        <w:pStyle w:val="aff3"/>
        <w:ind w:firstLineChars="0" w:firstLine="0"/>
      </w:pPr>
    </w:p>
    <w:p w14:paraId="57AE3085" w14:textId="77777777" w:rsidR="00C93164" w:rsidRDefault="00C93164">
      <w:pPr>
        <w:pStyle w:val="aff3"/>
        <w:ind w:firstLineChars="0" w:firstLine="0"/>
      </w:pPr>
    </w:p>
    <w:p w14:paraId="50883F20" w14:textId="77777777" w:rsidR="00C93164" w:rsidRDefault="00C93164">
      <w:pPr>
        <w:pStyle w:val="aff3"/>
        <w:ind w:firstLineChars="0" w:firstLine="0"/>
      </w:pPr>
    </w:p>
    <w:p w14:paraId="15EA7C2E" w14:textId="77777777" w:rsidR="00C93164" w:rsidRDefault="00C93164">
      <w:pPr>
        <w:pStyle w:val="aff3"/>
        <w:ind w:firstLineChars="0" w:firstLine="0"/>
      </w:pPr>
    </w:p>
    <w:p w14:paraId="5FAAA41C" w14:textId="77777777" w:rsidR="00C93164" w:rsidRDefault="00C93164">
      <w:pPr>
        <w:pStyle w:val="aff3"/>
        <w:ind w:firstLineChars="0" w:firstLine="0"/>
      </w:pPr>
    </w:p>
    <w:p w14:paraId="3066B73D" w14:textId="77777777" w:rsidR="00C93164" w:rsidRDefault="00C93164">
      <w:pPr>
        <w:pStyle w:val="aff3"/>
        <w:ind w:firstLineChars="0" w:firstLine="0"/>
      </w:pPr>
    </w:p>
    <w:p w14:paraId="6F907CAB" w14:textId="77777777" w:rsidR="00C93164" w:rsidRDefault="00C93164">
      <w:pPr>
        <w:pStyle w:val="aff3"/>
        <w:ind w:firstLineChars="0" w:firstLine="0"/>
      </w:pPr>
    </w:p>
    <w:p w14:paraId="150BA056" w14:textId="77777777" w:rsidR="00C93164" w:rsidRDefault="00C93164">
      <w:pPr>
        <w:pStyle w:val="aff3"/>
        <w:ind w:firstLineChars="0" w:firstLine="0"/>
      </w:pPr>
    </w:p>
    <w:p w14:paraId="7A12D297" w14:textId="77777777" w:rsidR="00C93164" w:rsidRDefault="00C93164">
      <w:pPr>
        <w:pStyle w:val="aff3"/>
        <w:ind w:firstLineChars="0" w:firstLine="0"/>
      </w:pPr>
    </w:p>
    <w:p w14:paraId="3F25D268" w14:textId="77777777" w:rsidR="00C93164" w:rsidRDefault="00000000">
      <w:pPr>
        <w:pStyle w:val="aff3"/>
        <w:ind w:firstLineChars="0" w:firstLine="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温室气体 电工装备产品碳足迹量化方法与要求 </w:t>
      </w:r>
    </w:p>
    <w:p w14:paraId="2905BAD2" w14:textId="77777777" w:rsidR="00C93164" w:rsidRDefault="00000000">
      <w:pPr>
        <w:pStyle w:val="aff3"/>
        <w:ind w:firstLineChars="0" w:firstLine="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开关柜（箱）</w:t>
      </w:r>
    </w:p>
    <w:p w14:paraId="5BDCD85D" w14:textId="77777777" w:rsidR="00C93164" w:rsidRDefault="00C93164">
      <w:pPr>
        <w:pStyle w:val="aff3"/>
      </w:pPr>
    </w:p>
    <w:p w14:paraId="42654BF7" w14:textId="77777777" w:rsidR="00C93164" w:rsidRDefault="00C93164">
      <w:pPr>
        <w:pStyle w:val="aff3"/>
      </w:pPr>
    </w:p>
    <w:p w14:paraId="432016F3" w14:textId="77777777" w:rsidR="00C93164" w:rsidRDefault="00000000">
      <w:pPr>
        <w:pStyle w:val="a"/>
        <w:numPr>
          <w:ilvl w:val="0"/>
          <w:numId w:val="0"/>
        </w:numPr>
        <w:jc w:val="center"/>
        <w:rPr>
          <w:sz w:val="28"/>
          <w:szCs w:val="28"/>
        </w:rPr>
      </w:pPr>
      <w:bookmarkStart w:id="0" w:name="_Toc298937333"/>
      <w:bookmarkStart w:id="1" w:name="_Toc298937368"/>
      <w:bookmarkStart w:id="2" w:name="_Toc304825020"/>
      <w:bookmarkStart w:id="3" w:name="_Toc320020914"/>
      <w:bookmarkStart w:id="4" w:name="_Toc309995598"/>
      <w:bookmarkStart w:id="5" w:name="_Toc309995492"/>
      <w:bookmarkStart w:id="6" w:name="_Toc298938646"/>
      <w:bookmarkStart w:id="7" w:name="_Toc309993200"/>
      <w:bookmarkStart w:id="8" w:name="_Toc298937430"/>
      <w:bookmarkStart w:id="9" w:name="_Toc310002657"/>
      <w:bookmarkStart w:id="10" w:name="_Toc304825093"/>
      <w:bookmarkStart w:id="11" w:name="_Toc309995410"/>
      <w:bookmarkStart w:id="12" w:name="_Toc298937473"/>
      <w:bookmarkStart w:id="13" w:name="_Toc304824981"/>
      <w:bookmarkStart w:id="14" w:name="_Toc309996019"/>
      <w:bookmarkStart w:id="15" w:name="_Toc298937560"/>
      <w:bookmarkStart w:id="16" w:name="_Toc304402675"/>
      <w:bookmarkStart w:id="17" w:name="_Toc318613715"/>
      <w:bookmarkStart w:id="18" w:name="_Toc298937620"/>
      <w:bookmarkStart w:id="19" w:name="_Toc309997060"/>
      <w:bookmarkStart w:id="20" w:name="_Toc298938794"/>
      <w:bookmarkStart w:id="21" w:name="_Toc309994571"/>
      <w:bookmarkStart w:id="22" w:name="_Toc304828086"/>
      <w:r>
        <w:rPr>
          <w:rFonts w:hint="eastAsia"/>
          <w:sz w:val="28"/>
          <w:szCs w:val="28"/>
        </w:rPr>
        <w:t>编 制 说</w:t>
      </w:r>
      <w:bookmarkEnd w:id="0"/>
      <w:bookmarkEnd w:id="1"/>
      <w:r>
        <w:rPr>
          <w:rFonts w:hint="eastAsia"/>
          <w:sz w:val="28"/>
          <w:szCs w:val="28"/>
        </w:rPr>
        <w:t> 明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11D4869" w14:textId="77777777" w:rsidR="00C93164" w:rsidRDefault="00C93164">
      <w:pPr>
        <w:pStyle w:val="aff3"/>
        <w:ind w:firstLine="560"/>
        <w:jc w:val="center"/>
        <w:rPr>
          <w:rFonts w:ascii="黑体" w:eastAsia="黑体"/>
          <w:sz w:val="28"/>
          <w:szCs w:val="28"/>
        </w:rPr>
      </w:pPr>
    </w:p>
    <w:p w14:paraId="1B6FBFB6" w14:textId="77777777" w:rsidR="00C93164" w:rsidRDefault="00C93164">
      <w:pPr>
        <w:pStyle w:val="aff3"/>
        <w:ind w:firstLine="560"/>
        <w:jc w:val="center"/>
        <w:rPr>
          <w:rFonts w:ascii="黑体" w:eastAsia="黑体"/>
          <w:sz w:val="28"/>
          <w:szCs w:val="28"/>
        </w:rPr>
      </w:pPr>
    </w:p>
    <w:p w14:paraId="291A5B3F" w14:textId="77777777" w:rsidR="00C93164" w:rsidRDefault="00C93164">
      <w:pPr>
        <w:pStyle w:val="aff3"/>
        <w:sectPr w:rsidR="00C93164">
          <w:headerReference w:type="even" r:id="rId9"/>
          <w:headerReference w:type="default" r:id="rId10"/>
          <w:footerReference w:type="default" r:id="rId11"/>
          <w:pgSz w:w="11906" w:h="16838"/>
          <w:pgMar w:top="567" w:right="1134" w:bottom="1134" w:left="1417" w:header="1418" w:footer="1134" w:gutter="0"/>
          <w:cols w:space="720"/>
          <w:formProt w:val="0"/>
          <w:docGrid w:type="lines" w:linePitch="312"/>
        </w:sectPr>
      </w:pPr>
    </w:p>
    <w:p w14:paraId="732B4737" w14:textId="77777777" w:rsidR="00C93164" w:rsidRDefault="00000000">
      <w:pPr>
        <w:pStyle w:val="affe"/>
      </w:pPr>
      <w:bookmarkStart w:id="23" w:name="_Toc513731021"/>
      <w:bookmarkStart w:id="24" w:name="_Toc309992160"/>
      <w:bookmarkStart w:id="25" w:name="_Toc513731109"/>
      <w:r>
        <w:rPr>
          <w:rFonts w:hint="eastAsia"/>
        </w:rPr>
        <w:lastRenderedPageBreak/>
        <w:t>目次</w:t>
      </w:r>
      <w:bookmarkEnd w:id="23"/>
      <w:bookmarkEnd w:id="24"/>
      <w:bookmarkEnd w:id="25"/>
    </w:p>
    <w:p w14:paraId="5E58062F" w14:textId="77777777" w:rsidR="00C93164" w:rsidRDefault="00000000">
      <w:pPr>
        <w:pStyle w:val="TOC1"/>
        <w:spacing w:before="78" w:after="78"/>
        <w:rPr>
          <w:rFonts w:ascii="Calibri" w:hAnsi="Calibri"/>
          <w:szCs w:val="22"/>
        </w:rPr>
      </w:pPr>
      <w:r>
        <w:rPr>
          <w:rFonts w:hAnsi="宋体"/>
        </w:rPr>
        <w:fldChar w:fldCharType="begin"/>
      </w:r>
      <w:r>
        <w:rPr>
          <w:rFonts w:hAnsi="宋体"/>
        </w:rPr>
        <w:instrText xml:space="preserve"> </w:instrText>
      </w:r>
      <w:r>
        <w:rPr>
          <w:rFonts w:hAnsi="宋体" w:hint="eastAsia"/>
        </w:rPr>
        <w:instrText>TOC \o "1-1" \h \z \u</w:instrText>
      </w:r>
      <w:r>
        <w:rPr>
          <w:rFonts w:hAnsi="宋体"/>
        </w:rPr>
        <w:instrText xml:space="preserve"> </w:instrText>
      </w:r>
      <w:r>
        <w:rPr>
          <w:rFonts w:hAnsi="宋体"/>
        </w:rPr>
        <w:fldChar w:fldCharType="separate"/>
      </w:r>
    </w:p>
    <w:p w14:paraId="71F226FE" w14:textId="77777777" w:rsidR="00C93164" w:rsidRDefault="00000000">
      <w:pPr>
        <w:pStyle w:val="TOC1"/>
        <w:spacing w:before="78" w:after="78"/>
        <w:rPr>
          <w:rFonts w:ascii="Calibri" w:hAnsi="Calibri"/>
          <w:szCs w:val="22"/>
        </w:rPr>
      </w:pPr>
      <w:hyperlink w:anchor="_Toc513731110" w:history="1">
        <w:r>
          <w:rPr>
            <w:rStyle w:val="afd"/>
            <w:rFonts w:hAnsi="宋体"/>
          </w:rPr>
          <w:t xml:space="preserve">1 </w:t>
        </w:r>
        <w:r>
          <w:rPr>
            <w:rStyle w:val="afd"/>
            <w:rFonts w:hAnsi="宋体" w:hint="eastAsia"/>
          </w:rPr>
          <w:t>编制背景</w:t>
        </w:r>
        <w:r>
          <w:tab/>
        </w:r>
        <w:r>
          <w:fldChar w:fldCharType="begin"/>
        </w:r>
        <w:r>
          <w:instrText xml:space="preserve"> PAGEREF _Toc513731110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71CECA05" w14:textId="77777777" w:rsidR="00C93164" w:rsidRDefault="00000000">
      <w:pPr>
        <w:pStyle w:val="TOC1"/>
        <w:spacing w:before="78" w:after="78"/>
        <w:rPr>
          <w:rFonts w:ascii="Calibri" w:hAnsi="Calibri"/>
          <w:szCs w:val="22"/>
        </w:rPr>
      </w:pPr>
      <w:hyperlink w:anchor="_Toc513731111" w:history="1">
        <w:r>
          <w:rPr>
            <w:rStyle w:val="afd"/>
            <w:rFonts w:hAnsi="宋体"/>
          </w:rPr>
          <w:t xml:space="preserve">2 </w:t>
        </w:r>
        <w:r>
          <w:rPr>
            <w:rStyle w:val="afd"/>
            <w:rFonts w:hAnsi="宋体" w:hint="eastAsia"/>
          </w:rPr>
          <w:t>编制主要原则</w:t>
        </w:r>
        <w:r>
          <w:tab/>
        </w:r>
        <w:r>
          <w:fldChar w:fldCharType="begin"/>
        </w:r>
        <w:r>
          <w:instrText xml:space="preserve"> PAGEREF _Toc513731111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25290373" w14:textId="77777777" w:rsidR="00C93164" w:rsidRDefault="00000000">
      <w:pPr>
        <w:pStyle w:val="TOC1"/>
        <w:spacing w:before="78" w:after="78"/>
        <w:rPr>
          <w:rFonts w:ascii="Calibri" w:hAnsi="Calibri"/>
          <w:szCs w:val="22"/>
        </w:rPr>
      </w:pPr>
      <w:hyperlink w:anchor="_Toc513731112" w:history="1">
        <w:r>
          <w:rPr>
            <w:rStyle w:val="afd"/>
            <w:rFonts w:hAnsi="宋体"/>
          </w:rPr>
          <w:t xml:space="preserve">3 </w:t>
        </w:r>
        <w:r>
          <w:rPr>
            <w:rStyle w:val="afd"/>
            <w:rFonts w:hAnsi="宋体" w:hint="eastAsia"/>
          </w:rPr>
          <w:t>主要工作过程</w:t>
        </w:r>
        <w:r>
          <w:tab/>
        </w:r>
        <w:r>
          <w:fldChar w:fldCharType="begin"/>
        </w:r>
        <w:r>
          <w:instrText xml:space="preserve"> PAGEREF _Toc513731112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31762054" w14:textId="77777777" w:rsidR="00C93164" w:rsidRDefault="00000000">
      <w:pPr>
        <w:pStyle w:val="TOC1"/>
        <w:spacing w:before="78" w:after="78"/>
        <w:rPr>
          <w:rFonts w:ascii="Calibri" w:hAnsi="Calibri"/>
          <w:szCs w:val="22"/>
        </w:rPr>
      </w:pPr>
      <w:hyperlink w:anchor="_Toc513731113" w:history="1">
        <w:r>
          <w:rPr>
            <w:rStyle w:val="afd"/>
            <w:rFonts w:hAnsi="宋体"/>
          </w:rPr>
          <w:t>4</w:t>
        </w:r>
        <w:r>
          <w:rPr>
            <w:rStyle w:val="afd"/>
          </w:rPr>
          <w:t xml:space="preserve"> </w:t>
        </w:r>
        <w:r>
          <w:rPr>
            <w:rStyle w:val="afd"/>
            <w:rFonts w:hint="eastAsia"/>
          </w:rPr>
          <w:t>标准结构和内容说明</w:t>
        </w:r>
        <w:r>
          <w:tab/>
        </w:r>
        <w:r>
          <w:fldChar w:fldCharType="begin"/>
        </w:r>
        <w:r>
          <w:instrText xml:space="preserve"> PAGEREF _Toc513731113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1BC31048" w14:textId="77777777" w:rsidR="00C93164" w:rsidRDefault="00000000">
      <w:pPr>
        <w:pStyle w:val="TOC1"/>
        <w:spacing w:before="78" w:after="78"/>
        <w:rPr>
          <w:rFonts w:ascii="Calibri" w:hAnsi="Calibri"/>
          <w:szCs w:val="22"/>
        </w:rPr>
      </w:pPr>
      <w:hyperlink w:anchor="_Toc513731114" w:history="1">
        <w:r>
          <w:rPr>
            <w:rStyle w:val="afd"/>
            <w:rFonts w:hAnsi="宋体"/>
          </w:rPr>
          <w:t>5</w:t>
        </w:r>
        <w:r>
          <w:rPr>
            <w:rStyle w:val="afd"/>
            <w:rFonts w:hint="eastAsia"/>
          </w:rPr>
          <w:t>相关标准对比说明</w:t>
        </w:r>
        <w:r>
          <w:rPr>
            <w:rStyle w:val="afd"/>
          </w:rPr>
          <w:tab/>
        </w:r>
        <w:r>
          <w:fldChar w:fldCharType="begin"/>
        </w:r>
        <w:r>
          <w:rPr>
            <w:rStyle w:val="afd"/>
          </w:rPr>
          <w:instrText xml:space="preserve"> PAGEREF _Toc513731114 \h </w:instrText>
        </w:r>
        <w:r>
          <w:fldChar w:fldCharType="separate"/>
        </w:r>
        <w:r>
          <w:rPr>
            <w:rStyle w:val="afd"/>
          </w:rPr>
          <w:t>30</w:t>
        </w:r>
        <w:r>
          <w:fldChar w:fldCharType="end"/>
        </w:r>
      </w:hyperlink>
    </w:p>
    <w:p w14:paraId="255464DD" w14:textId="77777777" w:rsidR="00C93164" w:rsidRDefault="00000000">
      <w:pPr>
        <w:pStyle w:val="TOC1"/>
        <w:spacing w:before="78" w:after="78"/>
        <w:rPr>
          <w:rFonts w:ascii="Calibri" w:hAnsi="Calibri"/>
          <w:szCs w:val="22"/>
        </w:rPr>
      </w:pPr>
      <w:hyperlink w:anchor="_Toc513731115" w:history="1">
        <w:r>
          <w:rPr>
            <w:rStyle w:val="afd"/>
            <w:rFonts w:hAnsi="宋体"/>
          </w:rPr>
          <w:t>6</w:t>
        </w:r>
        <w:r>
          <w:rPr>
            <w:rStyle w:val="afd"/>
            <w:rFonts w:hAnsi="宋体" w:hint="eastAsia"/>
          </w:rPr>
          <w:t>标准实施措施说明</w:t>
        </w:r>
        <w:r>
          <w:tab/>
        </w:r>
        <w:r>
          <w:fldChar w:fldCharType="begin"/>
        </w:r>
        <w:r>
          <w:instrText xml:space="preserve"> PAGEREF _Toc513731115 \h </w:instrText>
        </w:r>
        <w:r>
          <w:fldChar w:fldCharType="separate"/>
        </w:r>
        <w:r>
          <w:t>30</w:t>
        </w:r>
        <w:r>
          <w:fldChar w:fldCharType="end"/>
        </w:r>
      </w:hyperlink>
    </w:p>
    <w:p w14:paraId="31AE296F" w14:textId="77777777" w:rsidR="00C93164" w:rsidRDefault="00000000">
      <w:pPr>
        <w:pStyle w:val="aff3"/>
        <w:rPr>
          <w:rFonts w:hAnsi="宋体" w:hint="eastAsia"/>
          <w:szCs w:val="21"/>
        </w:rPr>
      </w:pPr>
      <w:r>
        <w:rPr>
          <w:rFonts w:hAnsi="宋体"/>
          <w:szCs w:val="21"/>
        </w:rPr>
        <w:fldChar w:fldCharType="end"/>
      </w:r>
    </w:p>
    <w:p w14:paraId="0178552E" w14:textId="77777777" w:rsidR="00C93164" w:rsidRDefault="00C93164">
      <w:pPr>
        <w:pStyle w:val="aff3"/>
        <w:rPr>
          <w:rFonts w:hAnsi="宋体" w:hint="eastAsia"/>
          <w:szCs w:val="21"/>
        </w:rPr>
      </w:pPr>
    </w:p>
    <w:p w14:paraId="00686EA0" w14:textId="77777777" w:rsidR="00C93164" w:rsidRDefault="00C93164">
      <w:pPr>
        <w:pStyle w:val="aff3"/>
        <w:rPr>
          <w:rFonts w:hAnsi="宋体" w:hint="eastAsia"/>
          <w:szCs w:val="21"/>
        </w:rPr>
      </w:pPr>
    </w:p>
    <w:p w14:paraId="4168AA58" w14:textId="77777777" w:rsidR="00C93164" w:rsidRDefault="00C93164">
      <w:pPr>
        <w:pStyle w:val="aff3"/>
        <w:rPr>
          <w:rFonts w:hAnsi="宋体" w:hint="eastAsia"/>
          <w:szCs w:val="21"/>
        </w:rPr>
      </w:pPr>
    </w:p>
    <w:p w14:paraId="675BDC7A" w14:textId="77777777" w:rsidR="00C93164" w:rsidRDefault="00C93164">
      <w:pPr>
        <w:pStyle w:val="aff3"/>
        <w:rPr>
          <w:rFonts w:hAnsi="宋体" w:hint="eastAsia"/>
          <w:szCs w:val="21"/>
        </w:rPr>
        <w:sectPr w:rsidR="00C93164">
          <w:headerReference w:type="default" r:id="rId12"/>
          <w:footerReference w:type="default" r:id="rId13"/>
          <w:pgSz w:w="11906" w:h="16838"/>
          <w:pgMar w:top="567" w:right="1134" w:bottom="1134" w:left="1417" w:header="1418" w:footer="1134" w:gutter="0"/>
          <w:pgNumType w:start="28"/>
          <w:cols w:space="720"/>
          <w:formProt w:val="0"/>
          <w:docGrid w:type="lines" w:linePitch="312"/>
        </w:sectPr>
      </w:pPr>
    </w:p>
    <w:p w14:paraId="4A2614FA" w14:textId="77777777" w:rsidR="00C93164" w:rsidRDefault="00000000">
      <w:pPr>
        <w:pStyle w:val="14"/>
        <w:spacing w:before="312" w:after="312"/>
        <w:rPr>
          <w:rFonts w:ascii="宋体" w:hAnsi="宋体" w:hint="eastAsia"/>
          <w:szCs w:val="21"/>
        </w:rPr>
      </w:pPr>
      <w:bookmarkStart w:id="26" w:name="_Toc513731110"/>
      <w:r>
        <w:rPr>
          <w:rFonts w:ascii="宋体" w:hAnsi="宋体" w:hint="eastAsia"/>
          <w:szCs w:val="21"/>
        </w:rPr>
        <w:lastRenderedPageBreak/>
        <w:t xml:space="preserve">1 </w:t>
      </w:r>
      <w:r>
        <w:rPr>
          <w:rFonts w:ascii="宋体" w:hAnsi="宋体" w:hint="eastAsia"/>
          <w:szCs w:val="21"/>
        </w:rPr>
        <w:t>编制背景</w:t>
      </w:r>
      <w:bookmarkEnd w:id="26"/>
    </w:p>
    <w:p w14:paraId="31FFA0CD" w14:textId="77777777" w:rsidR="00C93164" w:rsidRDefault="00000000">
      <w:pPr>
        <w:pStyle w:val="aff3"/>
        <w:rPr>
          <w:color w:val="000000" w:themeColor="text1"/>
        </w:rPr>
      </w:pPr>
      <w:r>
        <w:rPr>
          <w:rFonts w:hint="eastAsia"/>
          <w:color w:val="000000" w:themeColor="text1"/>
        </w:rPr>
        <w:t>本标准是根据电机</w:t>
      </w:r>
      <w:proofErr w:type="gramStart"/>
      <w:r>
        <w:rPr>
          <w:rFonts w:hint="eastAsia"/>
          <w:color w:val="000000" w:themeColor="text1"/>
        </w:rPr>
        <w:t>咨</w:t>
      </w:r>
      <w:proofErr w:type="gramEnd"/>
      <w:r>
        <w:rPr>
          <w:rFonts w:hint="eastAsia"/>
          <w:color w:val="000000" w:themeColor="text1"/>
        </w:rPr>
        <w:t>〔2024〕535 号文，</w:t>
      </w:r>
      <w:proofErr w:type="gramStart"/>
      <w:r>
        <w:rPr>
          <w:rFonts w:hint="eastAsia"/>
          <w:color w:val="000000" w:themeColor="text1"/>
        </w:rPr>
        <w:t>“</w:t>
      </w:r>
      <w:proofErr w:type="gramEnd"/>
      <w:r>
        <w:rPr>
          <w:rFonts w:hint="eastAsia"/>
          <w:color w:val="000000" w:themeColor="text1"/>
        </w:rPr>
        <w:t>中国电机工程学会关于印发“中国电机工程 学会 2024 年标准计划（第二批）”的通知</w:t>
      </w:r>
      <w:proofErr w:type="gramStart"/>
      <w:r>
        <w:rPr>
          <w:rFonts w:hint="eastAsia"/>
          <w:color w:val="000000" w:themeColor="text1"/>
        </w:rPr>
        <w:t>”</w:t>
      </w:r>
      <w:proofErr w:type="gramEnd"/>
      <w:r>
        <w:rPr>
          <w:rFonts w:hint="eastAsia"/>
          <w:color w:val="000000" w:themeColor="text1"/>
        </w:rPr>
        <w:t>下达的制定任务，项目序号21对“《温室气体 电工装备产品碳足迹量化方法与要求 开关柜(箱)》标准”进行制定的。</w:t>
      </w:r>
      <w:proofErr w:type="gramStart"/>
      <w:r>
        <w:rPr>
          <w:rFonts w:hint="eastAsia"/>
          <w:color w:val="000000" w:themeColor="text1"/>
        </w:rPr>
        <w:t>由国网冀北</w:t>
      </w:r>
      <w:proofErr w:type="gramEnd"/>
      <w:r>
        <w:rPr>
          <w:rFonts w:hint="eastAsia"/>
          <w:color w:val="000000" w:themeColor="text1"/>
        </w:rPr>
        <w:t>电力有限公司电力科学研究院单位负责起草。</w:t>
      </w:r>
    </w:p>
    <w:p w14:paraId="36C8941E" w14:textId="77777777" w:rsidR="00C93164" w:rsidRDefault="00000000">
      <w:pPr>
        <w:pStyle w:val="aff3"/>
        <w:rPr>
          <w:color w:val="000000" w:themeColor="text1"/>
        </w:rPr>
      </w:pPr>
      <w:r>
        <w:rPr>
          <w:rFonts w:hint="eastAsia"/>
          <w:color w:val="000000" w:themeColor="text1"/>
        </w:rPr>
        <w:t>制定开关柜类产品碳足迹核算技术方法，目的意义包括推动绿色发展，制定此标准旨在推动开关柜（箱）等电工装备产品行业向低碳、环保方向发展，助力实现绿色发展目标；促进产业转型，通过明确开关柜（箱）等电工装备产品的碳足迹评价方法和标准，有助于引导企业优化生产流程、更新节能技术，进而推动整个产业的转型升级。</w:t>
      </w:r>
    </w:p>
    <w:p w14:paraId="47E70CDA" w14:textId="77777777" w:rsidR="00C93164" w:rsidRDefault="00000000">
      <w:pPr>
        <w:pStyle w:val="aff3"/>
        <w:rPr>
          <w:color w:val="000000" w:themeColor="text1"/>
        </w:rPr>
      </w:pPr>
      <w:r>
        <w:rPr>
          <w:rFonts w:hint="eastAsia"/>
          <w:color w:val="000000" w:themeColor="text1"/>
        </w:rPr>
        <w:t>其必要性包括统一评价标准，当前国内外对于开关柜（箱）等电工装备产品的碳足迹评价标准尚不统一，导致评价结果存在较大差异。制定此标准可以统一评价标准，提高评价结果的准确性和可信度；满足市场需求，随着消费者对环保产品的需求不断增加，制定此标准有助于满足市场对环保、低碳电工装备产品的需求，推动行业健康发展。</w:t>
      </w:r>
    </w:p>
    <w:p w14:paraId="05E4EBC1" w14:textId="77777777" w:rsidR="00C93164" w:rsidRDefault="00000000">
      <w:pPr>
        <w:pStyle w:val="14"/>
        <w:spacing w:before="312" w:after="312"/>
        <w:rPr>
          <w:rFonts w:ascii="宋体" w:hAnsi="宋体" w:hint="eastAsia"/>
          <w:szCs w:val="21"/>
        </w:rPr>
      </w:pPr>
      <w:bookmarkStart w:id="27" w:name="_Toc513731111"/>
      <w:r>
        <w:rPr>
          <w:rFonts w:ascii="宋体" w:hAnsi="宋体" w:hint="eastAsia"/>
          <w:szCs w:val="21"/>
        </w:rPr>
        <w:t xml:space="preserve">2 </w:t>
      </w:r>
      <w:r>
        <w:rPr>
          <w:rFonts w:ascii="宋体" w:hAnsi="宋体" w:hint="eastAsia"/>
          <w:szCs w:val="21"/>
        </w:rPr>
        <w:t>编制主要原则</w:t>
      </w:r>
      <w:bookmarkEnd w:id="27"/>
    </w:p>
    <w:p w14:paraId="3A34F573" w14:textId="77777777" w:rsidR="00C93164" w:rsidRDefault="00000000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>为保证先进性、适用性等，本文件主要根据以下原则编制：</w:t>
      </w:r>
    </w:p>
    <w:p w14:paraId="1CB9084F" w14:textId="77777777" w:rsidR="00C93164" w:rsidRDefault="00000000">
      <w:pPr>
        <w:widowControl/>
        <w:numPr>
          <w:ilvl w:val="0"/>
          <w:numId w:val="7"/>
        </w:numPr>
        <w:overflowPunct w:val="0"/>
        <w:topLinePunct/>
        <w:spacing w:line="360" w:lineRule="exact"/>
        <w:ind w:left="849" w:hanging="429"/>
        <w:rPr>
          <w:rFonts w:ascii="Times New Roman" w:hAnsi="Times New Roman" w:cs="宋体"/>
          <w:szCs w:val="20"/>
        </w:rPr>
      </w:pPr>
      <w:r>
        <w:rPr>
          <w:rFonts w:ascii="Times New Roman" w:hAnsi="Times New Roman" w:cs="宋体" w:hint="eastAsia"/>
          <w:szCs w:val="20"/>
        </w:rPr>
        <w:t>注重优化、完善相关电力设备碳足迹标准体系；</w:t>
      </w:r>
    </w:p>
    <w:p w14:paraId="018075C7" w14:textId="77777777" w:rsidR="00C93164" w:rsidRDefault="00000000">
      <w:pPr>
        <w:widowControl/>
        <w:numPr>
          <w:ilvl w:val="0"/>
          <w:numId w:val="7"/>
        </w:numPr>
        <w:overflowPunct w:val="0"/>
        <w:topLinePunct/>
        <w:spacing w:line="360" w:lineRule="exact"/>
        <w:ind w:left="849" w:hanging="429"/>
        <w:rPr>
          <w:rFonts w:ascii="Times New Roman" w:hAnsi="Times New Roman" w:cs="宋体"/>
          <w:szCs w:val="20"/>
        </w:rPr>
      </w:pPr>
      <w:r>
        <w:rPr>
          <w:rFonts w:ascii="Times New Roman" w:hAnsi="Times New Roman" w:cs="宋体" w:hint="eastAsia"/>
          <w:szCs w:val="20"/>
        </w:rPr>
        <w:t>注重与电力物资领域相关国家标准、行业标准、企业标准等技术标准等的对接统一；</w:t>
      </w:r>
    </w:p>
    <w:p w14:paraId="3832F3D0" w14:textId="77777777" w:rsidR="00C93164" w:rsidRDefault="00000000">
      <w:pPr>
        <w:widowControl/>
        <w:numPr>
          <w:ilvl w:val="0"/>
          <w:numId w:val="7"/>
        </w:numPr>
        <w:overflowPunct w:val="0"/>
        <w:topLinePunct/>
        <w:spacing w:line="360" w:lineRule="exact"/>
        <w:ind w:left="849" w:hanging="429"/>
        <w:rPr>
          <w:rFonts w:cs="宋体"/>
        </w:rPr>
      </w:pPr>
      <w:r>
        <w:rPr>
          <w:rFonts w:cs="宋体" w:hint="eastAsia"/>
        </w:rPr>
        <w:t>注重产品碳足迹核算方面电网特殊要求及实际技术应用、现场维护检修等方面的经验积累，并考虑主流厂家技术动态、技术文件等，保证标准的技术先进性、经济适用性；</w:t>
      </w:r>
    </w:p>
    <w:p w14:paraId="15C045F6" w14:textId="77777777" w:rsidR="00C93164" w:rsidRDefault="00000000">
      <w:pPr>
        <w:widowControl/>
        <w:numPr>
          <w:ilvl w:val="0"/>
          <w:numId w:val="7"/>
        </w:numPr>
        <w:overflowPunct w:val="0"/>
        <w:topLinePunct/>
        <w:spacing w:line="360" w:lineRule="exact"/>
        <w:ind w:left="849" w:hanging="429"/>
      </w:pPr>
      <w:r>
        <w:rPr>
          <w:rFonts w:ascii="Times New Roman" w:hAnsi="Times New Roman" w:cs="宋体" w:hint="eastAsia"/>
          <w:szCs w:val="20"/>
        </w:rPr>
        <w:t>注重企业电力设备全生命周期</w:t>
      </w:r>
      <w:proofErr w:type="gramStart"/>
      <w:r>
        <w:rPr>
          <w:rFonts w:ascii="Times New Roman" w:hAnsi="Times New Roman" w:cs="宋体" w:hint="eastAsia"/>
          <w:szCs w:val="20"/>
        </w:rPr>
        <w:t>范围内碳排放</w:t>
      </w:r>
      <w:proofErr w:type="gramEnd"/>
      <w:r>
        <w:rPr>
          <w:rFonts w:ascii="Times New Roman" w:hAnsi="Times New Roman" w:cs="宋体" w:hint="eastAsia"/>
          <w:szCs w:val="20"/>
        </w:rPr>
        <w:t>（足迹）量化参数、指标的可证实性，保证标准的科学性和实施可靠性。</w:t>
      </w:r>
    </w:p>
    <w:p w14:paraId="0C48B3AE" w14:textId="77777777" w:rsidR="00C93164" w:rsidRDefault="00000000">
      <w:pPr>
        <w:pStyle w:val="14"/>
        <w:spacing w:before="312" w:after="312"/>
        <w:rPr>
          <w:rFonts w:ascii="宋体" w:hAnsi="宋体" w:hint="eastAsia"/>
          <w:szCs w:val="21"/>
        </w:rPr>
      </w:pPr>
      <w:bookmarkStart w:id="28" w:name="_Toc513731112"/>
      <w:r>
        <w:rPr>
          <w:rFonts w:ascii="宋体" w:hAnsi="宋体" w:hint="eastAsia"/>
          <w:szCs w:val="21"/>
        </w:rPr>
        <w:t xml:space="preserve">3 </w:t>
      </w:r>
      <w:r>
        <w:rPr>
          <w:rFonts w:ascii="宋体" w:hAnsi="宋体" w:hint="eastAsia"/>
          <w:szCs w:val="21"/>
        </w:rPr>
        <w:t>主要工作过程</w:t>
      </w:r>
      <w:bookmarkEnd w:id="28"/>
    </w:p>
    <w:p w14:paraId="5C21CE5C" w14:textId="77777777" w:rsidR="00C93164" w:rsidRDefault="00000000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>2024</w:t>
      </w:r>
      <w:r>
        <w:rPr>
          <w:rFonts w:ascii="Times New Roman" w:eastAsiaTheme="minorEastAsia" w:hAnsi="Times New Roman"/>
          <w:kern w:val="0"/>
          <w:szCs w:val="21"/>
        </w:rPr>
        <w:t>年</w:t>
      </w:r>
      <w:r>
        <w:rPr>
          <w:rFonts w:ascii="Times New Roman" w:eastAsiaTheme="minorEastAsia" w:hAnsi="Times New Roman" w:hint="eastAsia"/>
          <w:kern w:val="0"/>
          <w:szCs w:val="21"/>
        </w:rPr>
        <w:t>12</w:t>
      </w:r>
      <w:r>
        <w:rPr>
          <w:rFonts w:ascii="Times New Roman" w:eastAsiaTheme="minorEastAsia" w:hAnsi="Times New Roman"/>
          <w:kern w:val="0"/>
          <w:szCs w:val="21"/>
        </w:rPr>
        <w:t>月，根据</w:t>
      </w:r>
      <w:r>
        <w:rPr>
          <w:rFonts w:ascii="宋体" w:hAnsi="Times New Roman" w:hint="eastAsia"/>
          <w:color w:val="000000" w:themeColor="text1"/>
        </w:rPr>
        <w:t>中国电机工程学会</w:t>
      </w:r>
      <w:r>
        <w:rPr>
          <w:rFonts w:ascii="Times New Roman" w:eastAsiaTheme="minorEastAsia" w:hAnsi="Times New Roman"/>
          <w:kern w:val="0"/>
          <w:szCs w:val="21"/>
        </w:rPr>
        <w:t>技术标准制修订计划</w:t>
      </w:r>
      <w:r>
        <w:rPr>
          <w:rFonts w:ascii="Times New Roman" w:eastAsiaTheme="minorEastAsia" w:hAnsi="Times New Roman" w:hint="eastAsia"/>
          <w:kern w:val="0"/>
          <w:szCs w:val="21"/>
        </w:rPr>
        <w:t>（</w:t>
      </w:r>
      <w:r>
        <w:rPr>
          <w:rFonts w:ascii="Times New Roman" w:eastAsiaTheme="minorEastAsia" w:hAnsi="Times New Roman"/>
          <w:kern w:val="0"/>
          <w:szCs w:val="21"/>
        </w:rPr>
        <w:t>不包含关键指标验证要求</w:t>
      </w:r>
      <w:r>
        <w:rPr>
          <w:rFonts w:ascii="Times New Roman" w:eastAsiaTheme="minorEastAsia" w:hAnsi="Times New Roman" w:hint="eastAsia"/>
          <w:kern w:val="0"/>
          <w:szCs w:val="21"/>
        </w:rPr>
        <w:t>）</w:t>
      </w:r>
      <w:r>
        <w:rPr>
          <w:rFonts w:ascii="Times New Roman" w:eastAsiaTheme="minorEastAsia" w:hAnsi="Times New Roman"/>
          <w:kern w:val="0"/>
          <w:szCs w:val="21"/>
        </w:rPr>
        <w:t>，项目启动。</w:t>
      </w:r>
    </w:p>
    <w:p w14:paraId="17F68973" w14:textId="77777777" w:rsidR="00C93164" w:rsidRDefault="00000000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>2025</w:t>
      </w:r>
      <w:r>
        <w:rPr>
          <w:rFonts w:ascii="Times New Roman" w:eastAsiaTheme="minorEastAsia" w:hAnsi="Times New Roman"/>
          <w:kern w:val="0"/>
          <w:szCs w:val="21"/>
        </w:rPr>
        <w:t>年</w:t>
      </w:r>
      <w:r>
        <w:rPr>
          <w:rFonts w:ascii="Times New Roman" w:eastAsiaTheme="minorEastAsia" w:hAnsi="Times New Roman" w:hint="eastAsia"/>
          <w:kern w:val="0"/>
          <w:szCs w:val="21"/>
        </w:rPr>
        <w:t>1-2</w:t>
      </w:r>
      <w:r>
        <w:rPr>
          <w:rFonts w:ascii="Times New Roman" w:eastAsiaTheme="minorEastAsia" w:hAnsi="Times New Roman"/>
          <w:kern w:val="0"/>
          <w:szCs w:val="21"/>
        </w:rPr>
        <w:t>月，成立标准编写组，开展调研工作，拟定标准大纲。</w:t>
      </w:r>
    </w:p>
    <w:p w14:paraId="6803B513" w14:textId="77777777" w:rsidR="00C93164" w:rsidRDefault="00000000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>2025</w:t>
      </w:r>
      <w:r>
        <w:rPr>
          <w:rFonts w:ascii="Times New Roman" w:eastAsiaTheme="minorEastAsia" w:hAnsi="Times New Roman"/>
          <w:kern w:val="0"/>
          <w:szCs w:val="21"/>
        </w:rPr>
        <w:t>年</w:t>
      </w:r>
      <w:r>
        <w:rPr>
          <w:rFonts w:ascii="Times New Roman" w:eastAsiaTheme="minorEastAsia" w:hAnsi="Times New Roman" w:hint="eastAsia"/>
          <w:kern w:val="0"/>
          <w:szCs w:val="21"/>
        </w:rPr>
        <w:t>3-6</w:t>
      </w:r>
      <w:r>
        <w:rPr>
          <w:rFonts w:ascii="Times New Roman" w:eastAsiaTheme="minorEastAsia" w:hAnsi="Times New Roman"/>
          <w:kern w:val="0"/>
          <w:szCs w:val="21"/>
        </w:rPr>
        <w:t>月，组织开展标准编写工作，完成标准初稿编写。</w:t>
      </w:r>
    </w:p>
    <w:p w14:paraId="714691DC" w14:textId="77777777" w:rsidR="00C93164" w:rsidRDefault="00000000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>2025</w:t>
      </w:r>
      <w:r>
        <w:rPr>
          <w:rFonts w:ascii="Times New Roman" w:eastAsiaTheme="minorEastAsia" w:hAnsi="Times New Roman"/>
          <w:kern w:val="0"/>
          <w:szCs w:val="21"/>
        </w:rPr>
        <w:t>年</w:t>
      </w:r>
      <w:r>
        <w:rPr>
          <w:rFonts w:ascii="Times New Roman" w:eastAsiaTheme="minorEastAsia" w:hAnsi="Times New Roman" w:hint="eastAsia"/>
          <w:kern w:val="0"/>
          <w:szCs w:val="21"/>
        </w:rPr>
        <w:t>7-10</w:t>
      </w:r>
      <w:r>
        <w:rPr>
          <w:rFonts w:ascii="Times New Roman" w:eastAsiaTheme="minorEastAsia" w:hAnsi="Times New Roman"/>
          <w:kern w:val="0"/>
          <w:szCs w:val="21"/>
        </w:rPr>
        <w:t>月，进行初稿修改，编制形成征求意见稿。</w:t>
      </w:r>
    </w:p>
    <w:p w14:paraId="3B569DB5" w14:textId="77777777" w:rsidR="00C93164" w:rsidRDefault="00000000">
      <w:pPr>
        <w:pStyle w:val="14"/>
        <w:spacing w:before="312" w:after="312"/>
      </w:pPr>
      <w:bookmarkStart w:id="29" w:name="_Toc513731113"/>
      <w:r>
        <w:rPr>
          <w:rFonts w:ascii="宋体" w:hAnsi="宋体" w:hint="eastAsia"/>
          <w:szCs w:val="21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标准结构和内容说明</w:t>
      </w:r>
      <w:bookmarkEnd w:id="29"/>
    </w:p>
    <w:p w14:paraId="04ECFB1B" w14:textId="77777777" w:rsidR="00C93164" w:rsidRDefault="00000000">
      <w:pPr>
        <w:overflowPunct w:val="0"/>
        <w:spacing w:line="360" w:lineRule="exact"/>
        <w:ind w:firstLine="425"/>
        <w:rPr>
          <w:rFonts w:ascii="宋体" w:hAnsi="宋体" w:hint="eastAsia"/>
          <w:szCs w:val="21"/>
        </w:rPr>
      </w:pPr>
      <w:r>
        <w:rPr>
          <w:rFonts w:hint="eastAsia"/>
          <w:color w:val="000000"/>
          <w:kern w:val="21"/>
          <w:szCs w:val="21"/>
        </w:rPr>
        <w:t>本文件主要包含</w:t>
      </w:r>
      <w:r>
        <w:rPr>
          <w:rFonts w:hint="eastAsia"/>
          <w:color w:val="000000"/>
          <w:kern w:val="21"/>
          <w:szCs w:val="21"/>
        </w:rPr>
        <w:t>4</w:t>
      </w:r>
      <w:r>
        <w:rPr>
          <w:rFonts w:hint="eastAsia"/>
          <w:color w:val="000000"/>
          <w:kern w:val="21"/>
          <w:szCs w:val="21"/>
        </w:rPr>
        <w:t>个主题章</w:t>
      </w:r>
      <w:r>
        <w:rPr>
          <w:rFonts w:ascii="宋体" w:hAnsi="宋体" w:hint="eastAsia"/>
          <w:szCs w:val="21"/>
        </w:rPr>
        <w:t>，包括：产品种类、开关柜（箱）产品碳足迹和产品部分碳足迹量化方法、PCR 结构和强制性、开关柜（箱）产品碳足迹核算报告。</w:t>
      </w:r>
    </w:p>
    <w:p w14:paraId="1269DFD4" w14:textId="77777777" w:rsidR="00C93164" w:rsidRDefault="00000000">
      <w:pPr>
        <w:overflowPunct w:val="0"/>
        <w:spacing w:line="360" w:lineRule="exact"/>
        <w:ind w:firstLine="4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本文件第4章给出了适用于本文件的开关柜（箱）种类。</w:t>
      </w:r>
    </w:p>
    <w:p w14:paraId="02BC7128" w14:textId="77777777" w:rsidR="00C93164" w:rsidRDefault="00000000">
      <w:pPr>
        <w:overflowPunct w:val="0"/>
        <w:spacing w:line="360" w:lineRule="exact"/>
        <w:ind w:firstLine="425"/>
        <w:rPr>
          <w:rFonts w:asciiTheme="minorEastAsia" w:eastAsiaTheme="minorEastAsia" w:hAnsiTheme="minorEastAsia" w:cstheme="minorEastAsia" w:hint="eastAsia"/>
        </w:rPr>
      </w:pPr>
      <w:r>
        <w:rPr>
          <w:rFonts w:ascii="宋体" w:hAnsi="宋体" w:hint="eastAsia"/>
          <w:szCs w:val="21"/>
        </w:rPr>
        <w:lastRenderedPageBreak/>
        <w:t>本文件第5章给出了开关柜（箱）产品碳足迹量化目的和范围；给出了功能单位的定义；给出了开关柜（箱）</w:t>
      </w:r>
      <w:r>
        <w:rPr>
          <w:rFonts w:asciiTheme="minorEastAsia" w:eastAsiaTheme="minorEastAsia" w:hAnsiTheme="minorEastAsia" w:cstheme="minorEastAsia" w:hint="eastAsia"/>
          <w:szCs w:val="21"/>
        </w:rPr>
        <w:t>生命周期产品系统边界、排除系统边界的碳排放和取舍原则；给出了数据质量要求，列出了生命周期各阶段收集的数据内容，指明应按照附录A收集</w:t>
      </w:r>
      <w:r>
        <w:rPr>
          <w:rFonts w:ascii="宋体" w:hAnsi="宋体" w:hint="eastAsia"/>
          <w:szCs w:val="21"/>
        </w:rPr>
        <w:t>开关柜（箱）</w:t>
      </w:r>
      <w:r>
        <w:rPr>
          <w:rFonts w:asciiTheme="minorEastAsia" w:eastAsiaTheme="minorEastAsia" w:hAnsiTheme="minorEastAsia" w:cstheme="minorEastAsia" w:hint="eastAsia"/>
          <w:szCs w:val="21"/>
        </w:rPr>
        <w:t>数据类型及数据项，生命周期各阶段数据收集清单模板见附录C，给出了数据分配的原则和方法</w:t>
      </w:r>
      <w:r>
        <w:rPr>
          <w:rFonts w:asciiTheme="minorEastAsia" w:eastAsiaTheme="minorEastAsia" w:hAnsiTheme="minorEastAsia" w:cstheme="minorEastAsia" w:hint="eastAsia"/>
        </w:rPr>
        <w:t>；给出了生命周期各阶段的碳足迹计算公式；</w:t>
      </w:r>
      <w:r>
        <w:rPr>
          <w:rFonts w:asciiTheme="minorEastAsia" w:eastAsiaTheme="minorEastAsia" w:hAnsiTheme="minorEastAsia" w:cstheme="minorEastAsia" w:hint="eastAsia"/>
          <w:szCs w:val="21"/>
        </w:rPr>
        <w:t>对</w:t>
      </w:r>
      <w:r>
        <w:rPr>
          <w:rFonts w:ascii="宋体" w:hAnsi="宋体" w:hint="eastAsia"/>
          <w:szCs w:val="21"/>
        </w:rPr>
        <w:t>开关柜（箱）</w:t>
      </w:r>
      <w:r>
        <w:rPr>
          <w:rFonts w:asciiTheme="minorEastAsia" w:eastAsiaTheme="minorEastAsia" w:hAnsiTheme="minorEastAsia" w:cstheme="minorEastAsia" w:hint="eastAsia"/>
          <w:szCs w:val="21"/>
        </w:rPr>
        <w:t>产品碳足迹结果进行解释</w:t>
      </w:r>
      <w:r>
        <w:rPr>
          <w:rFonts w:asciiTheme="minorEastAsia" w:eastAsiaTheme="minorEastAsia" w:hAnsiTheme="minorEastAsia" w:cstheme="minorEastAsia" w:hint="eastAsia"/>
        </w:rPr>
        <w:t>。</w:t>
      </w:r>
    </w:p>
    <w:p w14:paraId="124DB44C" w14:textId="77777777" w:rsidR="00C93164" w:rsidRDefault="00000000">
      <w:pPr>
        <w:overflowPunct w:val="0"/>
        <w:spacing w:line="360" w:lineRule="exact"/>
        <w:ind w:firstLine="425"/>
        <w:rPr>
          <w:rFonts w:asciiTheme="minorEastAsia" w:eastAsiaTheme="minorEastAsia" w:hAnsiTheme="minorEastAsia" w:cstheme="minorEastAsia" w:hint="eastAsia"/>
          <w:szCs w:val="21"/>
        </w:rPr>
      </w:pPr>
      <w:r>
        <w:rPr>
          <w:rFonts w:asciiTheme="minorEastAsia" w:eastAsiaTheme="minorEastAsia" w:hAnsiTheme="minorEastAsia" w:cstheme="minorEastAsia" w:hint="eastAsia"/>
        </w:rPr>
        <w:t>本文件第6章给出了</w:t>
      </w:r>
      <w:r>
        <w:rPr>
          <w:rFonts w:ascii="宋体" w:hAnsi="宋体" w:hint="eastAsia"/>
          <w:szCs w:val="21"/>
        </w:rPr>
        <w:t>开关柜（箱）</w:t>
      </w:r>
      <w:r>
        <w:rPr>
          <w:rFonts w:asciiTheme="minorEastAsia" w:eastAsiaTheme="minorEastAsia" w:hAnsiTheme="minorEastAsia" w:cstheme="minorEastAsia" w:hint="eastAsia"/>
          <w:szCs w:val="21"/>
        </w:rPr>
        <w:t>产品PCR结构，明确了PCR强制性要求。</w:t>
      </w:r>
    </w:p>
    <w:p w14:paraId="4A0A73E5" w14:textId="77777777" w:rsidR="00C93164" w:rsidRDefault="00000000">
      <w:pPr>
        <w:overflowPunct w:val="0"/>
        <w:spacing w:line="360" w:lineRule="exact"/>
        <w:ind w:firstLine="425"/>
      </w:pPr>
      <w:r>
        <w:rPr>
          <w:rFonts w:asciiTheme="minorEastAsia" w:eastAsiaTheme="minorEastAsia" w:hAnsiTheme="minorEastAsia" w:cstheme="minorEastAsia" w:hint="eastAsia"/>
          <w:szCs w:val="21"/>
        </w:rPr>
        <w:t>本文件第7章给出了</w:t>
      </w:r>
      <w:r>
        <w:rPr>
          <w:rFonts w:ascii="宋体" w:hAnsi="宋体" w:hint="eastAsia"/>
          <w:szCs w:val="21"/>
        </w:rPr>
        <w:t>开关柜（箱）</w:t>
      </w:r>
      <w:r>
        <w:rPr>
          <w:rFonts w:asciiTheme="minorEastAsia" w:eastAsiaTheme="minorEastAsia" w:hAnsiTheme="minorEastAsia" w:cstheme="minorEastAsia" w:hint="eastAsia"/>
          <w:szCs w:val="21"/>
        </w:rPr>
        <w:t>产品碳足迹核算报告的相关要求，列出了报告应声明的信息内容，指明附录E给出了</w:t>
      </w:r>
      <w:r>
        <w:rPr>
          <w:rFonts w:ascii="宋体" w:hAnsi="宋体" w:hint="eastAsia"/>
          <w:szCs w:val="21"/>
        </w:rPr>
        <w:t>开关柜（箱）</w:t>
      </w:r>
      <w:r>
        <w:rPr>
          <w:rFonts w:asciiTheme="minorEastAsia" w:eastAsiaTheme="minorEastAsia" w:hAnsiTheme="minorEastAsia" w:cstheme="minorEastAsia" w:hint="eastAsia"/>
          <w:szCs w:val="21"/>
        </w:rPr>
        <w:t>产品碳足迹核算报告的参考格式。</w:t>
      </w:r>
    </w:p>
    <w:p w14:paraId="0E0CF016" w14:textId="77777777" w:rsidR="00C93164" w:rsidRDefault="00000000">
      <w:pPr>
        <w:pStyle w:val="14"/>
        <w:spacing w:before="312" w:after="312"/>
      </w:pPr>
      <w:bookmarkStart w:id="30" w:name="_Toc513731114"/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相关</w:t>
      </w:r>
      <w:r>
        <w:rPr>
          <w:rFonts w:hint="eastAsia"/>
        </w:rPr>
        <w:t>标准对比说明</w:t>
      </w:r>
      <w:bookmarkEnd w:id="30"/>
    </w:p>
    <w:p w14:paraId="216331F1" w14:textId="77777777" w:rsidR="00C93164" w:rsidRDefault="00000000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>本标准与相关技术领域的国家现行法律法规和政策保持一致。</w:t>
      </w:r>
    </w:p>
    <w:p w14:paraId="757FBBFF" w14:textId="77777777" w:rsidR="00C93164" w:rsidRDefault="00000000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>本标准不涉及专利、软件著作权等知识产权使用问题。</w:t>
      </w:r>
    </w:p>
    <w:p w14:paraId="405C107C" w14:textId="77777777" w:rsidR="00C93164" w:rsidRDefault="00000000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Chars="200" w:firstLine="420"/>
        <w:rPr>
          <w:rFonts w:ascii="Times New Roman" w:eastAsiaTheme="minorEastAsia" w:hAnsi="Times New Roman"/>
          <w:kern w:val="0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>本标准主要参考文件：</w:t>
      </w:r>
    </w:p>
    <w:p w14:paraId="26F13FC9" w14:textId="77777777" w:rsidR="00C93164" w:rsidRDefault="00000000">
      <w:pPr>
        <w:numPr>
          <w:ilvl w:val="255"/>
          <w:numId w:val="0"/>
        </w:numPr>
        <w:spacing w:line="360" w:lineRule="exact"/>
        <w:ind w:rightChars="-73" w:right="-153" w:firstLineChars="200" w:firstLine="42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/>
          <w:szCs w:val="21"/>
        </w:rPr>
        <w:t xml:space="preserve">GB/T 2900.20   </w:t>
      </w:r>
      <w:r>
        <w:rPr>
          <w:rFonts w:ascii="Times New Roman" w:eastAsiaTheme="minorEastAsia" w:hAnsi="Times New Roman"/>
          <w:szCs w:val="21"/>
        </w:rPr>
        <w:t>电工术语</w:t>
      </w:r>
      <w:r>
        <w:rPr>
          <w:rFonts w:ascii="Times New Roman" w:eastAsiaTheme="minorEastAsia" w:hAnsi="Times New Roman"/>
          <w:szCs w:val="21"/>
        </w:rPr>
        <w:t xml:space="preserve"> </w:t>
      </w:r>
      <w:r>
        <w:rPr>
          <w:rFonts w:ascii="Times New Roman" w:eastAsiaTheme="minorEastAsia" w:hAnsi="Times New Roman"/>
          <w:szCs w:val="21"/>
        </w:rPr>
        <w:t>高压开关设备和控制设备</w:t>
      </w:r>
    </w:p>
    <w:p w14:paraId="1028DA97" w14:textId="77777777" w:rsidR="00C93164" w:rsidRDefault="00000000">
      <w:pPr>
        <w:numPr>
          <w:ilvl w:val="255"/>
          <w:numId w:val="0"/>
        </w:numPr>
        <w:spacing w:line="360" w:lineRule="exact"/>
        <w:ind w:rightChars="-73" w:right="-153" w:firstLineChars="200" w:firstLine="42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/>
          <w:kern w:val="0"/>
          <w:szCs w:val="21"/>
        </w:rPr>
        <w:t xml:space="preserve">GB/T 20862 </w:t>
      </w:r>
      <w:r>
        <w:rPr>
          <w:rFonts w:ascii="Times New Roman" w:eastAsiaTheme="minorEastAsia" w:hAnsi="Times New Roman"/>
          <w:kern w:val="0"/>
          <w:szCs w:val="21"/>
        </w:rPr>
        <w:t>产品可回收利用率计算方法导则</w:t>
      </w:r>
    </w:p>
    <w:p w14:paraId="0A567ACC" w14:textId="77777777" w:rsidR="00C93164" w:rsidRDefault="00000000">
      <w:pPr>
        <w:numPr>
          <w:ilvl w:val="255"/>
          <w:numId w:val="0"/>
        </w:numPr>
        <w:spacing w:line="360" w:lineRule="exact"/>
        <w:ind w:rightChars="-73" w:right="-153" w:firstLineChars="200" w:firstLine="420"/>
        <w:jc w:val="left"/>
      </w:pPr>
      <w:r>
        <w:rPr>
          <w:rFonts w:ascii="Times New Roman" w:eastAsia="TimesNewRomanPSMT" w:hAnsi="Times New Roman"/>
          <w:szCs w:val="24"/>
        </w:rPr>
        <w:t xml:space="preserve">GB/T 24024 </w:t>
      </w:r>
      <w:r>
        <w:rPr>
          <w:rFonts w:ascii="Times New Roman" w:eastAsia="TimesNewRomanPSMT" w:hAnsi="Times New Roman"/>
          <w:szCs w:val="24"/>
        </w:rPr>
        <w:t>环境标志和声明</w:t>
      </w:r>
      <w:r>
        <w:rPr>
          <w:rFonts w:ascii="Times New Roman" w:eastAsia="TimesNewRomanPSMT" w:hAnsi="Times New Roman"/>
          <w:szCs w:val="24"/>
        </w:rPr>
        <w:t xml:space="preserve"> I</w:t>
      </w:r>
      <w:r>
        <w:rPr>
          <w:rFonts w:ascii="Times New Roman" w:eastAsia="TimesNewRomanPSMT" w:hAnsi="Times New Roman"/>
          <w:szCs w:val="24"/>
        </w:rPr>
        <w:t>型环境标志</w:t>
      </w:r>
      <w:r>
        <w:rPr>
          <w:rFonts w:ascii="Times New Roman" w:eastAsia="TimesNewRomanPSMT" w:hAnsi="Times New Roman"/>
          <w:szCs w:val="24"/>
        </w:rPr>
        <w:t xml:space="preserve"> </w:t>
      </w:r>
      <w:r>
        <w:rPr>
          <w:rFonts w:ascii="Times New Roman" w:eastAsia="TimesNewRomanPSMT" w:hAnsi="Times New Roman"/>
          <w:szCs w:val="24"/>
        </w:rPr>
        <w:t>原则和程序</w:t>
      </w:r>
    </w:p>
    <w:p w14:paraId="32B19078" w14:textId="77777777" w:rsidR="00C93164" w:rsidRDefault="00000000">
      <w:pPr>
        <w:numPr>
          <w:ilvl w:val="255"/>
          <w:numId w:val="0"/>
        </w:numPr>
        <w:spacing w:line="360" w:lineRule="exact"/>
        <w:ind w:rightChars="-73" w:right="-153" w:firstLineChars="200" w:firstLine="420"/>
        <w:jc w:val="left"/>
        <w:rPr>
          <w:rFonts w:ascii="Times New Roman" w:hAnsi="Times New Roman"/>
          <w:kern w:val="0"/>
          <w:szCs w:val="20"/>
        </w:rPr>
      </w:pPr>
      <w:r>
        <w:rPr>
          <w:rFonts w:ascii="Times New Roman" w:eastAsia="TimesNewRomanPSMT" w:hAnsi="Times New Roman"/>
          <w:szCs w:val="24"/>
        </w:rPr>
        <w:t xml:space="preserve">GB/T 24062 </w:t>
      </w:r>
      <w:r>
        <w:rPr>
          <w:rFonts w:ascii="Times New Roman" w:eastAsia="TimesNewRomanPSMT" w:hAnsi="Times New Roman"/>
          <w:szCs w:val="24"/>
        </w:rPr>
        <w:t>环境管理</w:t>
      </w:r>
      <w:r>
        <w:rPr>
          <w:rFonts w:ascii="Times New Roman" w:eastAsia="TimesNewRomanPSMT" w:hAnsi="Times New Roman"/>
          <w:szCs w:val="24"/>
        </w:rPr>
        <w:t xml:space="preserve"> </w:t>
      </w:r>
      <w:r>
        <w:rPr>
          <w:rFonts w:ascii="Times New Roman" w:eastAsia="TimesNewRomanPSMT" w:hAnsi="Times New Roman"/>
          <w:szCs w:val="24"/>
        </w:rPr>
        <w:t>将环境因素引入产品的设计和开发</w:t>
      </w:r>
    </w:p>
    <w:p w14:paraId="61001373" w14:textId="77777777" w:rsidR="00C93164" w:rsidRDefault="00000000">
      <w:pPr>
        <w:numPr>
          <w:ilvl w:val="255"/>
          <w:numId w:val="0"/>
        </w:numPr>
        <w:spacing w:line="360" w:lineRule="exact"/>
        <w:ind w:rightChars="-73" w:right="-153" w:firstLineChars="200" w:firstLine="42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="TimesNewRomanPSMT" w:hAnsi="Times New Roman"/>
          <w:szCs w:val="24"/>
        </w:rPr>
        <w:t xml:space="preserve">ISO 14026 </w:t>
      </w:r>
      <w:r>
        <w:rPr>
          <w:rFonts w:ascii="Times New Roman" w:eastAsiaTheme="minorEastAsia" w:hAnsi="Times New Roman"/>
          <w:szCs w:val="21"/>
        </w:rPr>
        <w:t xml:space="preserve">Environmental labels and declarations - Principles, requirements and guidelines for </w:t>
      </w:r>
      <w:r>
        <w:rPr>
          <w:rFonts w:eastAsiaTheme="minorEastAsia" w:hint="eastAsia"/>
          <w:szCs w:val="21"/>
        </w:rPr>
        <w:t xml:space="preserve">  </w:t>
      </w:r>
    </w:p>
    <w:p w14:paraId="5AF70408" w14:textId="77777777" w:rsidR="00C93164" w:rsidRDefault="00000000">
      <w:pPr>
        <w:numPr>
          <w:ilvl w:val="255"/>
          <w:numId w:val="0"/>
        </w:numPr>
        <w:spacing w:line="360" w:lineRule="exact"/>
        <w:ind w:rightChars="-73" w:right="-153" w:firstLineChars="200" w:firstLine="42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/>
          <w:szCs w:val="21"/>
        </w:rPr>
        <w:t>communication of footprint information</w:t>
      </w:r>
    </w:p>
    <w:p w14:paraId="51629E44" w14:textId="77777777" w:rsidR="00C93164" w:rsidRDefault="00000000">
      <w:pPr>
        <w:numPr>
          <w:ilvl w:val="255"/>
          <w:numId w:val="0"/>
        </w:numPr>
        <w:spacing w:line="360" w:lineRule="exact"/>
        <w:ind w:rightChars="-73" w:right="-153" w:firstLineChars="200" w:firstLine="420"/>
        <w:jc w:val="left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/>
          <w:szCs w:val="21"/>
        </w:rPr>
        <w:t xml:space="preserve">ISO 14027 Environmental </w:t>
      </w:r>
      <w:proofErr w:type="spellStart"/>
      <w:r>
        <w:rPr>
          <w:rFonts w:ascii="Times New Roman" w:eastAsiaTheme="minorEastAsia" w:hAnsi="Times New Roman"/>
          <w:szCs w:val="21"/>
        </w:rPr>
        <w:t>labelsanddeclarations</w:t>
      </w:r>
      <w:proofErr w:type="spellEnd"/>
      <w:r>
        <w:rPr>
          <w:rFonts w:ascii="Times New Roman" w:eastAsiaTheme="minorEastAsia" w:hAnsi="Times New Roman"/>
          <w:szCs w:val="21"/>
        </w:rPr>
        <w:t xml:space="preserve"> </w:t>
      </w:r>
      <w:r>
        <w:rPr>
          <w:rFonts w:ascii="Times New Roman" w:eastAsiaTheme="minorEastAsia" w:hAnsi="Times New Roman"/>
          <w:szCs w:val="21"/>
          <w:lang w:eastAsia="zh"/>
        </w:rPr>
        <w:t>-</w:t>
      </w:r>
      <w:r>
        <w:rPr>
          <w:rFonts w:ascii="Times New Roman" w:eastAsiaTheme="minorEastAsia" w:hAnsi="Times New Roman"/>
          <w:szCs w:val="21"/>
        </w:rPr>
        <w:t>Development of product category rules</w:t>
      </w:r>
    </w:p>
    <w:p w14:paraId="4F5E7E1B" w14:textId="77777777" w:rsidR="00C93164" w:rsidRDefault="00000000">
      <w:pPr>
        <w:numPr>
          <w:ilvl w:val="255"/>
          <w:numId w:val="0"/>
        </w:numPr>
        <w:spacing w:line="360" w:lineRule="exact"/>
        <w:ind w:leftChars="190" w:left="399" w:rightChars="-73" w:right="-153"/>
        <w:jc w:val="left"/>
        <w:rPr>
          <w:rFonts w:ascii="Times New Roman" w:eastAsiaTheme="minorEastAsia" w:hAnsi="Times New Roman"/>
          <w:szCs w:val="21"/>
          <w:lang w:eastAsia="zh"/>
        </w:rPr>
      </w:pPr>
      <w:r>
        <w:rPr>
          <w:rFonts w:ascii="Times New Roman" w:eastAsiaTheme="minorEastAsia" w:hAnsi="Times New Roman"/>
          <w:szCs w:val="21"/>
        </w:rPr>
        <w:t>ISO</w:t>
      </w:r>
      <w:r>
        <w:rPr>
          <w:rFonts w:ascii="Times New Roman" w:eastAsiaTheme="minorEastAsia" w:hAnsi="Times New Roman"/>
          <w:szCs w:val="21"/>
          <w:lang w:eastAsia="zh"/>
        </w:rPr>
        <w:t xml:space="preserve"> </w:t>
      </w:r>
      <w:r>
        <w:rPr>
          <w:rFonts w:ascii="Times New Roman" w:eastAsiaTheme="minorEastAsia" w:hAnsi="Times New Roman"/>
          <w:szCs w:val="21"/>
        </w:rPr>
        <w:t>14064-1 Greenhouse gases Part 1:</w:t>
      </w:r>
      <w:r>
        <w:rPr>
          <w:rFonts w:ascii="Times New Roman" w:eastAsiaTheme="minorEastAsia" w:hint="eastAsia"/>
          <w:szCs w:val="21"/>
        </w:rPr>
        <w:t xml:space="preserve"> </w:t>
      </w:r>
      <w:r>
        <w:rPr>
          <w:rFonts w:ascii="Times New Roman" w:eastAsiaTheme="minorEastAsia" w:hAnsi="Times New Roman"/>
          <w:szCs w:val="21"/>
        </w:rPr>
        <w:t>Specification with guidance at the organization level for quantification and reporting of greenhouse gas emissions and removals</w:t>
      </w:r>
    </w:p>
    <w:p w14:paraId="77189EC2" w14:textId="77777777" w:rsidR="00C93164" w:rsidRDefault="00000000">
      <w:pPr>
        <w:numPr>
          <w:ilvl w:val="255"/>
          <w:numId w:val="0"/>
        </w:numPr>
        <w:spacing w:line="360" w:lineRule="exact"/>
        <w:ind w:leftChars="190" w:left="399" w:rightChars="-73" w:right="-153"/>
        <w:jc w:val="left"/>
        <w:rPr>
          <w:rFonts w:ascii="Times New Roman" w:eastAsiaTheme="minorEastAsia" w:hAnsi="Times New Roman"/>
          <w:szCs w:val="21"/>
          <w:lang w:eastAsia="zh"/>
        </w:rPr>
      </w:pPr>
      <w:r>
        <w:rPr>
          <w:rFonts w:ascii="Times New Roman" w:eastAsiaTheme="minorEastAsia" w:hAnsi="Times New Roman"/>
          <w:szCs w:val="21"/>
          <w:lang w:eastAsia="zh"/>
        </w:rPr>
        <w:t xml:space="preserve">ISO 14071 Environmental </w:t>
      </w:r>
      <w:proofErr w:type="gramStart"/>
      <w:r>
        <w:rPr>
          <w:rFonts w:ascii="Times New Roman" w:eastAsiaTheme="minorEastAsia" w:hAnsi="Times New Roman"/>
          <w:szCs w:val="21"/>
          <w:lang w:eastAsia="zh"/>
        </w:rPr>
        <w:t>management</w:t>
      </w:r>
      <w:proofErr w:type="gramEnd"/>
      <w:r>
        <w:rPr>
          <w:rFonts w:ascii="Times New Roman" w:eastAsiaTheme="minorEastAsia" w:hAnsi="Times New Roman"/>
          <w:szCs w:val="21"/>
          <w:lang w:eastAsia="zh"/>
        </w:rPr>
        <w:t>-Life cycle assessment-Critical review processes and reviewer competencies:</w:t>
      </w:r>
      <w:r>
        <w:rPr>
          <w:rFonts w:ascii="Times New Roman" w:eastAsiaTheme="minorEastAsia" w:hint="eastAsia"/>
          <w:szCs w:val="21"/>
        </w:rPr>
        <w:t xml:space="preserve"> </w:t>
      </w:r>
      <w:r>
        <w:rPr>
          <w:rFonts w:ascii="Times New Roman" w:eastAsiaTheme="minorEastAsia" w:hAnsi="Times New Roman"/>
          <w:szCs w:val="21"/>
          <w:lang w:eastAsia="zh"/>
        </w:rPr>
        <w:t>Ad</w:t>
      </w:r>
      <w:r>
        <w:rPr>
          <w:rFonts w:ascii="Times New Roman" w:eastAsiaTheme="minorEastAsia" w:hint="eastAsia"/>
          <w:szCs w:val="21"/>
        </w:rPr>
        <w:t>d</w:t>
      </w:r>
      <w:r>
        <w:rPr>
          <w:rFonts w:ascii="Times New Roman" w:eastAsiaTheme="minorEastAsia" w:hAnsi="Times New Roman"/>
          <w:szCs w:val="21"/>
          <w:lang w:eastAsia="zh"/>
        </w:rPr>
        <w:t>itional requirements and guidelines to ISO 14044:</w:t>
      </w:r>
      <w:r>
        <w:rPr>
          <w:rFonts w:ascii="Times New Roman" w:eastAsiaTheme="minorEastAsia" w:hint="eastAsia"/>
          <w:szCs w:val="21"/>
        </w:rPr>
        <w:t xml:space="preserve"> </w:t>
      </w:r>
      <w:r>
        <w:rPr>
          <w:rFonts w:ascii="Times New Roman" w:eastAsiaTheme="minorEastAsia" w:hAnsi="Times New Roman"/>
          <w:szCs w:val="21"/>
          <w:lang w:eastAsia="zh"/>
        </w:rPr>
        <w:t>2006</w:t>
      </w:r>
    </w:p>
    <w:p w14:paraId="068F6739" w14:textId="77777777" w:rsidR="00C93164" w:rsidRDefault="00000000">
      <w:pPr>
        <w:tabs>
          <w:tab w:val="center" w:pos="4201"/>
          <w:tab w:val="right" w:leader="dot" w:pos="9298"/>
        </w:tabs>
        <w:autoSpaceDE w:val="0"/>
        <w:autoSpaceDN w:val="0"/>
        <w:spacing w:line="360" w:lineRule="exact"/>
        <w:ind w:firstLine="420"/>
      </w:pPr>
      <w:r>
        <w:rPr>
          <w:rFonts w:ascii="Times New Roman" w:eastAsiaTheme="minorEastAsia" w:hAnsi="Times New Roman"/>
          <w:kern w:val="0"/>
          <w:szCs w:val="21"/>
        </w:rPr>
        <w:t>DL/T 404 3.6kV</w:t>
      </w:r>
      <w:r>
        <w:rPr>
          <w:rFonts w:ascii="Times New Roman" w:eastAsiaTheme="minorEastAsia" w:hAnsi="Times New Roman"/>
          <w:kern w:val="0"/>
          <w:szCs w:val="21"/>
        </w:rPr>
        <w:t>～</w:t>
      </w:r>
      <w:r>
        <w:rPr>
          <w:rFonts w:ascii="Times New Roman" w:eastAsiaTheme="minorEastAsia" w:hAnsi="Times New Roman"/>
          <w:kern w:val="0"/>
          <w:szCs w:val="21"/>
        </w:rPr>
        <w:t xml:space="preserve">40.5kV </w:t>
      </w:r>
      <w:r>
        <w:rPr>
          <w:rFonts w:ascii="Times New Roman" w:eastAsiaTheme="minorEastAsia" w:hAnsi="Times New Roman"/>
          <w:kern w:val="0"/>
          <w:szCs w:val="21"/>
        </w:rPr>
        <w:t>交流金属封闭开关设备和控制设备</w:t>
      </w:r>
    </w:p>
    <w:p w14:paraId="4677BB2A" w14:textId="77777777" w:rsidR="00C93164" w:rsidRDefault="00000000">
      <w:pPr>
        <w:pStyle w:val="14"/>
        <w:spacing w:before="312" w:after="312"/>
        <w:rPr>
          <w:rFonts w:ascii="宋体" w:hAnsi="宋体" w:hint="eastAsia"/>
          <w:szCs w:val="21"/>
        </w:rPr>
      </w:pPr>
      <w:bookmarkStart w:id="31" w:name="_Toc513731115"/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标准实施措施说明</w:t>
      </w:r>
      <w:bookmarkEnd w:id="31"/>
    </w:p>
    <w:p w14:paraId="395D7034" w14:textId="378EC47B" w:rsidR="00CE679E" w:rsidRPr="00CE679E" w:rsidRDefault="00CE679E" w:rsidP="008A671C">
      <w:pPr>
        <w:pStyle w:val="af6"/>
        <w:ind w:firstLineChars="200" w:firstLine="420"/>
        <w:rPr>
          <w:rFonts w:ascii="Times New Roman" w:eastAsiaTheme="minorEastAsia" w:hAnsi="Times New Roman" w:cs="Times New Roman" w:hint="eastAsia"/>
          <w:kern w:val="2"/>
          <w:sz w:val="21"/>
          <w:szCs w:val="21"/>
        </w:rPr>
      </w:pPr>
      <w:r w:rsidRPr="00CE679E"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本标准</w:t>
      </w:r>
      <w:r w:rsidR="008A671C" w:rsidRPr="008A671C"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发布后，</w:t>
      </w:r>
      <w:r w:rsidR="00544BD8" w:rsidRPr="00544BD8">
        <w:rPr>
          <w:rFonts w:ascii="Times New Roman" w:eastAsiaTheme="minorEastAsia" w:hAnsi="Times New Roman" w:cs="Times New Roman" w:hint="eastAsia"/>
          <w:kern w:val="2"/>
          <w:sz w:val="21"/>
          <w:szCs w:val="21"/>
        </w:rPr>
        <w:t>将采取发布消息、撰写技术文章及组织宣贯会等方式，推动其在电力行业的宣贯与应用，确保使用者及时掌握。</w:t>
      </w:r>
    </w:p>
    <w:p w14:paraId="35793CF4" w14:textId="77777777" w:rsidR="00C93164" w:rsidRDefault="00C93164">
      <w:pPr>
        <w:tabs>
          <w:tab w:val="left" w:pos="1097"/>
        </w:tabs>
        <w:jc w:val="left"/>
        <w:rPr>
          <w:rFonts w:hint="eastAsia"/>
        </w:rPr>
      </w:pPr>
    </w:p>
    <w:sectPr w:rsidR="00C93164" w:rsidSect="002B39FC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9072" w14:textId="77777777" w:rsidR="00991D3B" w:rsidRDefault="00991D3B">
      <w:r>
        <w:separator/>
      </w:r>
    </w:p>
  </w:endnote>
  <w:endnote w:type="continuationSeparator" w:id="0">
    <w:p w14:paraId="5AC086EB" w14:textId="77777777" w:rsidR="00991D3B" w:rsidRDefault="0099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HGB1_CNKI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0189" w14:textId="77777777" w:rsidR="00C93164" w:rsidRDefault="00000000">
    <w:pPr>
      <w:pStyle w:val="afff1"/>
      <w:jc w:val="center"/>
    </w:pPr>
    <w:r>
      <w:rPr>
        <w:kern w:val="2"/>
      </w:rPr>
      <w:fldChar w:fldCharType="begin"/>
    </w:r>
    <w:r>
      <w:rPr>
        <w:rStyle w:val="afb"/>
      </w:rPr>
      <w:instrText xml:space="preserve"> PAGE </w:instrText>
    </w:r>
    <w:r>
      <w:rPr>
        <w:kern w:val="2"/>
      </w:rPr>
      <w:fldChar w:fldCharType="separate"/>
    </w:r>
    <w:r>
      <w:rPr>
        <w:rStyle w:val="afb"/>
      </w:rPr>
      <w:t>26</w:t>
    </w:r>
    <w:r>
      <w:rPr>
        <w:kern w:val="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550E" w14:textId="77777777" w:rsidR="00C93164" w:rsidRDefault="00000000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D9676" wp14:editId="1321E52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4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60595E" w14:textId="77777777" w:rsidR="00C93164" w:rsidRDefault="00000000">
                          <w:pPr>
                            <w:pStyle w:val="af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D9676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9.15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" filled="f" stroked="f">
              <v:textbox style="mso-fit-shape-to-text:t" inset="0,0,0,0">
                <w:txbxContent>
                  <w:p w14:paraId="1660595E" w14:textId="77777777" w:rsidR="00C93164" w:rsidRDefault="00000000">
                    <w:pPr>
                      <w:pStyle w:val="af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BCB8" w14:textId="77777777" w:rsidR="00C93164" w:rsidRDefault="00000000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t>3</w:t>
    </w:r>
    <w:r>
      <w:rPr>
        <w:lang w:val="zh-CN"/>
      </w:rPr>
      <w:fldChar w:fldCharType="end"/>
    </w:r>
  </w:p>
  <w:p w14:paraId="6CE1DB4C" w14:textId="77777777" w:rsidR="00C93164" w:rsidRDefault="00C9316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945B" w14:textId="77777777" w:rsidR="00991D3B" w:rsidRDefault="00991D3B">
      <w:r>
        <w:separator/>
      </w:r>
    </w:p>
  </w:footnote>
  <w:footnote w:type="continuationSeparator" w:id="0">
    <w:p w14:paraId="103E079F" w14:textId="77777777" w:rsidR="00991D3B" w:rsidRDefault="0099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9688" w14:textId="77777777" w:rsidR="00C93164" w:rsidRDefault="00000000">
    <w:pPr>
      <w:pStyle w:val="aff4"/>
      <w:spacing w:before="120" w:after="120"/>
      <w:jc w:val="both"/>
    </w:pPr>
    <w:r>
      <w:t>Q/</w:t>
    </w:r>
    <w:r>
      <w:rPr>
        <w:rFonts w:hint="eastAsia"/>
      </w:rPr>
      <w:t>GDW</w:t>
    </w:r>
    <w:r>
      <w:rPr>
        <w:rFonts w:hAnsi="宋体" w:hint="eastAsia"/>
      </w:rPr>
      <w:t xml:space="preserve"> </w:t>
    </w:r>
    <w:r>
      <w:rPr>
        <w:rFonts w:hAnsi="黑体" w:hint="eastAsia"/>
      </w:rPr>
      <w:t>XX-XXX</w:t>
    </w:r>
    <w:r>
      <w:rPr>
        <w:rFonts w:hAnsi="黑体"/>
      </w:rPr>
      <w:t>—</w:t>
    </w:r>
    <w:r>
      <w:rPr>
        <w:rFonts w:hAnsi="黑体" w:hint="eastAsia"/>
      </w:rPr>
      <w:t>2012-1XXXX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2AC7" w14:textId="77777777" w:rsidR="00C93164" w:rsidRDefault="00000000">
    <w:pPr>
      <w:pStyle w:val="aff4"/>
      <w:wordWrap w:val="0"/>
    </w:pPr>
    <w:r>
      <w:rPr>
        <w:rFonts w:hint="eastAsia"/>
      </w:rPr>
      <w:t>T</w:t>
    </w:r>
    <w:r>
      <w:t>/</w:t>
    </w:r>
    <w:r>
      <w:rPr>
        <w:rFonts w:hint="eastAsia"/>
      </w:rPr>
      <w:t>CSEE</w:t>
    </w:r>
    <w:r>
      <w:rPr>
        <w:rFonts w:hAnsi="黑体" w:hint="eastAsia"/>
      </w:rPr>
      <w:t xml:space="preserve"> XXXX-YYYY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B1D3" w14:textId="77777777" w:rsidR="00C93164" w:rsidRDefault="00C93164">
    <w:pPr>
      <w:pStyle w:val="aff4"/>
      <w:wordWrap w:val="0"/>
      <w:spacing w:before="120"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6AF10" w14:textId="77777777" w:rsidR="00C93164" w:rsidRDefault="00C93164">
    <w:pPr>
      <w:pStyle w:val="af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426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4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nothing"/>
      <w:lvlText w:val="%1.%2.%3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2A8F7113"/>
    <w:multiLevelType w:val="multilevel"/>
    <w:tmpl w:val="2A8F7113"/>
    <w:lvl w:ilvl="0">
      <w:start w:val="1"/>
      <w:numFmt w:val="upperLetter"/>
      <w:pStyle w:val="a1"/>
      <w:suff w:val="space"/>
      <w:lvlText w:val="%1"/>
      <w:lvlJc w:val="left"/>
      <w:pPr>
        <w:ind w:left="0" w:firstLine="0"/>
      </w:pPr>
      <w:rPr>
        <w:rFonts w:hint="eastAsia"/>
        <w:color w:val="FFFFFF"/>
        <w:sz w:val="2"/>
      </w:rPr>
    </w:lvl>
    <w:lvl w:ilvl="1">
      <w:start w:val="1"/>
      <w:numFmt w:val="decimal"/>
      <w:suff w:val="nothing"/>
      <w:lvlText w:val="图%1.%2　"/>
      <w:lvlJc w:val="left"/>
      <w:pPr>
        <w:ind w:left="0" w:firstLine="0"/>
      </w:pPr>
      <w:rPr>
        <w:rFonts w:eastAsia="黑体" w:hint="eastAsia"/>
        <w:b w:val="0"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 w15:restartNumberingAfterBreak="0">
    <w:nsid w:val="2C5917C3"/>
    <w:multiLevelType w:val="multilevel"/>
    <w:tmpl w:val="2C5917C3"/>
    <w:lvl w:ilvl="0">
      <w:start w:val="1"/>
      <w:numFmt w:val="none"/>
      <w:pStyle w:val="a2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3" w15:restartNumberingAfterBreak="0">
    <w:nsid w:val="339636FA"/>
    <w:multiLevelType w:val="multilevel"/>
    <w:tmpl w:val="339636FA"/>
    <w:lvl w:ilvl="0">
      <w:start w:val="1"/>
      <w:numFmt w:val="lowerLetter"/>
      <w:lvlText w:val="%1）"/>
      <w:lvlJc w:val="left"/>
      <w:pPr>
        <w:ind w:left="100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9" w:hanging="420"/>
      </w:pPr>
    </w:lvl>
    <w:lvl w:ilvl="2">
      <w:start w:val="1"/>
      <w:numFmt w:val="lowerRoman"/>
      <w:lvlText w:val="%3."/>
      <w:lvlJc w:val="right"/>
      <w:pPr>
        <w:ind w:left="1909" w:hanging="420"/>
      </w:pPr>
    </w:lvl>
    <w:lvl w:ilvl="3">
      <w:start w:val="1"/>
      <w:numFmt w:val="decimal"/>
      <w:lvlText w:val="%4."/>
      <w:lvlJc w:val="left"/>
      <w:pPr>
        <w:ind w:left="2329" w:hanging="420"/>
      </w:pPr>
    </w:lvl>
    <w:lvl w:ilvl="4">
      <w:start w:val="1"/>
      <w:numFmt w:val="lowerLetter"/>
      <w:lvlText w:val="%5)"/>
      <w:lvlJc w:val="left"/>
      <w:pPr>
        <w:ind w:left="2749" w:hanging="420"/>
      </w:pPr>
    </w:lvl>
    <w:lvl w:ilvl="5">
      <w:start w:val="1"/>
      <w:numFmt w:val="lowerRoman"/>
      <w:lvlText w:val="%6."/>
      <w:lvlJc w:val="right"/>
      <w:pPr>
        <w:ind w:left="3169" w:hanging="420"/>
      </w:pPr>
    </w:lvl>
    <w:lvl w:ilvl="6">
      <w:start w:val="1"/>
      <w:numFmt w:val="decimal"/>
      <w:lvlText w:val="%7."/>
      <w:lvlJc w:val="left"/>
      <w:pPr>
        <w:ind w:left="3589" w:hanging="420"/>
      </w:pPr>
    </w:lvl>
    <w:lvl w:ilvl="7">
      <w:start w:val="1"/>
      <w:numFmt w:val="lowerLetter"/>
      <w:lvlText w:val="%8)"/>
      <w:lvlJc w:val="left"/>
      <w:pPr>
        <w:ind w:left="4009" w:hanging="420"/>
      </w:pPr>
    </w:lvl>
    <w:lvl w:ilvl="8">
      <w:start w:val="1"/>
      <w:numFmt w:val="lowerRoman"/>
      <w:lvlText w:val="%9."/>
      <w:lvlJc w:val="right"/>
      <w:pPr>
        <w:ind w:left="4429" w:hanging="420"/>
      </w:pPr>
    </w:lvl>
  </w:abstractNum>
  <w:abstractNum w:abstractNumId="4" w15:restartNumberingAfterBreak="0">
    <w:nsid w:val="44C50F90"/>
    <w:multiLevelType w:val="multilevel"/>
    <w:tmpl w:val="44C50F90"/>
    <w:lvl w:ilvl="0">
      <w:start w:val="1"/>
      <w:numFmt w:val="lowerLetter"/>
      <w:pStyle w:val="a3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5" w15:restartNumberingAfterBreak="0">
    <w:nsid w:val="60B55DC2"/>
    <w:multiLevelType w:val="multilevel"/>
    <w:tmpl w:val="60B55DC2"/>
    <w:lvl w:ilvl="0">
      <w:start w:val="1"/>
      <w:numFmt w:val="upperLetter"/>
      <w:pStyle w:val="a4"/>
      <w:lvlText w:val="%1"/>
      <w:lvlJc w:val="left"/>
      <w:pPr>
        <w:tabs>
          <w:tab w:val="left" w:pos="0"/>
        </w:tabs>
        <w:ind w:left="0" w:firstLine="0"/>
      </w:pPr>
      <w:rPr>
        <w:rFonts w:hint="eastAsia"/>
        <w:color w:val="FFFFFF"/>
        <w:sz w:val="2"/>
      </w:rPr>
    </w:lvl>
    <w:lvl w:ilvl="1">
      <w:start w:val="1"/>
      <w:numFmt w:val="decimal"/>
      <w:suff w:val="nothing"/>
      <w:lvlText w:val="表%1.%2　"/>
      <w:lvlJc w:val="left"/>
      <w:pPr>
        <w:ind w:left="0" w:firstLine="0"/>
      </w:pPr>
      <w:rPr>
        <w:rFonts w:ascii="黑体" w:eastAsia="黑体" w:hAnsi="黑体" w:hint="eastAsia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</w:rPr>
    </w:lvl>
    <w:lvl w:ilvl="2">
      <w:start w:val="1"/>
      <w:numFmt w:val="none"/>
      <w:suff w:val="nothing"/>
      <w:lvlText w:val="表%1.%2　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6" w15:restartNumberingAfterBreak="0">
    <w:nsid w:val="657D3FBC"/>
    <w:multiLevelType w:val="multilevel"/>
    <w:tmpl w:val="657D3FBC"/>
    <w:lvl w:ilvl="0">
      <w:start w:val="1"/>
      <w:numFmt w:val="upperLetter"/>
      <w:pStyle w:val="a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655573074">
    <w:abstractNumId w:val="0"/>
  </w:num>
  <w:num w:numId="2" w16cid:durableId="1666475874">
    <w:abstractNumId w:val="6"/>
  </w:num>
  <w:num w:numId="3" w16cid:durableId="1345479497">
    <w:abstractNumId w:val="5"/>
  </w:num>
  <w:num w:numId="4" w16cid:durableId="1892115385">
    <w:abstractNumId w:val="2"/>
  </w:num>
  <w:num w:numId="5" w16cid:durableId="2050835989">
    <w:abstractNumId w:val="1"/>
  </w:num>
  <w:num w:numId="6" w16cid:durableId="84424789">
    <w:abstractNumId w:val="4"/>
  </w:num>
  <w:num w:numId="7" w16cid:durableId="793520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yMWNjNTRkNDRjNzU3ZGQ0MjMzYmU0YWFjZTkwNDAifQ=="/>
  </w:docVars>
  <w:rsids>
    <w:rsidRoot w:val="001D4D34"/>
    <w:rsid w:val="000029C5"/>
    <w:rsid w:val="00016764"/>
    <w:rsid w:val="0002383F"/>
    <w:rsid w:val="000307A1"/>
    <w:rsid w:val="00050379"/>
    <w:rsid w:val="000802D6"/>
    <w:rsid w:val="000B475C"/>
    <w:rsid w:val="000B6578"/>
    <w:rsid w:val="000F5D8A"/>
    <w:rsid w:val="00103C1A"/>
    <w:rsid w:val="00106B59"/>
    <w:rsid w:val="001A1AD1"/>
    <w:rsid w:val="001A3E5E"/>
    <w:rsid w:val="001A4BB7"/>
    <w:rsid w:val="001C05B7"/>
    <w:rsid w:val="001D4D34"/>
    <w:rsid w:val="001F0C68"/>
    <w:rsid w:val="001F553B"/>
    <w:rsid w:val="0021442C"/>
    <w:rsid w:val="0023126C"/>
    <w:rsid w:val="002400D2"/>
    <w:rsid w:val="00247103"/>
    <w:rsid w:val="00294E81"/>
    <w:rsid w:val="002B39FC"/>
    <w:rsid w:val="002E5249"/>
    <w:rsid w:val="00305D44"/>
    <w:rsid w:val="00320884"/>
    <w:rsid w:val="003631D3"/>
    <w:rsid w:val="003830BE"/>
    <w:rsid w:val="00390EE5"/>
    <w:rsid w:val="003C6FF9"/>
    <w:rsid w:val="003F683B"/>
    <w:rsid w:val="003F728B"/>
    <w:rsid w:val="00442EEC"/>
    <w:rsid w:val="004503D6"/>
    <w:rsid w:val="004B00B2"/>
    <w:rsid w:val="004B1AD4"/>
    <w:rsid w:val="004D422C"/>
    <w:rsid w:val="005109DE"/>
    <w:rsid w:val="00514B31"/>
    <w:rsid w:val="00536D89"/>
    <w:rsid w:val="00544BD8"/>
    <w:rsid w:val="00547422"/>
    <w:rsid w:val="00560051"/>
    <w:rsid w:val="00567C1C"/>
    <w:rsid w:val="0057765D"/>
    <w:rsid w:val="005A01C4"/>
    <w:rsid w:val="005A10F9"/>
    <w:rsid w:val="005F736F"/>
    <w:rsid w:val="00601C8A"/>
    <w:rsid w:val="006112DA"/>
    <w:rsid w:val="00656E23"/>
    <w:rsid w:val="00681C85"/>
    <w:rsid w:val="00694102"/>
    <w:rsid w:val="006B2C25"/>
    <w:rsid w:val="006D50BD"/>
    <w:rsid w:val="006E4C3B"/>
    <w:rsid w:val="00752C39"/>
    <w:rsid w:val="007A77E3"/>
    <w:rsid w:val="007B4469"/>
    <w:rsid w:val="007E3428"/>
    <w:rsid w:val="007F30CA"/>
    <w:rsid w:val="00801778"/>
    <w:rsid w:val="00802489"/>
    <w:rsid w:val="008050C3"/>
    <w:rsid w:val="00806B9E"/>
    <w:rsid w:val="00842298"/>
    <w:rsid w:val="0086068B"/>
    <w:rsid w:val="00870975"/>
    <w:rsid w:val="00890058"/>
    <w:rsid w:val="00892D91"/>
    <w:rsid w:val="008A671C"/>
    <w:rsid w:val="008D4D71"/>
    <w:rsid w:val="008F287C"/>
    <w:rsid w:val="008F60F3"/>
    <w:rsid w:val="00904D73"/>
    <w:rsid w:val="009375BB"/>
    <w:rsid w:val="00964128"/>
    <w:rsid w:val="00984794"/>
    <w:rsid w:val="00991D3B"/>
    <w:rsid w:val="009A3DC7"/>
    <w:rsid w:val="009D1A62"/>
    <w:rsid w:val="009F6BFC"/>
    <w:rsid w:val="00A53DF5"/>
    <w:rsid w:val="00A629B0"/>
    <w:rsid w:val="00A80431"/>
    <w:rsid w:val="00AA1EC4"/>
    <w:rsid w:val="00AD321C"/>
    <w:rsid w:val="00AF1819"/>
    <w:rsid w:val="00B1457B"/>
    <w:rsid w:val="00B2672D"/>
    <w:rsid w:val="00B52607"/>
    <w:rsid w:val="00BB69DD"/>
    <w:rsid w:val="00BB7B87"/>
    <w:rsid w:val="00BC337C"/>
    <w:rsid w:val="00BD3DA7"/>
    <w:rsid w:val="00BD7943"/>
    <w:rsid w:val="00BF3DA3"/>
    <w:rsid w:val="00C320DA"/>
    <w:rsid w:val="00C36E76"/>
    <w:rsid w:val="00C43C7A"/>
    <w:rsid w:val="00C93164"/>
    <w:rsid w:val="00CA03D6"/>
    <w:rsid w:val="00CA67D7"/>
    <w:rsid w:val="00CE679E"/>
    <w:rsid w:val="00CF40C3"/>
    <w:rsid w:val="00DC114C"/>
    <w:rsid w:val="00E020A8"/>
    <w:rsid w:val="00E11A6E"/>
    <w:rsid w:val="00E62369"/>
    <w:rsid w:val="00E7065E"/>
    <w:rsid w:val="00E7646D"/>
    <w:rsid w:val="00EA4457"/>
    <w:rsid w:val="00EA4720"/>
    <w:rsid w:val="00EC20B7"/>
    <w:rsid w:val="00EE1AFE"/>
    <w:rsid w:val="00F041AA"/>
    <w:rsid w:val="00F11837"/>
    <w:rsid w:val="00F33585"/>
    <w:rsid w:val="00F52815"/>
    <w:rsid w:val="00F7075F"/>
    <w:rsid w:val="00FF6C28"/>
    <w:rsid w:val="083A1570"/>
    <w:rsid w:val="0CC64AEC"/>
    <w:rsid w:val="0FED0B2A"/>
    <w:rsid w:val="131C1B91"/>
    <w:rsid w:val="2DB773A6"/>
    <w:rsid w:val="3B231654"/>
    <w:rsid w:val="53972460"/>
    <w:rsid w:val="5590756D"/>
    <w:rsid w:val="5FF13C7D"/>
    <w:rsid w:val="643C3B33"/>
    <w:rsid w:val="7A3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3B771"/>
  <w15:docId w15:val="{1AFD67FF-4D44-482E-9543-535D3F2C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qFormat="1"/>
    <w:lsdException w:name="footnote text" w:semiHidden="1" w:unhideWhenUsed="1"/>
    <w:lsdException w:name="annotation text" w:uiPriority="99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7">
    <w:name w:val="Normal"/>
    <w:next w:val="a8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7"/>
    <w:next w:val="a7"/>
    <w:link w:val="10"/>
    <w:uiPriority w:val="9"/>
    <w:qFormat/>
    <w:locked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8">
    <w:name w:val="Body Text"/>
    <w:basedOn w:val="a7"/>
    <w:next w:val="Default"/>
    <w:link w:val="ac"/>
    <w:uiPriority w:val="99"/>
    <w:unhideWhenUsed/>
    <w:qFormat/>
    <w:pPr>
      <w:spacing w:after="120"/>
    </w:pPr>
    <w:rPr>
      <w:rFonts w:ascii="Times New Roman" w:hAnsi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Indent"/>
    <w:basedOn w:val="a7"/>
    <w:next w:val="a7"/>
    <w:qFormat/>
    <w:pPr>
      <w:ind w:firstLineChars="200" w:firstLine="420"/>
    </w:pPr>
  </w:style>
  <w:style w:type="paragraph" w:styleId="ae">
    <w:name w:val="annotation text"/>
    <w:basedOn w:val="a7"/>
    <w:link w:val="af"/>
    <w:uiPriority w:val="99"/>
    <w:unhideWhenUsed/>
    <w:pPr>
      <w:jc w:val="left"/>
    </w:pPr>
  </w:style>
  <w:style w:type="paragraph" w:styleId="TOC3">
    <w:name w:val="toc 3"/>
    <w:basedOn w:val="TOC2"/>
    <w:next w:val="a7"/>
    <w:uiPriority w:val="39"/>
    <w:qFormat/>
    <w:locked/>
    <w:pPr>
      <w:ind w:leftChars="100" w:left="100"/>
    </w:pPr>
  </w:style>
  <w:style w:type="paragraph" w:styleId="TOC2">
    <w:name w:val="toc 2"/>
    <w:basedOn w:val="TOC1"/>
    <w:next w:val="a7"/>
    <w:uiPriority w:val="39"/>
    <w:qFormat/>
    <w:locked/>
  </w:style>
  <w:style w:type="paragraph" w:styleId="TOC1">
    <w:name w:val="toc 1"/>
    <w:basedOn w:val="a7"/>
    <w:next w:val="a7"/>
    <w:uiPriority w:val="39"/>
    <w:locked/>
    <w:pPr>
      <w:tabs>
        <w:tab w:val="right" w:leader="dot" w:pos="9241"/>
      </w:tabs>
      <w:spacing w:beforeLines="25" w:before="25" w:afterLines="25" w:after="25"/>
      <w:jc w:val="left"/>
    </w:pPr>
    <w:rPr>
      <w:rFonts w:ascii="宋体" w:hAnsi="Times New Roman"/>
      <w:szCs w:val="21"/>
    </w:rPr>
  </w:style>
  <w:style w:type="paragraph" w:styleId="af0">
    <w:name w:val="Balloon Text"/>
    <w:basedOn w:val="a7"/>
    <w:link w:val="af1"/>
    <w:uiPriority w:val="99"/>
    <w:qFormat/>
    <w:rPr>
      <w:kern w:val="0"/>
      <w:sz w:val="18"/>
      <w:szCs w:val="18"/>
    </w:rPr>
  </w:style>
  <w:style w:type="paragraph" w:styleId="af2">
    <w:name w:val="footer"/>
    <w:basedOn w:val="a7"/>
    <w:link w:val="af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4">
    <w:name w:val="header"/>
    <w:basedOn w:val="a7"/>
    <w:link w:val="af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6">
    <w:name w:val="Normal (Web)"/>
    <w:basedOn w:val="a7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7">
    <w:name w:val="Title"/>
    <w:basedOn w:val="a7"/>
    <w:next w:val="a7"/>
    <w:link w:val="af8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9">
    <w:name w:val="annotation subject"/>
    <w:basedOn w:val="ae"/>
    <w:next w:val="ae"/>
    <w:link w:val="afa"/>
    <w:uiPriority w:val="99"/>
    <w:unhideWhenUsed/>
    <w:qFormat/>
    <w:rPr>
      <w:b/>
      <w:bCs/>
    </w:rPr>
  </w:style>
  <w:style w:type="character" w:styleId="afb">
    <w:name w:val="page number"/>
    <w:qFormat/>
    <w:rPr>
      <w:rFonts w:ascii="Times New Roman" w:eastAsia="宋体" w:hAnsi="Times New Roman"/>
      <w:sz w:val="18"/>
    </w:rPr>
  </w:style>
  <w:style w:type="character" w:styleId="afc">
    <w:name w:val="FollowedHyperlink"/>
    <w:basedOn w:val="a9"/>
    <w:uiPriority w:val="99"/>
    <w:unhideWhenUsed/>
    <w:qFormat/>
    <w:rPr>
      <w:color w:val="800080"/>
      <w:u w:val="single"/>
    </w:rPr>
  </w:style>
  <w:style w:type="character" w:styleId="afd">
    <w:name w:val="Hyperlink"/>
    <w:uiPriority w:val="99"/>
    <w:qFormat/>
    <w:rPr>
      <w:rFonts w:cs="Times New Roman"/>
      <w:color w:val="0563C1"/>
      <w:u w:val="single"/>
    </w:rPr>
  </w:style>
  <w:style w:type="character" w:styleId="afe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basedOn w:val="a9"/>
    <w:link w:val="1"/>
    <w:uiPriority w:val="9"/>
    <w:qFormat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af">
    <w:name w:val="批注文字 字符"/>
    <w:link w:val="ae"/>
    <w:uiPriority w:val="99"/>
    <w:rPr>
      <w:kern w:val="2"/>
      <w:sz w:val="21"/>
      <w:szCs w:val="22"/>
    </w:rPr>
  </w:style>
  <w:style w:type="character" w:customStyle="1" w:styleId="afa">
    <w:name w:val="批注主题 字符"/>
    <w:link w:val="af9"/>
    <w:uiPriority w:val="99"/>
    <w:semiHidden/>
    <w:qFormat/>
    <w:rPr>
      <w:b/>
      <w:bCs/>
      <w:kern w:val="2"/>
      <w:sz w:val="21"/>
      <w:szCs w:val="22"/>
    </w:rPr>
  </w:style>
  <w:style w:type="character" w:customStyle="1" w:styleId="af1">
    <w:name w:val="批注框文本 字符"/>
    <w:link w:val="af0"/>
    <w:uiPriority w:val="99"/>
    <w:semiHidden/>
    <w:qFormat/>
    <w:locked/>
    <w:rPr>
      <w:rFonts w:cs="Times New Roman"/>
      <w:sz w:val="18"/>
      <w:szCs w:val="18"/>
    </w:rPr>
  </w:style>
  <w:style w:type="character" w:customStyle="1" w:styleId="af3">
    <w:name w:val="页脚 字符"/>
    <w:link w:val="af2"/>
    <w:uiPriority w:val="99"/>
    <w:qFormat/>
    <w:locked/>
    <w:rPr>
      <w:rFonts w:ascii="Calibri" w:eastAsia="宋体" w:hAnsi="Calibri" w:cs="Times New Roman"/>
      <w:kern w:val="0"/>
      <w:sz w:val="18"/>
      <w:szCs w:val="18"/>
    </w:rPr>
  </w:style>
  <w:style w:type="character" w:customStyle="1" w:styleId="af5">
    <w:name w:val="页眉 字符"/>
    <w:link w:val="af4"/>
    <w:uiPriority w:val="99"/>
    <w:qFormat/>
    <w:locked/>
    <w:rPr>
      <w:rFonts w:ascii="Calibri" w:eastAsia="宋体" w:hAnsi="Calibri" w:cs="Times New Roman"/>
      <w:kern w:val="0"/>
      <w:sz w:val="18"/>
      <w:szCs w:val="18"/>
    </w:rPr>
  </w:style>
  <w:style w:type="character" w:customStyle="1" w:styleId="af8">
    <w:name w:val="标题 字符"/>
    <w:link w:val="af7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7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修订1"/>
    <w:hidden/>
    <w:uiPriority w:val="99"/>
    <w:unhideWhenUsed/>
    <w:qFormat/>
    <w:rPr>
      <w:rFonts w:ascii="Calibri" w:hAnsi="Calibri" w:cs="Calibri"/>
      <w:kern w:val="2"/>
      <w:sz w:val="21"/>
      <w:szCs w:val="22"/>
    </w:rPr>
  </w:style>
  <w:style w:type="character" w:customStyle="1" w:styleId="ac">
    <w:name w:val="正文文本 字符"/>
    <w:basedOn w:val="a9"/>
    <w:link w:val="a8"/>
    <w:uiPriority w:val="99"/>
    <w:rPr>
      <w:rFonts w:ascii="Times New Roman" w:hAnsi="Times New Roman" w:cs="Times New Roman"/>
      <w:kern w:val="2"/>
      <w:sz w:val="21"/>
    </w:rPr>
  </w:style>
  <w:style w:type="paragraph" w:customStyle="1" w:styleId="aff">
    <w:name w:val="封面一致性程度标识"/>
    <w:qFormat/>
    <w:pPr>
      <w:spacing w:before="680" w:line="400" w:lineRule="exact"/>
      <w:jc w:val="center"/>
    </w:pPr>
    <w:rPr>
      <w:rFonts w:ascii="黑体" w:eastAsia="黑体" w:hAnsi="黑体"/>
      <w:sz w:val="28"/>
    </w:rPr>
  </w:style>
  <w:style w:type="paragraph" w:customStyle="1" w:styleId="aff0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GB">
    <w:name w:val="发布GB"/>
    <w:basedOn w:val="a8"/>
    <w:qFormat/>
    <w:pPr>
      <w:spacing w:after="0" w:line="280" w:lineRule="exact"/>
      <w:ind w:left="284"/>
    </w:pPr>
    <w:rPr>
      <w:rFonts w:ascii="黑体" w:eastAsia="黑体"/>
      <w:kern w:val="3"/>
      <w:sz w:val="28"/>
    </w:rPr>
  </w:style>
  <w:style w:type="paragraph" w:customStyle="1" w:styleId="aff1">
    <w:name w:val="二级无标题条"/>
    <w:basedOn w:val="aff2"/>
    <w:qFormat/>
    <w:pPr>
      <w:spacing w:beforeLines="0" w:before="0" w:afterLines="0" w:after="0"/>
    </w:pPr>
    <w:rPr>
      <w:rFonts w:eastAsia="宋体"/>
    </w:rPr>
  </w:style>
  <w:style w:type="paragraph" w:customStyle="1" w:styleId="aff2">
    <w:name w:val="二级条标题"/>
    <w:basedOn w:val="a0"/>
    <w:next w:val="aff3"/>
    <w:qFormat/>
    <w:pPr>
      <w:numPr>
        <w:ilvl w:val="0"/>
        <w:numId w:val="0"/>
      </w:numPr>
      <w:spacing w:before="50" w:after="50"/>
      <w:ind w:left="568"/>
      <w:outlineLvl w:val="9"/>
    </w:pPr>
  </w:style>
  <w:style w:type="paragraph" w:customStyle="1" w:styleId="a0">
    <w:name w:val="一级条标题"/>
    <w:next w:val="aff3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ff3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4">
    <w:name w:val="标准书眉_奇数页"/>
    <w:next w:val="a7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">
    <w:name w:val="章标题"/>
    <w:next w:val="aff3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ff5">
    <w:name w:val="标准书眉一"/>
    <w:qFormat/>
    <w:pPr>
      <w:jc w:val="both"/>
    </w:pPr>
  </w:style>
  <w:style w:type="paragraph" w:customStyle="1" w:styleId="aff6">
    <w:name w:val="封面标准代替信息"/>
    <w:basedOn w:val="2"/>
    <w:qFormat/>
    <w:pPr>
      <w:spacing w:before="0" w:line="360" w:lineRule="exact"/>
    </w:pPr>
    <w:rPr>
      <w:rFonts w:hAnsi="黑体"/>
      <w:sz w:val="21"/>
    </w:rPr>
  </w:style>
  <w:style w:type="paragraph" w:customStyle="1" w:styleId="2">
    <w:name w:val="封面标准号2"/>
    <w:basedOn w:val="13"/>
    <w:qFormat/>
    <w:pPr>
      <w:adjustRightInd w:val="0"/>
      <w:spacing w:before="357" w:line="280" w:lineRule="exact"/>
    </w:pPr>
  </w:style>
  <w:style w:type="paragraph" w:customStyle="1" w:styleId="13">
    <w:name w:val="封面标准号1"/>
    <w:qFormat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eastAsia="黑体"/>
      <w:sz w:val="28"/>
    </w:rPr>
  </w:style>
  <w:style w:type="paragraph" w:customStyle="1" w:styleId="aff7">
    <w:name w:val="名称"/>
    <w:basedOn w:val="aff8"/>
    <w:next w:val="aff3"/>
    <w:qFormat/>
    <w:pPr>
      <w:spacing w:line="460" w:lineRule="exact"/>
      <w:outlineLvl w:val="9"/>
    </w:pPr>
  </w:style>
  <w:style w:type="paragraph" w:customStyle="1" w:styleId="aff8">
    <w:name w:val="前言、引言标题"/>
    <w:next w:val="a7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5">
    <w:name w:val="附录标识"/>
    <w:basedOn w:val="a7"/>
    <w:next w:val="a7"/>
    <w:qFormat/>
    <w:pPr>
      <w:keepNext/>
      <w:widowControl/>
      <w:numPr>
        <w:numId w:val="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9">
    <w:name w:val="一级无标题条"/>
    <w:basedOn w:val="a0"/>
    <w:qFormat/>
    <w:pPr>
      <w:spacing w:beforeLines="0" w:before="0" w:afterLines="0" w:after="0"/>
      <w:outlineLvl w:val="9"/>
    </w:pPr>
    <w:rPr>
      <w:rFonts w:eastAsia="宋体"/>
    </w:rPr>
  </w:style>
  <w:style w:type="paragraph" w:customStyle="1" w:styleId="affa">
    <w:name w:val="标准书眉_偶数页"/>
    <w:basedOn w:val="aff4"/>
    <w:next w:val="a7"/>
    <w:qFormat/>
    <w:pPr>
      <w:jc w:val="left"/>
    </w:pPr>
  </w:style>
  <w:style w:type="paragraph" w:customStyle="1" w:styleId="affb">
    <w:name w:val="封面标准英文名称"/>
    <w:qFormat/>
    <w:pPr>
      <w:widowControl w:val="0"/>
      <w:spacing w:before="330" w:line="400" w:lineRule="exact"/>
      <w:jc w:val="center"/>
    </w:pPr>
    <w:rPr>
      <w:rFonts w:ascii="黑体" w:eastAsia="黑体"/>
      <w:sz w:val="28"/>
    </w:rPr>
  </w:style>
  <w:style w:type="paragraph" w:customStyle="1" w:styleId="affc">
    <w:name w:val="实施日期"/>
    <w:basedOn w:val="affd"/>
    <w:qFormat/>
    <w:pPr>
      <w:jc w:val="right"/>
    </w:pPr>
  </w:style>
  <w:style w:type="paragraph" w:customStyle="1" w:styleId="affd">
    <w:name w:val="发布日期"/>
    <w:qFormat/>
    <w:rPr>
      <w:rFonts w:ascii="黑体" w:eastAsia="黑体" w:hAnsi="黑体"/>
      <w:sz w:val="28"/>
    </w:rPr>
  </w:style>
  <w:style w:type="paragraph" w:customStyle="1" w:styleId="a4">
    <w:name w:val="附录表标号"/>
    <w:basedOn w:val="a7"/>
    <w:next w:val="aff3"/>
    <w:qFormat/>
    <w:pPr>
      <w:numPr>
        <w:numId w:val="3"/>
      </w:numPr>
      <w:snapToGrid w:val="0"/>
      <w:spacing w:line="14" w:lineRule="exact"/>
      <w:jc w:val="center"/>
    </w:pPr>
    <w:rPr>
      <w:rFonts w:ascii="Times New Roman" w:hAnsi="Times New Roman"/>
      <w:color w:val="FFFFFF"/>
      <w:szCs w:val="20"/>
    </w:rPr>
  </w:style>
  <w:style w:type="paragraph" w:customStyle="1" w:styleId="14">
    <w:name w:val="样式 标题 1 + 非加粗"/>
    <w:basedOn w:val="1"/>
    <w:qFormat/>
    <w:pPr>
      <w:spacing w:beforeLines="100" w:before="100" w:afterLines="100" w:after="100" w:line="240" w:lineRule="auto"/>
    </w:pPr>
    <w:rPr>
      <w:rFonts w:eastAsia="黑体"/>
      <w:b w:val="0"/>
      <w:bCs w:val="0"/>
      <w:sz w:val="21"/>
    </w:rPr>
  </w:style>
  <w:style w:type="paragraph" w:customStyle="1" w:styleId="affe">
    <w:name w:val="目次、标准名称标题"/>
    <w:basedOn w:val="aff8"/>
    <w:next w:val="aff3"/>
    <w:qFormat/>
    <w:pPr>
      <w:keepNext/>
      <w:pageBreakBefore/>
      <w:spacing w:line="460" w:lineRule="exact"/>
    </w:pPr>
  </w:style>
  <w:style w:type="paragraph" w:customStyle="1" w:styleId="TB">
    <w:name w:val="发布TB"/>
    <w:basedOn w:val="GB"/>
    <w:qFormat/>
    <w:pPr>
      <w:ind w:left="567"/>
    </w:pPr>
  </w:style>
  <w:style w:type="paragraph" w:styleId="afff">
    <w:name w:val="List Paragraph"/>
    <w:basedOn w:val="a7"/>
    <w:uiPriority w:val="34"/>
    <w:qFormat/>
    <w:pPr>
      <w:ind w:firstLineChars="200" w:firstLine="420"/>
    </w:pPr>
  </w:style>
  <w:style w:type="paragraph" w:customStyle="1" w:styleId="a6">
    <w:name w:val="附录章标题"/>
    <w:next w:val="aff3"/>
    <w:qFormat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TB0">
    <w:name w:val="发布部门TB"/>
    <w:basedOn w:val="a7"/>
    <w:qFormat/>
    <w:pPr>
      <w:widowControl/>
      <w:spacing w:line="360" w:lineRule="exact"/>
      <w:jc w:val="center"/>
    </w:pPr>
    <w:rPr>
      <w:rFonts w:ascii="黑体" w:eastAsia="黑体" w:hAnsi="黑体"/>
      <w:spacing w:val="20"/>
      <w:w w:val="135"/>
      <w:kern w:val="0"/>
      <w:sz w:val="36"/>
      <w:szCs w:val="20"/>
    </w:rPr>
  </w:style>
  <w:style w:type="paragraph" w:customStyle="1" w:styleId="Char">
    <w:name w:val="Char"/>
    <w:basedOn w:val="a7"/>
    <w:qFormat/>
    <w:rPr>
      <w:rFonts w:ascii="Times New Roman" w:hAnsi="Times New Roman"/>
      <w:szCs w:val="24"/>
    </w:rPr>
  </w:style>
  <w:style w:type="paragraph" w:customStyle="1" w:styleId="afff0">
    <w:name w:val="封面正文"/>
    <w:qFormat/>
    <w:pPr>
      <w:jc w:val="both"/>
    </w:pPr>
  </w:style>
  <w:style w:type="paragraph" w:customStyle="1" w:styleId="a2">
    <w:name w:val="列项——（一级）"/>
    <w:qFormat/>
    <w:pPr>
      <w:widowControl w:val="0"/>
      <w:numPr>
        <w:numId w:val="4"/>
      </w:numPr>
      <w:jc w:val="both"/>
    </w:pPr>
    <w:rPr>
      <w:rFonts w:ascii="宋体"/>
      <w:sz w:val="21"/>
    </w:rPr>
  </w:style>
  <w:style w:type="paragraph" w:customStyle="1" w:styleId="afff1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2">
    <w:name w:val="标准书脚_偶数页"/>
    <w:qFormat/>
    <w:pPr>
      <w:spacing w:before="120"/>
    </w:pPr>
    <w:rPr>
      <w:sz w:val="18"/>
    </w:rPr>
  </w:style>
  <w:style w:type="paragraph" w:customStyle="1" w:styleId="ICS">
    <w:name w:val="ICS"/>
    <w:basedOn w:val="afff0"/>
    <w:qFormat/>
    <w:pPr>
      <w:jc w:val="left"/>
    </w:pPr>
    <w:rPr>
      <w:rFonts w:ascii="黑体" w:eastAsia="黑体"/>
      <w:sz w:val="21"/>
    </w:rPr>
  </w:style>
  <w:style w:type="paragraph" w:customStyle="1" w:styleId="a1">
    <w:name w:val="附录图标号"/>
    <w:basedOn w:val="a7"/>
    <w:next w:val="aff3"/>
    <w:qFormat/>
    <w:pPr>
      <w:numPr>
        <w:numId w:val="5"/>
      </w:numPr>
      <w:snapToGrid w:val="0"/>
      <w:spacing w:line="14" w:lineRule="exact"/>
      <w:jc w:val="center"/>
    </w:pPr>
    <w:rPr>
      <w:rFonts w:ascii="Times New Roman" w:hAnsi="Times New Roman"/>
      <w:color w:val="FFFFFF"/>
      <w:szCs w:val="20"/>
    </w:rPr>
  </w:style>
  <w:style w:type="paragraph" w:customStyle="1" w:styleId="afff3">
    <w:name w:val="术语定义一级条标题"/>
    <w:basedOn w:val="a0"/>
    <w:next w:val="aff3"/>
    <w:qFormat/>
    <w:pPr>
      <w:spacing w:beforeLines="0" w:before="0" w:afterLines="0" w:after="0"/>
      <w:outlineLvl w:val="9"/>
    </w:pPr>
  </w:style>
  <w:style w:type="paragraph" w:customStyle="1" w:styleId="a3">
    <w:name w:val="字母编号列项（一级）"/>
    <w:qFormat/>
    <w:pPr>
      <w:numPr>
        <w:numId w:val="6"/>
      </w:numPr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42950D9-9D04-42D3-AB6F-D6F79A596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1139</Words>
  <Characters>1516</Characters>
  <Application>Microsoft Office Word</Application>
  <DocSecurity>0</DocSecurity>
  <Lines>72</Lines>
  <Paragraphs>60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中国电机工程学会标准</dc:title>
  <dc:creator>MYQ</dc:creator>
  <cp:lastModifiedBy>研 窦</cp:lastModifiedBy>
  <cp:revision>3</cp:revision>
  <cp:lastPrinted>2018-05-10T03:48:00Z</cp:lastPrinted>
  <dcterms:created xsi:type="dcterms:W3CDTF">2025-10-11T07:13:00Z</dcterms:created>
  <dcterms:modified xsi:type="dcterms:W3CDTF">2025-10-27T07:57:00Z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166D46A65AD24B7E9A25C054EF6103BA</vt:lpwstr>
  </property>
  <property fmtid="{D5CDD505-2E9C-101B-9397-08002B2CF9AE}" pid="4" name="KSOTemplateDocerSaveRecord">
    <vt:lpwstr>eyJoZGlkIjoiNWQwZmNkMjlmMzExNWRkNWExMTE0MTliMGZkOWE0Y2QiLCJ1c2VySWQiOiIyNjI4NjQ1NDgifQ==</vt:lpwstr>
  </property>
</Properties>
</file>