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line="560" w:lineRule="exact"/>
        <w:jc w:val="left"/>
        <w:rPr>
          <w:rFonts w:hint="eastAsia" w:ascii="黑体" w:hAnsi="黑体" w:eastAsia="黑体" w:cs="方正小标宋简体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bCs/>
          <w:snapToGrid w:val="0"/>
          <w:kern w:val="0"/>
          <w:sz w:val="32"/>
          <w:szCs w:val="32"/>
        </w:rPr>
        <w:t>附件1</w:t>
      </w:r>
    </w:p>
    <w:p>
      <w:pPr>
        <w:keepNext/>
        <w:keepLines/>
        <w:snapToGrid w:val="0"/>
        <w:spacing w:before="156" w:beforeLines="50" w:after="156" w:afterLines="50" w:line="240" w:lineRule="atLeast"/>
        <w:jc w:val="center"/>
        <w:outlineLvl w:val="2"/>
        <w:rPr>
          <w:rFonts w:hint="eastAsia" w:ascii="华文中宋" w:hAnsi="华文中宋" w:eastAsia="华文中宋"/>
          <w:b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会议议程（初步）</w:t>
      </w:r>
      <w:r>
        <w:rPr>
          <w:rFonts w:hint="eastAsia" w:ascii="华文中宋" w:hAnsi="华文中宋" w:eastAsia="华文中宋" w:cs="方正小标宋简体"/>
          <w:bCs/>
          <w:sz w:val="44"/>
          <w:szCs w:val="44"/>
        </w:rPr>
        <w:br w:type="textWrapping"/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会议时间：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11月27日 09:00—12:30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会议地点：</w:t>
      </w:r>
      <w:r>
        <w:rPr>
          <w:rFonts w:hint="eastAsia" w:ascii="仿宋_GB2312" w:hAnsi="Times New Roman" w:eastAsia="仿宋_GB2312"/>
          <w:sz w:val="32"/>
          <w:szCs w:val="32"/>
        </w:rPr>
        <w:t xml:space="preserve">长沙世纪金源酒店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三层 长沙厅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tbl>
      <w:tblPr>
        <w:tblStyle w:val="4"/>
        <w:tblW w:w="8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3428"/>
        <w:gridCol w:w="3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  <w:jc w:val="center"/>
        </w:trPr>
        <w:tc>
          <w:tcPr>
            <w:tcW w:w="1889" w:type="dxa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楷体" w:cs="Times New Roman Regular"/>
                <w:b/>
                <w:color w:val="000000"/>
                <w:kern w:val="0"/>
                <w:sz w:val="32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color w:val="000000"/>
                <w:kern w:val="0"/>
                <w:sz w:val="32"/>
              </w:rPr>
              <w:t>时间</w:t>
            </w:r>
          </w:p>
        </w:tc>
        <w:tc>
          <w:tcPr>
            <w:tcW w:w="6781" w:type="dxa"/>
            <w:gridSpan w:val="2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仿宋_GB2312" w:cs="Times New Roman Regular"/>
                <w:b/>
                <w:color w:val="000000"/>
                <w:kern w:val="0"/>
                <w:sz w:val="32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color w:val="000000"/>
                <w:kern w:val="0"/>
                <w:sz w:val="32"/>
              </w:rPr>
              <w:t>议程安排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889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Times New Roman Regular" w:eastAsia="仿宋_GB2312" w:cs="Times New Roman Regular"/>
                <w:b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hAnsi="Times New Roman Regular" w:eastAsia="仿宋_GB2312" w:cs="Times New Roman Regular"/>
                <w:color w:val="000000"/>
                <w:sz w:val="28"/>
                <w:szCs w:val="18"/>
              </w:rPr>
              <w:t>09</w:t>
            </w:r>
            <w:r>
              <w:rPr>
                <w:rFonts w:hint="eastAsia" w:ascii="仿宋_GB2312" w:hAnsi="Times New Roman Regular" w:eastAsia="仿宋_GB2312" w:cs="Times New Roman Regular"/>
                <w:color w:val="000000"/>
                <w:kern w:val="0"/>
                <w:sz w:val="28"/>
                <w:szCs w:val="18"/>
              </w:rPr>
              <w:t>:</w:t>
            </w:r>
            <w:r>
              <w:rPr>
                <w:rFonts w:hint="eastAsia" w:ascii="仿宋_GB2312" w:hAnsi="Times New Roman Regular" w:eastAsia="仿宋_GB2312" w:cs="Times New Roman Regular"/>
                <w:color w:val="000000"/>
                <w:sz w:val="28"/>
                <w:szCs w:val="18"/>
              </w:rPr>
              <w:t>00</w:t>
            </w:r>
            <w:r>
              <w:rPr>
                <w:rFonts w:hint="eastAsia" w:ascii="仿宋_GB2312" w:hAnsi="Times New Roman Regular" w:eastAsia="仿宋_GB2312" w:cs="Times New Roman Regular"/>
                <w:color w:val="000000"/>
                <w:kern w:val="0"/>
                <w:sz w:val="28"/>
                <w:szCs w:val="18"/>
              </w:rPr>
              <w:t>-0</w:t>
            </w:r>
            <w:r>
              <w:rPr>
                <w:rFonts w:hint="eastAsia" w:ascii="仿宋_GB2312" w:hAnsi="Times New Roman Regular" w:eastAsia="仿宋_GB2312" w:cs="Times New Roman Regular"/>
                <w:color w:val="000000"/>
                <w:sz w:val="28"/>
                <w:szCs w:val="18"/>
              </w:rPr>
              <w:t>9</w:t>
            </w:r>
            <w:r>
              <w:rPr>
                <w:rFonts w:hint="eastAsia" w:ascii="仿宋_GB2312" w:hAnsi="Times New Roman Regular" w:eastAsia="仿宋_GB2312" w:cs="Times New Roman Regular"/>
                <w:color w:val="000000"/>
                <w:kern w:val="0"/>
                <w:sz w:val="28"/>
                <w:szCs w:val="18"/>
              </w:rPr>
              <w:t>:</w:t>
            </w:r>
            <w:r>
              <w:rPr>
                <w:rFonts w:hint="eastAsia" w:ascii="仿宋_GB2312" w:hAnsi="Times New Roman Regular" w:eastAsia="仿宋_GB2312" w:cs="Times New Roman Regular"/>
                <w:color w:val="000000"/>
                <w:sz w:val="28"/>
                <w:szCs w:val="18"/>
              </w:rPr>
              <w:t>20</w:t>
            </w:r>
          </w:p>
        </w:tc>
        <w:tc>
          <w:tcPr>
            <w:tcW w:w="6781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  <w:lang w:eastAsia="zh-Hans"/>
              </w:rPr>
            </w:pPr>
            <w:r>
              <w:rPr>
                <w:rFonts w:hint="eastAsia"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  <w:lang w:eastAsia="zh-Hans"/>
              </w:rPr>
              <w:t>领导致辞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889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Times New Roman Regular" w:eastAsia="仿宋_GB2312" w:cs="Times New Roman Regular"/>
                <w:color w:val="000000"/>
                <w:sz w:val="28"/>
                <w:szCs w:val="18"/>
              </w:rPr>
            </w:pPr>
            <w:r>
              <w:rPr>
                <w:rFonts w:hint="eastAsia" w:ascii="仿宋_GB2312" w:hAnsi="Times New Roman Regular" w:eastAsia="仿宋_GB2312" w:cs="Times New Roman Regular"/>
                <w:color w:val="000000"/>
                <w:sz w:val="28"/>
                <w:szCs w:val="18"/>
              </w:rPr>
              <w:t>09:20</w:t>
            </w:r>
            <w:r>
              <w:rPr>
                <w:rFonts w:hint="eastAsia" w:ascii="仿宋_GB2312" w:hAnsi="Times New Roman Regular" w:eastAsia="仿宋_GB2312" w:cs="Times New Roman Regular"/>
                <w:color w:val="000000"/>
                <w:kern w:val="0"/>
                <w:sz w:val="28"/>
                <w:szCs w:val="18"/>
              </w:rPr>
              <w:t>-0</w:t>
            </w:r>
            <w:r>
              <w:rPr>
                <w:rFonts w:hint="eastAsia" w:ascii="仿宋_GB2312" w:hAnsi="Times New Roman Regular" w:eastAsia="仿宋_GB2312" w:cs="Times New Roman Regular"/>
                <w:color w:val="000000"/>
                <w:sz w:val="28"/>
                <w:szCs w:val="18"/>
              </w:rPr>
              <w:t>9:50</w:t>
            </w:r>
          </w:p>
        </w:tc>
        <w:tc>
          <w:tcPr>
            <w:tcW w:w="3428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  <w:lang w:eastAsia="zh-Hans"/>
              </w:rPr>
              <w:t>报告</w:t>
            </w:r>
            <w:r>
              <w:rPr>
                <w:rFonts w:hint="eastAsia"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</w:rPr>
              <w:t>1：《大型变压器（电抗器）故障主动防御关键技术、成套装置及应用》</w:t>
            </w:r>
          </w:p>
        </w:tc>
        <w:tc>
          <w:tcPr>
            <w:tcW w:w="3353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</w:rPr>
              <w:t>报告人：唐云鹏</w:t>
            </w:r>
          </w:p>
          <w:p>
            <w:pPr>
              <w:spacing w:line="360" w:lineRule="exact"/>
              <w:rPr>
                <w:rFonts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</w:rPr>
              <w:t>单位：国家电网公司华北分部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889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Times New Roman Regular" w:eastAsia="仿宋_GB2312" w:cs="Times New Roman Regular"/>
                <w:color w:val="000000"/>
                <w:sz w:val="28"/>
                <w:szCs w:val="18"/>
              </w:rPr>
            </w:pPr>
            <w:r>
              <w:rPr>
                <w:rFonts w:hint="eastAsia" w:ascii="仿宋_GB2312" w:hAnsi="Times New Roman Regular" w:eastAsia="仿宋_GB2312" w:cs="Times New Roman Regular"/>
                <w:color w:val="000000"/>
                <w:sz w:val="28"/>
                <w:szCs w:val="18"/>
              </w:rPr>
              <w:t>09:50</w:t>
            </w:r>
            <w:r>
              <w:rPr>
                <w:rFonts w:hint="eastAsia" w:ascii="仿宋_GB2312" w:hAnsi="Times New Roman Regular" w:eastAsia="仿宋_GB2312" w:cs="Times New Roman Regular"/>
                <w:color w:val="000000"/>
                <w:kern w:val="0"/>
                <w:sz w:val="28"/>
                <w:szCs w:val="18"/>
              </w:rPr>
              <w:t>-</w:t>
            </w:r>
            <w:r>
              <w:rPr>
                <w:rFonts w:hint="eastAsia" w:ascii="仿宋_GB2312" w:hAnsi="Times New Roman Regular" w:eastAsia="仿宋_GB2312" w:cs="Times New Roman Regular"/>
                <w:color w:val="000000"/>
                <w:sz w:val="28"/>
                <w:szCs w:val="18"/>
              </w:rPr>
              <w:t>10:20</w:t>
            </w:r>
          </w:p>
        </w:tc>
        <w:tc>
          <w:tcPr>
            <w:tcW w:w="3428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  <w:lang w:eastAsia="zh-Hans"/>
              </w:rPr>
              <w:t>报告</w:t>
            </w:r>
            <w:r>
              <w:rPr>
                <w:rFonts w:hint="eastAsia"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</w:rPr>
              <w:t>2：《柔直变压器复杂场量调控研究与实践》</w:t>
            </w:r>
          </w:p>
        </w:tc>
        <w:tc>
          <w:tcPr>
            <w:tcW w:w="3353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</w:rPr>
              <w:t>报告人：赵林杰</w:t>
            </w:r>
          </w:p>
          <w:p>
            <w:pPr>
              <w:spacing w:line="360" w:lineRule="exact"/>
              <w:rPr>
                <w:rFonts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</w:rPr>
              <w:t>单位：南方电网科学研究院有限责任公司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889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Times New Roman Regular" w:eastAsia="仿宋_GB2312" w:cs="Times New Roman Regular"/>
                <w:color w:val="000000"/>
                <w:sz w:val="28"/>
                <w:szCs w:val="18"/>
              </w:rPr>
            </w:pPr>
            <w:r>
              <w:rPr>
                <w:rFonts w:hint="eastAsia" w:ascii="仿宋_GB2312" w:hAnsi="Times New Roman Regular" w:eastAsia="仿宋_GB2312" w:cs="Times New Roman Regular"/>
                <w:color w:val="000000"/>
                <w:sz w:val="28"/>
                <w:szCs w:val="18"/>
              </w:rPr>
              <w:t>10:30-11:00</w:t>
            </w:r>
          </w:p>
        </w:tc>
        <w:tc>
          <w:tcPr>
            <w:tcW w:w="3428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  <w:lang w:eastAsia="zh-Hans"/>
              </w:rPr>
            </w:pPr>
            <w:r>
              <w:rPr>
                <w:rFonts w:hint="eastAsia"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  <w:lang w:eastAsia="zh-Hans"/>
              </w:rPr>
              <w:t>报告</w:t>
            </w:r>
            <w:r>
              <w:rPr>
                <w:rFonts w:hint="eastAsia"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</w:rPr>
              <w:t>3：《特高压大型充油设备高能电弧故障防爆技术及装备》</w:t>
            </w:r>
          </w:p>
        </w:tc>
        <w:tc>
          <w:tcPr>
            <w:tcW w:w="3353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</w:rPr>
              <w:t>报告人：李金忠</w:t>
            </w:r>
          </w:p>
          <w:p>
            <w:pPr>
              <w:spacing w:line="360" w:lineRule="exact"/>
              <w:rPr>
                <w:rFonts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  <w:lang w:eastAsia="zh-Hans"/>
              </w:rPr>
            </w:pPr>
            <w:r>
              <w:rPr>
                <w:rFonts w:hint="eastAsia"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</w:rPr>
              <w:t>单位：西安交通大学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889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Times New Roman Regular" w:eastAsia="仿宋_GB2312" w:cs="Times New Roman Regular"/>
                <w:color w:val="000000"/>
                <w:sz w:val="28"/>
                <w:szCs w:val="18"/>
              </w:rPr>
            </w:pPr>
            <w:r>
              <w:rPr>
                <w:rFonts w:hint="eastAsia" w:ascii="仿宋_GB2312" w:hAnsi="Times New Roman Regular" w:eastAsia="仿宋_GB2312" w:cs="Times New Roman Regular"/>
                <w:color w:val="000000"/>
                <w:sz w:val="28"/>
                <w:szCs w:val="18"/>
              </w:rPr>
              <w:t>11:00-11:30</w:t>
            </w:r>
          </w:p>
        </w:tc>
        <w:tc>
          <w:tcPr>
            <w:tcW w:w="3428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  <w:lang w:eastAsia="zh-Hans"/>
              </w:rPr>
              <w:t>报</w:t>
            </w:r>
            <w:r>
              <w:rPr>
                <w:rFonts w:hint="eastAsia"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  <w:highlight w:val="none"/>
                <w:lang w:eastAsia="zh-Hans"/>
              </w:rPr>
              <w:t>告</w:t>
            </w:r>
            <w:r>
              <w:rPr>
                <w:rFonts w:hint="eastAsia"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  <w:highlight w:val="none"/>
              </w:rPr>
              <w:t>4：</w:t>
            </w:r>
            <w:r>
              <w:rPr>
                <w:rFonts w:hint="eastAsia"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</w:rPr>
              <w:t>《</w:t>
            </w:r>
            <w:r>
              <w:rPr>
                <w:rFonts w:hint="eastAsia"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  <w:highlight w:val="none"/>
              </w:rPr>
              <w:t>数字赋能，驱动电力装备高质量发展</w:t>
            </w:r>
            <w:r>
              <w:rPr>
                <w:rFonts w:hint="eastAsia"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</w:rPr>
              <w:t>》</w:t>
            </w:r>
          </w:p>
        </w:tc>
        <w:tc>
          <w:tcPr>
            <w:tcW w:w="3353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</w:rPr>
              <w:t>报告人：宁皓如</w:t>
            </w:r>
          </w:p>
          <w:p>
            <w:pPr>
              <w:spacing w:line="360" w:lineRule="exact"/>
              <w:rPr>
                <w:rFonts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  <w:lang w:eastAsia="zh-Hans"/>
              </w:rPr>
            </w:pPr>
            <w:r>
              <w:rPr>
                <w:rFonts w:hint="eastAsia"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</w:rPr>
              <w:t>单位：特变电工衡阳变压器有限公司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889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Times New Roman Regular" w:eastAsia="仿宋_GB2312" w:cs="Times New Roman Regular"/>
                <w:color w:val="000000"/>
                <w:sz w:val="28"/>
                <w:szCs w:val="18"/>
              </w:rPr>
            </w:pPr>
            <w:r>
              <w:rPr>
                <w:rFonts w:hint="eastAsia" w:ascii="仿宋_GB2312" w:hAnsi="Times New Roman Regular" w:eastAsia="仿宋_GB2312" w:cs="Times New Roman Regular"/>
                <w:color w:val="000000"/>
                <w:sz w:val="28"/>
                <w:szCs w:val="18"/>
              </w:rPr>
              <w:t>11:30</w:t>
            </w:r>
            <w:r>
              <w:rPr>
                <w:rFonts w:hint="eastAsia" w:ascii="仿宋_GB2312" w:hAnsi="Times New Roman Regular" w:eastAsia="仿宋_GB2312" w:cs="Times New Roman Regular"/>
                <w:color w:val="000000"/>
                <w:kern w:val="0"/>
                <w:sz w:val="28"/>
                <w:szCs w:val="18"/>
              </w:rPr>
              <w:t>-</w:t>
            </w:r>
            <w:r>
              <w:rPr>
                <w:rFonts w:hint="eastAsia" w:ascii="仿宋_GB2312" w:hAnsi="Times New Roman Regular" w:eastAsia="仿宋_GB2312" w:cs="Times New Roman Regular"/>
                <w:color w:val="000000"/>
                <w:sz w:val="28"/>
                <w:szCs w:val="18"/>
              </w:rPr>
              <w:t>12:00</w:t>
            </w:r>
          </w:p>
        </w:tc>
        <w:tc>
          <w:tcPr>
            <w:tcW w:w="3428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  <w:lang w:eastAsia="zh-Hans"/>
              </w:rPr>
            </w:pPr>
            <w:r>
              <w:rPr>
                <w:rFonts w:hint="eastAsia"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  <w:lang w:eastAsia="zh-Hans"/>
              </w:rPr>
              <w:t>报告</w:t>
            </w:r>
            <w:r>
              <w:rPr>
                <w:rFonts w:hint="eastAsia"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</w:rPr>
              <w:t>5：《长期振动对大型变压器绕组绝缘的劣化影响分析及应对》</w:t>
            </w:r>
          </w:p>
        </w:tc>
        <w:tc>
          <w:tcPr>
            <w:tcW w:w="3353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</w:rPr>
              <w:t>报告人：王革鹏</w:t>
            </w:r>
          </w:p>
          <w:p>
            <w:pPr>
              <w:spacing w:line="360" w:lineRule="exact"/>
              <w:rPr>
                <w:rFonts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  <w:lang w:eastAsia="zh-Hans"/>
              </w:rPr>
            </w:pPr>
            <w:r>
              <w:rPr>
                <w:rFonts w:hint="eastAsia" w:ascii="仿宋_GB2312" w:hAnsi="Times New Roman Regular" w:eastAsia="仿宋_GB2312" w:cs="Times New Roman Regular"/>
                <w:bCs/>
                <w:color w:val="000000"/>
                <w:kern w:val="0"/>
                <w:sz w:val="28"/>
                <w:szCs w:val="18"/>
              </w:rPr>
              <w:t>单位：中国西电电气股份有限公司</w:t>
            </w:r>
          </w:p>
        </w:tc>
      </w:tr>
    </w:tbl>
    <w:p>
      <w:pPr>
        <w:adjustRightInd w:val="0"/>
        <w:snapToGrid w:val="0"/>
        <w:spacing w:line="580" w:lineRule="exact"/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注：最终会议议程以现场发放为准。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6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9DF22"/>
    <w:rsid w:val="66D9D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color w:val="FF0000"/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color w:val="FF0000"/>
      <w:sz w:val="18"/>
      <w:szCs w:val="18"/>
    </w:rPr>
  </w:style>
  <w:style w:type="character" w:styleId="6">
    <w:name w:val="page number"/>
    <w:basedOn w:val="5"/>
    <w:semiHidden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2025-11-04T09:01:00Z</dcterms:created>
  <dc:creator>欢の</dc:creator>
  <cp:lastModifiedBy>欢の</cp:lastModifiedBy>
  <dcterms:modified xsi:type="dcterms:W3CDTF">2025-11-04T09:02:05Z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48761149BD0848E07850096997E2A1CB</vt:lpwstr>
  </property>
</Properties>
</file>