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color w:val="000000"/>
          <w:sz w:val="32"/>
          <w:szCs w:val="32"/>
        </w:rPr>
        <w:t>附件</w:t>
      </w:r>
    </w:p>
    <w:p>
      <w:pPr>
        <w:adjustRightInd w:val="0"/>
        <w:snapToGrid w:val="0"/>
        <w:spacing w:after="156" w:afterLines="50" w:line="580" w:lineRule="exact"/>
        <w:jc w:val="center"/>
        <w:rPr>
          <w:rFonts w:hint="eastAsia" w:ascii="方正小标宋简体" w:hAnsi="华文中宋" w:eastAsia="方正小标宋简体"/>
          <w:b/>
          <w:sz w:val="36"/>
          <w:szCs w:val="36"/>
        </w:rPr>
      </w:pPr>
      <w:r>
        <w:rPr>
          <w:rFonts w:hint="eastAsia" w:ascii="方正小标宋简体" w:hAnsi="华文中宋" w:eastAsia="方正小标宋简体"/>
          <w:b/>
          <w:sz w:val="36"/>
          <w:szCs w:val="36"/>
        </w:rPr>
        <w:t>中国电机工程学会标准（2024年12月发布）一览表</w:t>
      </w:r>
    </w:p>
    <w:tbl>
      <w:tblPr>
        <w:tblStyle w:val="4"/>
        <w:tblW w:w="15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2286"/>
        <w:gridCol w:w="1843"/>
        <w:gridCol w:w="6854"/>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blHeader/>
          <w:jc w:val="center"/>
        </w:trPr>
        <w:tc>
          <w:tcPr>
            <w:tcW w:w="668"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序号</w:t>
            </w:r>
          </w:p>
        </w:tc>
        <w:tc>
          <w:tcPr>
            <w:tcW w:w="2286" w:type="dxa"/>
            <w:noWrap w:val="0"/>
            <w:vAlign w:val="center"/>
          </w:tcPr>
          <w:p>
            <w:pPr>
              <w:widowControl/>
              <w:jc w:val="center"/>
              <w:rPr>
                <w:rFonts w:ascii="宋体" w:hAnsi="宋体" w:cs="宋体"/>
                <w:b/>
                <w:bCs/>
                <w:kern w:val="0"/>
                <w:sz w:val="22"/>
              </w:rPr>
            </w:pPr>
            <w:r>
              <w:rPr>
                <w:rFonts w:hint="eastAsia" w:ascii="宋体" w:hAnsi="宋体" w:cs="宋体"/>
                <w:b/>
                <w:bCs/>
                <w:kern w:val="0"/>
                <w:sz w:val="22"/>
              </w:rPr>
              <w:t>项目编号</w:t>
            </w:r>
          </w:p>
        </w:tc>
        <w:tc>
          <w:tcPr>
            <w:tcW w:w="1843" w:type="dxa"/>
            <w:noWrap w:val="0"/>
            <w:vAlign w:val="center"/>
          </w:tcPr>
          <w:p>
            <w:pPr>
              <w:widowControl/>
              <w:jc w:val="center"/>
              <w:rPr>
                <w:rFonts w:hint="eastAsia" w:ascii="宋体" w:hAnsi="宋体" w:cs="宋体"/>
                <w:b/>
                <w:bCs/>
                <w:kern w:val="0"/>
                <w:sz w:val="22"/>
              </w:rPr>
            </w:pPr>
            <w:r>
              <w:rPr>
                <w:rFonts w:hint="eastAsia" w:ascii="宋体" w:hAnsi="宋体" w:cs="宋体"/>
                <w:b/>
                <w:bCs/>
                <w:kern w:val="0"/>
                <w:sz w:val="22"/>
              </w:rPr>
              <w:t>类别</w:t>
            </w:r>
          </w:p>
        </w:tc>
        <w:tc>
          <w:tcPr>
            <w:tcW w:w="6854" w:type="dxa"/>
            <w:noWrap/>
            <w:vAlign w:val="center"/>
          </w:tcPr>
          <w:p>
            <w:pPr>
              <w:widowControl/>
              <w:jc w:val="center"/>
              <w:rPr>
                <w:rFonts w:ascii="宋体" w:hAnsi="宋体" w:cs="宋体"/>
                <w:b/>
                <w:bCs/>
                <w:kern w:val="0"/>
                <w:sz w:val="22"/>
              </w:rPr>
            </w:pPr>
            <w:r>
              <w:rPr>
                <w:rFonts w:hint="eastAsia" w:ascii="宋体" w:hAnsi="宋体" w:cs="宋体"/>
                <w:b/>
                <w:bCs/>
                <w:kern w:val="0"/>
                <w:sz w:val="22"/>
              </w:rPr>
              <w:t>标准名称</w:t>
            </w:r>
          </w:p>
        </w:tc>
        <w:tc>
          <w:tcPr>
            <w:tcW w:w="3427" w:type="dxa"/>
            <w:noWrap w:val="0"/>
            <w:vAlign w:val="center"/>
          </w:tcPr>
          <w:p>
            <w:pPr>
              <w:widowControl/>
              <w:adjustRightInd w:val="0"/>
              <w:snapToGrid w:val="0"/>
              <w:jc w:val="center"/>
              <w:rPr>
                <w:rFonts w:ascii="宋体" w:hAnsi="宋体" w:cs="宋体"/>
                <w:b/>
                <w:bCs/>
                <w:kern w:val="0"/>
                <w:sz w:val="22"/>
              </w:rPr>
            </w:pPr>
            <w:r>
              <w:rPr>
                <w:rFonts w:hint="eastAsia" w:ascii="宋体" w:hAnsi="宋体" w:cs="宋体"/>
                <w:b/>
                <w:bCs/>
                <w:kern w:val="0"/>
                <w:sz w:val="22"/>
              </w:rPr>
              <w:t>归口标准专业委员会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0008-2024</w:t>
            </w:r>
          </w:p>
          <w:p>
            <w:pPr>
              <w:widowControl/>
              <w:jc w:val="left"/>
              <w:textAlignment w:val="center"/>
              <w:rPr>
                <w:rFonts w:hint="eastAsia"/>
                <w:kern w:val="0"/>
                <w:sz w:val="20"/>
                <w:szCs w:val="20"/>
                <w:lang w:bidi="ar"/>
              </w:rPr>
            </w:pPr>
            <w:r>
              <w:rPr>
                <w:rFonts w:hint="eastAsia"/>
                <w:kern w:val="0"/>
                <w:sz w:val="20"/>
                <w:szCs w:val="20"/>
                <w:lang w:bidi="ar"/>
              </w:rPr>
              <w:t>T/CEEIA 260-2024代替</w:t>
            </w:r>
          </w:p>
          <w:p>
            <w:pPr>
              <w:widowControl/>
              <w:jc w:val="left"/>
              <w:textAlignment w:val="center"/>
              <w:rPr>
                <w:rFonts w:hint="eastAsia"/>
                <w:kern w:val="0"/>
                <w:sz w:val="20"/>
                <w:szCs w:val="20"/>
                <w:lang w:bidi="ar"/>
              </w:rPr>
            </w:pPr>
            <w:r>
              <w:rPr>
                <w:rFonts w:hint="eastAsia"/>
                <w:kern w:val="0"/>
                <w:sz w:val="20"/>
                <w:szCs w:val="20"/>
                <w:lang w:bidi="ar"/>
              </w:rPr>
              <w:t>T/CSEE 0008-2016</w:t>
            </w:r>
          </w:p>
          <w:p>
            <w:pPr>
              <w:widowControl/>
              <w:jc w:val="left"/>
              <w:textAlignment w:val="center"/>
              <w:rPr>
                <w:rFonts w:hint="eastAsia"/>
                <w:kern w:val="0"/>
                <w:sz w:val="20"/>
                <w:szCs w:val="20"/>
                <w:lang w:bidi="ar"/>
              </w:rPr>
            </w:pPr>
            <w:r>
              <w:rPr>
                <w:rFonts w:hint="eastAsia"/>
                <w:kern w:val="0"/>
                <w:sz w:val="20"/>
                <w:szCs w:val="20"/>
                <w:lang w:bidi="ar"/>
              </w:rPr>
              <w:t>T/CEEIA 260-2016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大中型电机定子绕组绝缘性能检测方法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color w:val="000000"/>
                <w:kern w:val="0"/>
                <w:sz w:val="20"/>
                <w:szCs w:val="20"/>
                <w:lang w:bidi="ar"/>
              </w:rPr>
              <w:t>T/CSEE /Z 0020-2024代替T/CSEE /Z 0020-2016</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指导性技术文件</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架空输电线路山火分布图绘制技术导则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0023-2024代替</w:t>
            </w:r>
            <w:r>
              <w:rPr>
                <w:rFonts w:hint="eastAsia"/>
                <w:color w:val="000000"/>
                <w:kern w:val="0"/>
                <w:sz w:val="20"/>
                <w:szCs w:val="20"/>
                <w:lang w:bidi="ar"/>
              </w:rPr>
              <w:t>T</w:t>
            </w:r>
            <w:r>
              <w:rPr>
                <w:color w:val="000000"/>
                <w:kern w:val="0"/>
                <w:sz w:val="20"/>
                <w:szCs w:val="20"/>
                <w:lang w:bidi="ar"/>
              </w:rPr>
              <w:t>/</w:t>
            </w:r>
            <w:r>
              <w:rPr>
                <w:rFonts w:hint="eastAsia"/>
                <w:color w:val="000000"/>
                <w:kern w:val="0"/>
                <w:sz w:val="20"/>
                <w:szCs w:val="20"/>
                <w:lang w:bidi="ar"/>
              </w:rPr>
              <w:t>CSEE 0023-2016</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输电线路舞动区域分布图绘制技术导则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0033-2024代替T/CSEE 0033-2017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电动汽车充换电设施网络规划导则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城市供电与可靠性专业委员会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kern w:val="0"/>
                <w:sz w:val="20"/>
                <w:szCs w:val="20"/>
                <w:lang w:bidi="ar"/>
              </w:rPr>
              <w:t>T/CSEE 0043-2024代替</w:t>
            </w:r>
            <w:r>
              <w:rPr>
                <w:color w:val="000000"/>
                <w:kern w:val="0"/>
                <w:sz w:val="20"/>
                <w:szCs w:val="20"/>
                <w:lang w:bidi="ar"/>
              </w:rPr>
              <w:t>T/CSEE 0043-2017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水轮发电机热轧磁轭钢板</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rFonts w:hint="eastAsia"/>
                <w:color w:val="000000"/>
                <w:kern w:val="0"/>
                <w:sz w:val="20"/>
                <w:szCs w:val="20"/>
                <w:lang w:bidi="ar"/>
              </w:rPr>
              <w:t>T/CSEE 0044-2024代替T/CSEE 0044-2017</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特高压钢管塔及钢管构架加工技术规程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0434-2024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回收的矿物绝缘油处置技术规范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rFonts w:hint="eastAsia"/>
                <w:kern w:val="0"/>
                <w:sz w:val="20"/>
                <w:szCs w:val="20"/>
                <w:lang w:bidi="ar"/>
              </w:rPr>
              <w:t>T/CSEE 0436-2024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隐极同步发电机适应灵活性运行技术导则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449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隐极同步发电机延寿技术导则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新能源场站分布式调相机励磁控制系统技术规范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架空输电线路防风害装置技术导则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沿海区域输电线路抗风能力评估及加固技术导则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电力防灾减灾专业委员会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第1部分：管式过滤器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第2部分：粉末覆盖过滤器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发电厂凝结水精处理系统运行维护导则 第3部分：大流量过滤器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453.4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发电厂凝结水精处理系统运行维护导则 第4部分：混床及再生系统</w:t>
            </w:r>
          </w:p>
        </w:tc>
        <w:tc>
          <w:tcPr>
            <w:tcW w:w="3427" w:type="dxa"/>
            <w:noWrap w:val="0"/>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电力化学专业委员会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柔性直流输电换流阀子模块快速旁路开关技术规范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高压直流气体绝缘装备用氮化硅基复相陶瓷材料支撑绝缘子技术规范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高压直流输电晶闸管阀阻尼电阻器试验规程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特高压直流换流站建筑物电磁屏蔽技术规范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电力建设专业委员会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458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电力通信系统光纤活动连接器技术规范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电力通信专业委员会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459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光热电站集热场支架结构设计规范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变电站装配式建筑结构全寿命设计技术规程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电力土建专业委员会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电力大数据数据质量评测规范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电力行业仓库管理软件集成技术要求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电力信息化专业委员会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额定电压35kV(Um=40.5 kV) 及以下交联聚乙烯绝缘电力电缆模塑式接头技术规范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额定电压66kV(Um=72.5kV )~220kV(Um=252kV )交联聚乙烯绝缘电力电缆模注式接头技术规范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adjustRightInd w:val="0"/>
              <w:snapToGrid w:val="0"/>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12 kV C</w:t>
            </w:r>
            <w:r>
              <w:rPr>
                <w:rFonts w:hint="eastAsia" w:ascii="宋体" w:hAnsi="宋体" w:cs="宋体"/>
                <w:color w:val="000000"/>
                <w:kern w:val="0"/>
                <w:sz w:val="22"/>
                <w:szCs w:val="22"/>
                <w:vertAlign w:val="subscript"/>
                <w:lang w:bidi="ar"/>
              </w:rPr>
              <w:t>4</w:t>
            </w:r>
            <w:r>
              <w:rPr>
                <w:rFonts w:hint="eastAsia" w:ascii="宋体" w:hAnsi="宋体" w:cs="宋体"/>
                <w:color w:val="000000"/>
                <w:kern w:val="0"/>
                <w:sz w:val="22"/>
                <w:szCs w:val="22"/>
                <w:lang w:bidi="ar"/>
              </w:rPr>
              <w:t>F</w:t>
            </w:r>
            <w:r>
              <w:rPr>
                <w:rFonts w:hint="eastAsia" w:ascii="宋体" w:hAnsi="宋体" w:cs="宋体"/>
                <w:color w:val="000000"/>
                <w:kern w:val="0"/>
                <w:sz w:val="22"/>
                <w:szCs w:val="22"/>
                <w:vertAlign w:val="subscript"/>
                <w:lang w:bidi="ar"/>
              </w:rPr>
              <w:t>7</w:t>
            </w:r>
            <w:r>
              <w:rPr>
                <w:rFonts w:hint="eastAsia" w:ascii="宋体" w:hAnsi="宋体" w:cs="宋体"/>
                <w:color w:val="000000"/>
                <w:kern w:val="0"/>
                <w:sz w:val="22"/>
                <w:szCs w:val="22"/>
                <w:lang w:bidi="ar"/>
              </w:rPr>
              <w:t>N/CO</w:t>
            </w:r>
            <w:r>
              <w:rPr>
                <w:rFonts w:hint="eastAsia" w:ascii="宋体" w:hAnsi="宋体" w:cs="宋体"/>
                <w:color w:val="000000"/>
                <w:kern w:val="0"/>
                <w:sz w:val="22"/>
                <w:szCs w:val="22"/>
                <w:vertAlign w:val="subscript"/>
                <w:lang w:bidi="ar"/>
              </w:rPr>
              <w:t>2</w:t>
            </w:r>
            <w:r>
              <w:rPr>
                <w:rFonts w:hint="eastAsia" w:ascii="宋体" w:hAnsi="宋体" w:cs="宋体"/>
                <w:color w:val="000000"/>
                <w:kern w:val="0"/>
                <w:sz w:val="22"/>
                <w:szCs w:val="22"/>
                <w:lang w:bidi="ar"/>
              </w:rPr>
              <w:t>混合气体绝缘交流金属封闭开关设备和控制设备</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466.3.1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第3.1部分 低频电磁式电压互感器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0"/>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466.3.2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第3.2部分 低频电流互感器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466.4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第4部分：低频避雷器</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466.5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柔性低频交流输电系统高压电气设备 第5部分：低频变压器套管</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color w:val="000000"/>
                <w:kern w:val="0"/>
                <w:sz w:val="20"/>
                <w:szCs w:val="20"/>
                <w:lang w:bidi="ar"/>
              </w:rPr>
            </w:pPr>
            <w:r>
              <w:rPr>
                <w:color w:val="000000"/>
                <w:kern w:val="0"/>
                <w:sz w:val="20"/>
                <w:szCs w:val="20"/>
                <w:lang w:bidi="ar"/>
              </w:rPr>
              <w:t>T/CSEE 0</w:t>
            </w:r>
            <w:r>
              <w:rPr>
                <w:rFonts w:hint="eastAsia"/>
                <w:color w:val="000000"/>
                <w:kern w:val="0"/>
                <w:sz w:val="20"/>
                <w:szCs w:val="20"/>
                <w:lang w:bidi="ar"/>
              </w:rPr>
              <w:t>466.6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cs="宋体"/>
                <w:kern w:val="0"/>
                <w:sz w:val="20"/>
                <w:szCs w:val="20"/>
                <w:lang w:bidi="ar"/>
              </w:rPr>
            </w:pPr>
            <w:r>
              <w:rPr>
                <w:rFonts w:hint="eastAsia" w:ascii="宋体" w:hAnsi="宋体" w:cs="宋体"/>
                <w:color w:val="000000"/>
                <w:kern w:val="0"/>
                <w:sz w:val="22"/>
                <w:szCs w:val="22"/>
                <w:lang w:bidi="ar"/>
              </w:rPr>
              <w:t>柔性低频交流输电系统高压电气设备 第6部分 低频交联聚乙烯绝缘海底电缆试验规范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高电压专业委员会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电能计量装置电磁骚扰自动监测技术规范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468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低压故障电弧功能检测技术要求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供用电安全专业委员会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469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大容量智能海上风力发电机组功能技术导则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海上风电技术专业委员会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燃煤发电机组深度调峰能力试验及评价导则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471</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燃煤机组深度调峰运行及检修导则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火力发电专业委员会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472</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质子交换膜水电解池膜电极性能测试方法</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473</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波动运行碱性水电解制氢系统技术要求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474</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电解水制氢系统运行维护规程</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氢能技术专业委员会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475</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输电线路状态信息智能汇集终端技术规范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476</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电缆隧道结构安全防护技术规范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477</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rPr>
              <w:t>72.5kV～1100kV气体绝缘金属封闭输电线路（GIL）设备检修导则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478</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多旋翼氢能电力巡检无人机使用导则</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kern w:val="0"/>
                <w:sz w:val="22"/>
                <w:szCs w:val="22"/>
                <w:lang w:bidi="ar"/>
              </w:rPr>
              <w:t>输电线路专业委员会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hint="eastAsia"/>
                <w:kern w:val="0"/>
                <w:sz w:val="20"/>
                <w:szCs w:val="20"/>
                <w:lang w:bidi="ar"/>
              </w:rPr>
            </w:pPr>
            <w:r>
              <w:rPr>
                <w:color w:val="000000"/>
                <w:kern w:val="0"/>
                <w:sz w:val="20"/>
                <w:szCs w:val="20"/>
                <w:lang w:bidi="ar"/>
              </w:rPr>
              <w:t>T/CSEE 0</w:t>
            </w:r>
            <w:r>
              <w:rPr>
                <w:rFonts w:hint="eastAsia"/>
                <w:color w:val="000000"/>
                <w:kern w:val="0"/>
                <w:sz w:val="20"/>
                <w:szCs w:val="20"/>
                <w:lang w:bidi="ar"/>
              </w:rPr>
              <w:t>479</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高压直流气体绝缘金属封闭开关设备技术规范</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68" w:type="dxa"/>
            <w:noWrap w:val="0"/>
            <w:vAlign w:val="center"/>
          </w:tcPr>
          <w:p>
            <w:pPr>
              <w:widowControl/>
              <w:numPr>
                <w:ilvl w:val="0"/>
                <w:numId w:val="1"/>
              </w:numPr>
              <w:jc w:val="center"/>
              <w:rPr>
                <w:rFonts w:ascii="Arial" w:hAnsi="Arial" w:cs="Arial"/>
                <w:kern w:val="0"/>
                <w:sz w:val="20"/>
                <w:szCs w:val="20"/>
              </w:rPr>
            </w:pPr>
          </w:p>
        </w:tc>
        <w:tc>
          <w:tcPr>
            <w:tcW w:w="2286" w:type="dxa"/>
            <w:noWrap/>
            <w:vAlign w:val="center"/>
          </w:tcPr>
          <w:p>
            <w:pPr>
              <w:widowControl/>
              <w:jc w:val="left"/>
              <w:textAlignment w:val="center"/>
              <w:rPr>
                <w:rFonts w:ascii="宋体" w:hAnsi="宋体" w:cs="宋体"/>
                <w:kern w:val="0"/>
                <w:sz w:val="20"/>
                <w:szCs w:val="20"/>
                <w:lang w:bidi="ar"/>
              </w:rPr>
            </w:pPr>
            <w:r>
              <w:rPr>
                <w:color w:val="000000"/>
                <w:kern w:val="0"/>
                <w:sz w:val="20"/>
                <w:szCs w:val="20"/>
                <w:lang w:bidi="ar"/>
              </w:rPr>
              <w:t>T/CSEE 0</w:t>
            </w:r>
            <w:r>
              <w:rPr>
                <w:rFonts w:hint="eastAsia"/>
                <w:color w:val="000000"/>
                <w:kern w:val="0"/>
                <w:sz w:val="20"/>
                <w:szCs w:val="20"/>
                <w:lang w:bidi="ar"/>
              </w:rPr>
              <w:t>480</w:t>
            </w:r>
            <w:r>
              <w:rPr>
                <w:rFonts w:hint="eastAsia"/>
                <w:kern w:val="0"/>
                <w:sz w:val="20"/>
                <w:szCs w:val="20"/>
                <w:lang w:bidi="ar"/>
              </w:rPr>
              <w:t>-</w:t>
            </w:r>
            <w:r>
              <w:rPr>
                <w:color w:val="000000"/>
                <w:kern w:val="0"/>
                <w:sz w:val="20"/>
                <w:szCs w:val="20"/>
                <w:lang w:bidi="ar"/>
              </w:rPr>
              <w:t>202</w:t>
            </w:r>
            <w:r>
              <w:rPr>
                <w:rFonts w:hint="eastAsia"/>
                <w:color w:val="000000"/>
                <w:kern w:val="0"/>
                <w:sz w:val="20"/>
                <w:szCs w:val="20"/>
                <w:lang w:bidi="ar"/>
              </w:rPr>
              <w:t>4</w:t>
            </w:r>
          </w:p>
        </w:tc>
        <w:tc>
          <w:tcPr>
            <w:tcW w:w="1843"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技术标准</w:t>
            </w:r>
          </w:p>
        </w:tc>
        <w:tc>
          <w:tcPr>
            <w:tcW w:w="6854" w:type="dxa"/>
            <w:noWrap/>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换流站阀冷控制保护系统测试装置技术要求</w:t>
            </w:r>
          </w:p>
        </w:tc>
        <w:tc>
          <w:tcPr>
            <w:tcW w:w="3427" w:type="dxa"/>
            <w:noWrap w:val="0"/>
            <w:vAlign w:val="center"/>
          </w:tcPr>
          <w:p>
            <w:pPr>
              <w:widowControl/>
              <w:jc w:val="center"/>
              <w:textAlignment w:val="center"/>
              <w:rPr>
                <w:rFonts w:hint="eastAsia"/>
                <w:kern w:val="0"/>
                <w:sz w:val="20"/>
                <w:szCs w:val="20"/>
                <w:lang w:bidi="ar"/>
              </w:rPr>
            </w:pPr>
            <w:r>
              <w:rPr>
                <w:rFonts w:hint="eastAsia" w:ascii="宋体" w:hAnsi="宋体" w:cs="宋体"/>
                <w:color w:val="000000"/>
                <w:kern w:val="0"/>
                <w:sz w:val="22"/>
                <w:szCs w:val="22"/>
                <w:lang w:bidi="ar"/>
              </w:rPr>
              <w:t>直流输电与电力电子专业委员会</w:t>
            </w:r>
          </w:p>
        </w:tc>
      </w:tr>
    </w:tbl>
    <w:p>
      <w:pPr>
        <w:adjustRightInd w:val="0"/>
        <w:snapToGrid w:val="0"/>
        <w:spacing w:before="156" w:beforeLines="50" w:line="360" w:lineRule="auto"/>
        <w:jc w:val="left"/>
        <w:rPr>
          <w:rStyle w:val="7"/>
          <w:rFonts w:hint="eastAsia"/>
        </w:rPr>
      </w:pPr>
      <w:r>
        <w:t xml:space="preserve"> </w:t>
      </w:r>
    </w:p>
    <w:p>
      <w:bookmarkStart w:id="0" w:name="_GoBack"/>
      <w:bookmarkEnd w:id="0"/>
    </w:p>
    <w:sectPr>
      <w:pgSz w:w="16838" w:h="11906" w:orient="landscape"/>
      <w:pgMar w:top="1474" w:right="1440" w:bottom="1474" w:left="1440"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小标宋简体">
    <w:panose1 w:val="00000600000000000000"/>
    <w:charset w:val="86"/>
    <w:family w:val="script"/>
    <w:pitch w:val="default"/>
    <w:sig w:usb0="800002BF" w:usb1="184F6CF8" w:usb2="00000012" w:usb3="00000000" w:csb0="00160001" w:csb1="12030000"/>
  </w:font>
  <w:font w:name="华文中宋">
    <w:altName w:val="汉仪书宋二KW"/>
    <w:panose1 w:val="02010600040101010101"/>
    <w:charset w:val="00"/>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E5787"/>
    <w:multiLevelType w:val="multilevel"/>
    <w:tmpl w:val="08DE5787"/>
    <w:lvl w:ilvl="0" w:tentative="0">
      <w:start w:val="1"/>
      <w:numFmt w:val="decimal"/>
      <w:lvlText w:val="%1."/>
      <w:lvlJc w:val="left"/>
      <w:pPr>
        <w:ind w:left="596" w:hanging="420"/>
      </w:pPr>
    </w:lvl>
    <w:lvl w:ilvl="1" w:tentative="0">
      <w:start w:val="1"/>
      <w:numFmt w:val="lowerLetter"/>
      <w:lvlText w:val="%2)"/>
      <w:lvlJc w:val="left"/>
      <w:pPr>
        <w:ind w:left="1016" w:hanging="420"/>
      </w:pPr>
    </w:lvl>
    <w:lvl w:ilvl="2" w:tentative="0">
      <w:start w:val="1"/>
      <w:numFmt w:val="lowerRoman"/>
      <w:lvlText w:val="%3."/>
      <w:lvlJc w:val="right"/>
      <w:pPr>
        <w:ind w:left="1436" w:hanging="420"/>
      </w:pPr>
    </w:lvl>
    <w:lvl w:ilvl="3" w:tentative="0">
      <w:start w:val="1"/>
      <w:numFmt w:val="decimal"/>
      <w:lvlText w:val="%4."/>
      <w:lvlJc w:val="left"/>
      <w:pPr>
        <w:ind w:left="1856" w:hanging="420"/>
      </w:pPr>
    </w:lvl>
    <w:lvl w:ilvl="4" w:tentative="0">
      <w:start w:val="1"/>
      <w:numFmt w:val="lowerLetter"/>
      <w:lvlText w:val="%5)"/>
      <w:lvlJc w:val="left"/>
      <w:pPr>
        <w:ind w:left="2276" w:hanging="420"/>
      </w:pPr>
    </w:lvl>
    <w:lvl w:ilvl="5" w:tentative="0">
      <w:start w:val="1"/>
      <w:numFmt w:val="lowerRoman"/>
      <w:lvlText w:val="%6."/>
      <w:lvlJc w:val="right"/>
      <w:pPr>
        <w:ind w:left="2696" w:hanging="420"/>
      </w:pPr>
    </w:lvl>
    <w:lvl w:ilvl="6" w:tentative="0">
      <w:start w:val="1"/>
      <w:numFmt w:val="decimal"/>
      <w:lvlText w:val="%7."/>
      <w:lvlJc w:val="left"/>
      <w:pPr>
        <w:ind w:left="3116" w:hanging="420"/>
      </w:pPr>
    </w:lvl>
    <w:lvl w:ilvl="7" w:tentative="0">
      <w:start w:val="1"/>
      <w:numFmt w:val="lowerLetter"/>
      <w:lvlText w:val="%8)"/>
      <w:lvlJc w:val="left"/>
      <w:pPr>
        <w:ind w:left="3536" w:hanging="420"/>
      </w:pPr>
    </w:lvl>
    <w:lvl w:ilvl="8" w:tentative="0">
      <w:start w:val="1"/>
      <w:numFmt w:val="lowerRoman"/>
      <w:lvlText w:val="%9."/>
      <w:lvlJc w:val="right"/>
      <w:pPr>
        <w:ind w:left="39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9F95707"/>
    <w:rsid w:val="B9F95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character" w:styleId="7">
    <w:name w:val="Emphasis"/>
    <w:qFormat/>
    <w:uiPriority w:val="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2025-02-19T14:30:00Z</dcterms:created>
  <dc:creator>xy</dc:creator>
  <cp:lastModifiedBy>xy</cp:lastModifiedBy>
  <dcterms:modified xsi:type="dcterms:W3CDTF">2025-02-19T14:30:46Z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46D0C7FD86648012807AB567E617AF33_41</vt:lpwstr>
  </property>
</Properties>
</file>