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44"/>
          <w:szCs w:val="44"/>
        </w:rPr>
        <w:t>先进充电技术鉴定研讨会议程暨2025年度</w:t>
      </w:r>
    </w:p>
    <w:p>
      <w:pPr>
        <w:spacing w:line="560" w:lineRule="exact"/>
        <w:jc w:val="center"/>
        <w:rPr>
          <w:rFonts w:hint="eastAsia"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44"/>
          <w:szCs w:val="44"/>
        </w:rPr>
        <w:t>专委会工作会议议程</w:t>
      </w:r>
    </w:p>
    <w:p>
      <w:pPr>
        <w:spacing w:line="560" w:lineRule="exact"/>
        <w:jc w:val="center"/>
        <w:rPr>
          <w:rFonts w:hint="eastAsia" w:ascii="华文中宋" w:hAnsi="华文中宋" w:eastAsia="华文中宋" w:cs="方正小标宋_GBK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021"/>
        <w:gridCol w:w="2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tblHeader/>
        </w:trPr>
        <w:tc>
          <w:tcPr>
            <w:tcW w:w="2070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99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906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专委会工作会议（闭门会议限委员参加）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时间：4月17日 星期四 08:30-10:30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地点：一层 梧桐阁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08:3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08:45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《充分发挥专委会功能作用 以科技创新支撑新型电力系统建设》报告解读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黑体" w:hAnsi="黑体" w:eastAsia="仿宋" w:cs="黑体"/>
                <w:sz w:val="36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08:45-08:50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《中国电机工程学会专业委员会工作评估考核办法（试行）》宣贯解读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08:50-09:00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电动交通智能充换电网络专委会年度工作计划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09:00-10:30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委员研讨讨论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7" w:hRule="atLeast"/>
        </w:trPr>
        <w:tc>
          <w:tcPr>
            <w:tcW w:w="906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项目示范场站参观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hint="eastAsia" w:ascii="仿宋" w:hAnsi="仿宋" w:eastAsia="仿宋"/>
                <w:sz w:val="28"/>
                <w:szCs w:val="28"/>
              </w:rPr>
              <w:t>时间：4月17日 星期四 09:00-12:00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20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09:00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前往福民达科创中心参观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021" w:type="dxa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4"/>
                <w:sz w:val="28"/>
                <w:szCs w:val="28"/>
              </w:rPr>
              <w:t>非委员09:00-11:00参观后休息</w:t>
            </w:r>
          </w:p>
        </w:tc>
        <w:tc>
          <w:tcPr>
            <w:tcW w:w="2969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委员10:30-12:00参观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</w:trPr>
        <w:tc>
          <w:tcPr>
            <w:tcW w:w="906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bookmarkStart w:id="1" w:name="OLE_LINK4"/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先进充电技术鉴定会（全体参会人员参加）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时间：4月17日 星期四 13:30-15:00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13:30-13:40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嘉宾发言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13:40-14:10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2" w:name="_Hlk178068164"/>
            <w:bookmarkStart w:id="3" w:name="_Hlk178066423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《超大功率高效柔性充放电关键技术及示范应用》项目报告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14:10-14:30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提问及答疑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14:30-14:50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讨论形成鉴定意见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14:50-15:00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鉴定会议总结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9060" w:type="dxa"/>
            <w:gridSpan w:val="3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先进充电技术研讨会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时间：4月17日 星期四 15:20-17:10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嘉宾致辞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15:30-15:50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4" w:name="OLE_LINK16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专家报告1</w:t>
            </w:r>
          </w:p>
          <w:bookmarkEnd w:id="4"/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关于“十五五”充电设施发展的思考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15:50-</w:t>
            </w:r>
            <w:bookmarkStart w:id="5" w:name="OLE_LINK12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16:10</w:t>
            </w:r>
            <w:bookmarkEnd w:id="5"/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专家报告2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车网互动示范城市建设研究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16:10-16:30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专家报告3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跨省车网互动示范创新与实践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16:30-16:50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专家报告4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湖州车网互动试点项目介绍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16:50-17:10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专家报告5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超大功率充放电技术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906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重点企业考察及交流</w:t>
            </w:r>
          </w:p>
          <w:p>
            <w:pPr>
              <w:numPr>
                <w:ilvl w:val="255"/>
                <w:numId w:val="0"/>
              </w:numPr>
              <w:snapToGrid w:val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时间：4月18日 星期五 09:00-17:00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09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前往重点企业参观考察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自由交流与合作洽谈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深圳巴士新能源有限公司、深巴充电站（安托山）参观考察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070" w:type="dxa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16:00-17:00</w:t>
            </w:r>
          </w:p>
        </w:tc>
        <w:tc>
          <w:tcPr>
            <w:tcW w:w="6990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自由交流与合作洽谈</w:t>
            </w:r>
          </w:p>
        </w:tc>
      </w:tr>
    </w:tbl>
    <w:p>
      <w:pPr>
        <w:ind w:firstLine="560"/>
        <w:rPr>
          <w:rFonts w:hint="eastAsia" w:ascii="仿宋" w:hAnsi="仿宋" w:eastAsia="仿宋"/>
          <w:bCs/>
          <w:color w:val="000000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D2522"/>
    <w:multiLevelType w:val="singleLevel"/>
    <w:tmpl w:val="EE4D25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97A5"/>
    <w:rsid w:val="7EFB9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2025-04-08T15:09:00Z</dcterms:created>
  <dc:creator>xy</dc:creator>
  <cp:lastModifiedBy>xy</cp:lastModifiedBy>
  <dcterms:modified xsi:type="dcterms:W3CDTF">2025-04-08T15:09:45Z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88C8657B64F68EE88ECBF4673FDCF943_41</vt:lpwstr>
  </property>
</Properties>
</file>