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83A3D0">
      <w:pPr>
        <w:pStyle w:val="7"/>
        <w:rPr>
          <w:rFonts w:hint="eastAsia"/>
        </w:rPr>
      </w:pPr>
    </w:p>
    <w:p w14:paraId="42BCA91D">
      <w:pPr>
        <w:pStyle w:val="7"/>
        <w:rPr>
          <w:rFonts w:hint="eastAsia"/>
        </w:rPr>
      </w:pPr>
    </w:p>
    <w:p w14:paraId="32EB1904">
      <w:pPr>
        <w:pStyle w:val="7"/>
        <w:rPr>
          <w:rFonts w:hint="eastAsia"/>
        </w:rPr>
      </w:pPr>
    </w:p>
    <w:p w14:paraId="100681A9">
      <w:pPr>
        <w:pStyle w:val="7"/>
        <w:rPr>
          <w:rFonts w:hint="eastAsia"/>
        </w:rPr>
      </w:pPr>
    </w:p>
    <w:p w14:paraId="3185D97F">
      <w:pPr>
        <w:pStyle w:val="7"/>
        <w:rPr>
          <w:rFonts w:hint="eastAsia"/>
        </w:rPr>
      </w:pPr>
    </w:p>
    <w:p w14:paraId="4013C738">
      <w:pPr>
        <w:pStyle w:val="7"/>
        <w:rPr>
          <w:rFonts w:hint="eastAsia"/>
        </w:rPr>
      </w:pPr>
    </w:p>
    <w:p w14:paraId="22C2A0C4">
      <w:pPr>
        <w:pStyle w:val="7"/>
        <w:rPr>
          <w:rFonts w:hint="eastAsia"/>
        </w:rPr>
      </w:pPr>
    </w:p>
    <w:p w14:paraId="0D64A1AD">
      <w:pPr>
        <w:pStyle w:val="7"/>
        <w:rPr>
          <w:rFonts w:hint="eastAsia"/>
        </w:rPr>
      </w:pPr>
    </w:p>
    <w:p w14:paraId="7ABB5EA8">
      <w:pPr>
        <w:pStyle w:val="7"/>
        <w:rPr>
          <w:rFonts w:hint="eastAsia"/>
        </w:rPr>
      </w:pPr>
      <w:bookmarkStart w:id="32" w:name="_GoBack"/>
      <w:bookmarkEnd w:id="32"/>
    </w:p>
    <w:p w14:paraId="22838FDF">
      <w:pPr>
        <w:pStyle w:val="7"/>
        <w:rPr>
          <w:rFonts w:hint="eastAsia"/>
        </w:rPr>
      </w:pPr>
    </w:p>
    <w:p w14:paraId="57459B56">
      <w:pPr>
        <w:pStyle w:val="7"/>
        <w:rPr>
          <w:rFonts w:hint="eastAsia"/>
        </w:rPr>
      </w:pPr>
    </w:p>
    <w:p w14:paraId="73773F05">
      <w:pPr>
        <w:pStyle w:val="7"/>
        <w:ind w:firstLine="0" w:firstLineChars="0"/>
        <w:jc w:val="center"/>
        <w:rPr>
          <w:rFonts w:hint="eastAsia" w:ascii="黑体" w:eastAsia="黑体"/>
          <w:sz w:val="44"/>
          <w:szCs w:val="44"/>
        </w:rPr>
      </w:pPr>
      <w:r>
        <w:rPr>
          <w:rFonts w:hint="eastAsia" w:ascii="黑体" w:eastAsia="黑体"/>
          <w:sz w:val="44"/>
          <w:szCs w:val="44"/>
        </w:rPr>
        <w:t>气体绝缘金属封闭开关设备操作振动检测技术导则</w:t>
      </w:r>
    </w:p>
    <w:p w14:paraId="1D16E0A3">
      <w:pPr>
        <w:pStyle w:val="7"/>
        <w:rPr>
          <w:rFonts w:hint="eastAsia"/>
        </w:rPr>
      </w:pPr>
    </w:p>
    <w:p w14:paraId="37A1E3C3">
      <w:pPr>
        <w:pStyle w:val="7"/>
        <w:rPr>
          <w:rFonts w:hint="eastAsia"/>
        </w:rPr>
      </w:pPr>
    </w:p>
    <w:p w14:paraId="6E811F01">
      <w:pPr>
        <w:pStyle w:val="8"/>
        <w:numPr>
          <w:ilvl w:val="0"/>
          <w:numId w:val="0"/>
        </w:numPr>
        <w:jc w:val="center"/>
        <w:rPr>
          <w:rFonts w:hint="eastAsia" w:hAnsi="Times New Roman" w:cs="Times New Roman"/>
          <w:sz w:val="28"/>
          <w:szCs w:val="28"/>
        </w:rPr>
      </w:pPr>
      <w:bookmarkStart w:id="0" w:name="_Toc298937333"/>
      <w:bookmarkStart w:id="1" w:name="_Toc298937368"/>
      <w:bookmarkStart w:id="2" w:name="_Toc310002657"/>
      <w:bookmarkStart w:id="3" w:name="_Toc298938794"/>
      <w:bookmarkStart w:id="4" w:name="_Toc304824981"/>
      <w:bookmarkStart w:id="5" w:name="_Toc304825020"/>
      <w:bookmarkStart w:id="6" w:name="_Toc309995492"/>
      <w:bookmarkStart w:id="7" w:name="_Toc318613715"/>
      <w:bookmarkStart w:id="8" w:name="_Toc304828086"/>
      <w:bookmarkStart w:id="9" w:name="_Toc298937473"/>
      <w:bookmarkStart w:id="10" w:name="_Toc309994571"/>
      <w:bookmarkStart w:id="11" w:name="_Toc309993200"/>
      <w:bookmarkStart w:id="12" w:name="_Toc298937620"/>
      <w:bookmarkStart w:id="13" w:name="_Toc309995410"/>
      <w:bookmarkStart w:id="14" w:name="_Toc309995598"/>
      <w:bookmarkStart w:id="15" w:name="_Toc298938646"/>
      <w:bookmarkStart w:id="16" w:name="_Toc298937560"/>
      <w:bookmarkStart w:id="17" w:name="_Toc298937430"/>
      <w:bookmarkStart w:id="18" w:name="_Toc309997060"/>
      <w:bookmarkStart w:id="19" w:name="_Toc320020914"/>
      <w:bookmarkStart w:id="20" w:name="_Toc304825093"/>
      <w:bookmarkStart w:id="21" w:name="_Toc304402675"/>
      <w:bookmarkStart w:id="22" w:name="_Toc309996019"/>
      <w:r>
        <w:rPr>
          <w:rFonts w:hint="eastAsia" w:hAnsi="Times New Roman" w:cs="Times New Roman"/>
          <w:sz w:val="28"/>
          <w:szCs w:val="28"/>
        </w:rPr>
        <w:t>编 制 说</w:t>
      </w:r>
      <w:bookmarkEnd w:id="0"/>
      <w:bookmarkEnd w:id="1"/>
      <w:r>
        <w:rPr>
          <w:rFonts w:hint="eastAsia" w:hAnsi="Times New Roman" w:cs="Times New Roman"/>
          <w:sz w:val="28"/>
          <w:szCs w:val="28"/>
        </w:rPr>
        <w:t> 明</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002450BA">
      <w:pPr>
        <w:pStyle w:val="9"/>
        <w:rPr>
          <w:rFonts w:hint="eastAsia"/>
        </w:rPr>
        <w:sectPr>
          <w:pgSz w:w="11906" w:h="16838"/>
          <w:pgMar w:top="567" w:right="1134" w:bottom="1134" w:left="1417" w:header="1418" w:footer="1134" w:gutter="0"/>
          <w:pgNumType w:start="1"/>
          <w:cols w:space="720" w:num="1"/>
          <w:formProt w:val="0"/>
          <w:docGrid w:type="lines" w:linePitch="312" w:charSpace="0"/>
        </w:sectPr>
      </w:pPr>
      <w:bookmarkStart w:id="23" w:name="_Toc513731109"/>
      <w:bookmarkStart w:id="24" w:name="_Toc309992160"/>
      <w:bookmarkStart w:id="25" w:name="_Toc513731021"/>
    </w:p>
    <w:p w14:paraId="6C4B32E9">
      <w:pPr>
        <w:pStyle w:val="9"/>
        <w:rPr>
          <w:rFonts w:hint="eastAsia"/>
        </w:rPr>
      </w:pPr>
      <w:r>
        <w:rPr>
          <w:rFonts w:hint="eastAsia"/>
        </w:rPr>
        <w:t>目次</w:t>
      </w:r>
      <w:bookmarkEnd w:id="23"/>
      <w:bookmarkEnd w:id="24"/>
      <w:bookmarkEnd w:id="25"/>
    </w:p>
    <w:p w14:paraId="2667CBCF">
      <w:pPr>
        <w:pStyle w:val="3"/>
        <w:spacing w:before="78" w:after="78"/>
        <w:rPr>
          <w:rFonts w:ascii="Calibri" w:hAnsi="Calibri"/>
          <w:szCs w:val="22"/>
        </w:rPr>
      </w:pPr>
      <w:r>
        <w:rPr>
          <w:rFonts w:hAnsi="宋体"/>
        </w:rPr>
        <w:fldChar w:fldCharType="begin"/>
      </w:r>
      <w:r>
        <w:rPr>
          <w:rFonts w:hAnsi="宋体"/>
        </w:rPr>
        <w:instrText xml:space="preserve"> </w:instrText>
      </w:r>
      <w:r>
        <w:rPr>
          <w:rFonts w:hint="eastAsia" w:hAnsi="宋体"/>
        </w:rPr>
        <w:instrText xml:space="preserve">TOC \o "1-1" \h \z \u</w:instrText>
      </w:r>
      <w:r>
        <w:rPr>
          <w:rFonts w:hAnsi="宋体"/>
        </w:rPr>
        <w:instrText xml:space="preserve"> </w:instrText>
      </w:r>
      <w:r>
        <w:rPr>
          <w:rFonts w:hAnsi="宋体"/>
        </w:rPr>
        <w:fldChar w:fldCharType="separate"/>
      </w:r>
    </w:p>
    <w:p w14:paraId="44500E20">
      <w:pPr>
        <w:pStyle w:val="3"/>
        <w:spacing w:before="78" w:after="78"/>
        <w:rPr>
          <w:rFonts w:ascii="Calibri" w:hAnsi="Calibri"/>
          <w:szCs w:val="22"/>
        </w:rPr>
      </w:pPr>
      <w:r>
        <w:fldChar w:fldCharType="begin"/>
      </w:r>
      <w:r>
        <w:rPr>
          <w:rStyle w:val="6"/>
          <w:color w:val="auto"/>
        </w:rPr>
        <w:instrText xml:space="preserve"> </w:instrText>
      </w:r>
      <w:r>
        <w:instrText xml:space="preserve">HYPERLINK \l "_Toc513731110"</w:instrText>
      </w:r>
      <w:r>
        <w:rPr>
          <w:rStyle w:val="6"/>
          <w:color w:val="auto"/>
        </w:rPr>
        <w:instrText xml:space="preserve"> </w:instrText>
      </w:r>
      <w:r>
        <w:fldChar w:fldCharType="separate"/>
      </w:r>
      <w:r>
        <w:rPr>
          <w:rStyle w:val="6"/>
          <w:rFonts w:hAnsi="宋体"/>
          <w:color w:val="auto"/>
        </w:rPr>
        <w:t xml:space="preserve">1 </w:t>
      </w:r>
      <w:r>
        <w:rPr>
          <w:rStyle w:val="6"/>
          <w:rFonts w:hint="eastAsia" w:hAnsi="宋体"/>
          <w:color w:val="auto"/>
        </w:rPr>
        <w:t>编制背景</w:t>
      </w:r>
      <w:r>
        <w:tab/>
      </w:r>
      <w:r>
        <w:fldChar w:fldCharType="begin"/>
      </w:r>
      <w:r>
        <w:instrText xml:space="preserve"> PAGEREF _Toc513731110 \h </w:instrText>
      </w:r>
      <w:r>
        <w:fldChar w:fldCharType="separate"/>
      </w:r>
      <w:r>
        <w:t>2</w:t>
      </w:r>
      <w:r>
        <w:fldChar w:fldCharType="end"/>
      </w:r>
      <w:r>
        <w:fldChar w:fldCharType="end"/>
      </w:r>
    </w:p>
    <w:p w14:paraId="27F3005D">
      <w:pPr>
        <w:pStyle w:val="3"/>
        <w:spacing w:before="78" w:after="78"/>
        <w:rPr>
          <w:rFonts w:ascii="Calibri" w:hAnsi="Calibri"/>
          <w:szCs w:val="22"/>
        </w:rPr>
      </w:pPr>
      <w:r>
        <w:fldChar w:fldCharType="begin"/>
      </w:r>
      <w:r>
        <w:rPr>
          <w:rStyle w:val="6"/>
          <w:color w:val="auto"/>
        </w:rPr>
        <w:instrText xml:space="preserve"> </w:instrText>
      </w:r>
      <w:r>
        <w:instrText xml:space="preserve">HYPERLINK \l "_Toc513731111"</w:instrText>
      </w:r>
      <w:r>
        <w:rPr>
          <w:rStyle w:val="6"/>
          <w:color w:val="auto"/>
        </w:rPr>
        <w:instrText xml:space="preserve"> </w:instrText>
      </w:r>
      <w:r>
        <w:fldChar w:fldCharType="separate"/>
      </w:r>
      <w:r>
        <w:rPr>
          <w:rStyle w:val="6"/>
          <w:rFonts w:hAnsi="宋体"/>
          <w:color w:val="auto"/>
        </w:rPr>
        <w:t xml:space="preserve">2 </w:t>
      </w:r>
      <w:r>
        <w:rPr>
          <w:rStyle w:val="6"/>
          <w:rFonts w:hint="eastAsia" w:hAnsi="宋体"/>
          <w:color w:val="auto"/>
        </w:rPr>
        <w:t>编制主要原则</w:t>
      </w:r>
      <w:r>
        <w:tab/>
      </w:r>
      <w:r>
        <w:fldChar w:fldCharType="begin"/>
      </w:r>
      <w:r>
        <w:instrText xml:space="preserve"> PAGEREF _Toc513731111 \h </w:instrText>
      </w:r>
      <w:r>
        <w:fldChar w:fldCharType="separate"/>
      </w:r>
      <w:r>
        <w:t>2</w:t>
      </w:r>
      <w:r>
        <w:fldChar w:fldCharType="end"/>
      </w:r>
      <w:r>
        <w:fldChar w:fldCharType="end"/>
      </w:r>
    </w:p>
    <w:p w14:paraId="20069748">
      <w:pPr>
        <w:pStyle w:val="3"/>
        <w:spacing w:before="78" w:after="78"/>
        <w:rPr>
          <w:rFonts w:ascii="Calibri" w:hAnsi="Calibri"/>
          <w:szCs w:val="22"/>
        </w:rPr>
      </w:pPr>
      <w:r>
        <w:fldChar w:fldCharType="begin"/>
      </w:r>
      <w:r>
        <w:rPr>
          <w:rStyle w:val="6"/>
          <w:color w:val="auto"/>
        </w:rPr>
        <w:instrText xml:space="preserve"> </w:instrText>
      </w:r>
      <w:r>
        <w:instrText xml:space="preserve">HYPERLINK \l "_Toc513731112"</w:instrText>
      </w:r>
      <w:r>
        <w:rPr>
          <w:rStyle w:val="6"/>
          <w:color w:val="auto"/>
        </w:rPr>
        <w:instrText xml:space="preserve"> </w:instrText>
      </w:r>
      <w:r>
        <w:fldChar w:fldCharType="separate"/>
      </w:r>
      <w:r>
        <w:rPr>
          <w:rStyle w:val="6"/>
          <w:rFonts w:hAnsi="宋体"/>
          <w:color w:val="auto"/>
          <w:lang w:eastAsia="zh-CN"/>
        </w:rPr>
        <w:t>3</w:t>
      </w:r>
      <w:r>
        <w:rPr>
          <w:rStyle w:val="6"/>
          <w:rFonts w:hAnsi="宋体"/>
          <w:color w:val="auto"/>
        </w:rPr>
        <w:t xml:space="preserve"> </w:t>
      </w:r>
      <w:r>
        <w:rPr>
          <w:rStyle w:val="6"/>
          <w:rFonts w:hint="eastAsia" w:hAnsi="宋体"/>
          <w:color w:val="auto"/>
        </w:rPr>
        <w:t>主要工作过程</w:t>
      </w:r>
      <w:r>
        <w:tab/>
      </w:r>
      <w:r>
        <w:fldChar w:fldCharType="begin"/>
      </w:r>
      <w:r>
        <w:instrText xml:space="preserve"> PAGEREF _Toc513731112 \h </w:instrText>
      </w:r>
      <w:r>
        <w:fldChar w:fldCharType="separate"/>
      </w:r>
      <w:r>
        <w:t>2</w:t>
      </w:r>
      <w:r>
        <w:fldChar w:fldCharType="end"/>
      </w:r>
      <w:r>
        <w:fldChar w:fldCharType="end"/>
      </w:r>
    </w:p>
    <w:p w14:paraId="659308DE">
      <w:pPr>
        <w:pStyle w:val="3"/>
        <w:spacing w:before="78" w:after="78"/>
        <w:rPr>
          <w:rFonts w:ascii="Calibri" w:hAnsi="Calibri"/>
          <w:szCs w:val="22"/>
        </w:rPr>
      </w:pPr>
      <w:r>
        <w:fldChar w:fldCharType="begin"/>
      </w:r>
      <w:r>
        <w:rPr>
          <w:rStyle w:val="6"/>
          <w:color w:val="auto"/>
        </w:rPr>
        <w:instrText xml:space="preserve"> </w:instrText>
      </w:r>
      <w:r>
        <w:instrText xml:space="preserve">HYPERLINK \l "_Toc513731113"</w:instrText>
      </w:r>
      <w:r>
        <w:rPr>
          <w:rStyle w:val="6"/>
          <w:color w:val="auto"/>
        </w:rPr>
        <w:instrText xml:space="preserve"> </w:instrText>
      </w:r>
      <w:r>
        <w:fldChar w:fldCharType="separate"/>
      </w:r>
      <w:r>
        <w:rPr>
          <w:rStyle w:val="6"/>
          <w:rFonts w:hAnsi="宋体"/>
          <w:color w:val="auto"/>
          <w:lang w:eastAsia="zh-CN"/>
        </w:rPr>
        <w:t>4</w:t>
      </w:r>
      <w:r>
        <w:rPr>
          <w:rStyle w:val="6"/>
          <w:color w:val="auto"/>
        </w:rPr>
        <w:t xml:space="preserve"> </w:t>
      </w:r>
      <w:r>
        <w:rPr>
          <w:rStyle w:val="6"/>
          <w:rFonts w:hint="eastAsia"/>
          <w:color w:val="auto"/>
        </w:rPr>
        <w:t>标准结构和内容</w:t>
      </w:r>
      <w:r>
        <w:rPr>
          <w:rStyle w:val="6"/>
          <w:rFonts w:hint="eastAsia"/>
          <w:color w:val="auto"/>
          <w:lang w:eastAsia="zh-CN"/>
        </w:rPr>
        <w:t>说明</w:t>
      </w:r>
      <w:r>
        <w:tab/>
      </w:r>
      <w:r>
        <w:rPr>
          <w:rFonts w:hint="eastAsia"/>
        </w:rPr>
        <w:t>2</w:t>
      </w:r>
      <w:r>
        <w:fldChar w:fldCharType="end"/>
      </w:r>
    </w:p>
    <w:p w14:paraId="2C60AA09">
      <w:pPr>
        <w:pStyle w:val="3"/>
        <w:spacing w:before="78" w:after="78"/>
        <w:rPr>
          <w:rFonts w:ascii="Calibri" w:hAnsi="Calibri"/>
          <w:szCs w:val="22"/>
        </w:rPr>
      </w:pPr>
      <w:r>
        <w:fldChar w:fldCharType="begin"/>
      </w:r>
      <w:r>
        <w:rPr>
          <w:rStyle w:val="6"/>
          <w:color w:val="auto"/>
        </w:rPr>
        <w:instrText xml:space="preserve"> </w:instrText>
      </w:r>
      <w:r>
        <w:instrText xml:space="preserve">HYPERLINK \l "_Toc513731114"</w:instrText>
      </w:r>
      <w:r>
        <w:rPr>
          <w:rStyle w:val="6"/>
          <w:color w:val="auto"/>
        </w:rPr>
        <w:instrText xml:space="preserve"> </w:instrText>
      </w:r>
      <w:r>
        <w:fldChar w:fldCharType="separate"/>
      </w:r>
      <w:r>
        <w:rPr>
          <w:rStyle w:val="6"/>
          <w:rFonts w:hAnsi="宋体"/>
          <w:color w:val="auto"/>
          <w:lang w:eastAsia="zh-CN"/>
        </w:rPr>
        <w:t>5</w:t>
      </w:r>
      <w:r>
        <w:rPr>
          <w:rStyle w:val="6"/>
          <w:rFonts w:hint="eastAsia"/>
          <w:color w:val="auto"/>
          <w:lang w:eastAsia="zh-CN"/>
        </w:rPr>
        <w:t>标准水平</w:t>
      </w:r>
      <w:r>
        <w:rPr>
          <w:rStyle w:val="6"/>
          <w:rFonts w:hint="eastAsia"/>
          <w:color w:val="auto"/>
        </w:rPr>
        <w:t>说明</w:t>
      </w:r>
      <w:r>
        <w:tab/>
      </w:r>
      <w:r>
        <w:fldChar w:fldCharType="begin"/>
      </w:r>
      <w:r>
        <w:instrText xml:space="preserve"> PAGEREF _Toc513731114 \h </w:instrText>
      </w:r>
      <w:r>
        <w:fldChar w:fldCharType="separate"/>
      </w:r>
      <w:r>
        <w:t>3</w:t>
      </w:r>
      <w:r>
        <w:fldChar w:fldCharType="end"/>
      </w:r>
      <w:r>
        <w:fldChar w:fldCharType="end"/>
      </w:r>
    </w:p>
    <w:p w14:paraId="43BA691E">
      <w:pPr>
        <w:pStyle w:val="3"/>
        <w:spacing w:before="78" w:after="78"/>
        <w:rPr>
          <w:rFonts w:ascii="Calibri" w:hAnsi="Calibri"/>
          <w:szCs w:val="22"/>
        </w:rPr>
      </w:pPr>
      <w:r>
        <w:fldChar w:fldCharType="begin"/>
      </w:r>
      <w:r>
        <w:rPr>
          <w:rStyle w:val="6"/>
          <w:color w:val="auto"/>
        </w:rPr>
        <w:instrText xml:space="preserve"> </w:instrText>
      </w:r>
      <w:r>
        <w:instrText xml:space="preserve">HYPERLINK \l "_Toc513731115"</w:instrText>
      </w:r>
      <w:r>
        <w:rPr>
          <w:rStyle w:val="6"/>
          <w:color w:val="auto"/>
        </w:rPr>
        <w:instrText xml:space="preserve"> </w:instrText>
      </w:r>
      <w:r>
        <w:fldChar w:fldCharType="separate"/>
      </w:r>
      <w:r>
        <w:rPr>
          <w:rStyle w:val="6"/>
          <w:rFonts w:hAnsi="宋体"/>
          <w:color w:val="auto"/>
          <w:lang w:eastAsia="zh-CN"/>
        </w:rPr>
        <w:t>6</w:t>
      </w:r>
      <w:r>
        <w:rPr>
          <w:rStyle w:val="6"/>
          <w:rFonts w:hint="eastAsia" w:hAnsi="宋体"/>
          <w:color w:val="auto"/>
        </w:rPr>
        <w:t>标准实施措施说明</w:t>
      </w:r>
      <w:r>
        <w:tab/>
      </w:r>
      <w:r>
        <w:fldChar w:fldCharType="begin"/>
      </w:r>
      <w:r>
        <w:instrText xml:space="preserve"> PAGEREF _Toc513731115 \h </w:instrText>
      </w:r>
      <w:r>
        <w:fldChar w:fldCharType="separate"/>
      </w:r>
      <w:r>
        <w:t>3</w:t>
      </w:r>
      <w:r>
        <w:fldChar w:fldCharType="end"/>
      </w:r>
      <w:r>
        <w:fldChar w:fldCharType="end"/>
      </w:r>
    </w:p>
    <w:p w14:paraId="2E22981F">
      <w:pPr>
        <w:pStyle w:val="8"/>
        <w:numPr>
          <w:ilvl w:val="0"/>
          <w:numId w:val="0"/>
        </w:numPr>
        <w:jc w:val="center"/>
        <w:rPr>
          <w:rFonts w:hAnsi="宋体"/>
          <w:szCs w:val="21"/>
        </w:rPr>
      </w:pPr>
      <w:r>
        <w:rPr>
          <w:rFonts w:hAnsi="宋体"/>
          <w:szCs w:val="21"/>
        </w:rPr>
        <w:fldChar w:fldCharType="end"/>
      </w:r>
    </w:p>
    <w:p w14:paraId="1B3DB99D">
      <w:pPr>
        <w:pStyle w:val="10"/>
        <w:spacing w:before="312" w:after="312"/>
        <w:rPr>
          <w:rFonts w:hint="default" w:ascii="Times New Roman" w:hAnsi="Times New Roman"/>
          <w:szCs w:val="21"/>
        </w:rPr>
      </w:pPr>
      <w:r>
        <w:rPr>
          <w:rFonts w:hAnsi="宋体"/>
          <w:szCs w:val="21"/>
        </w:rPr>
        <w:br w:type="page"/>
      </w:r>
      <w:bookmarkStart w:id="26" w:name="_Toc513731110"/>
      <w:r>
        <w:rPr>
          <w:rFonts w:hint="default" w:ascii="Times New Roman" w:hAnsi="Times New Roman"/>
          <w:szCs w:val="21"/>
        </w:rPr>
        <w:t xml:space="preserve">1 </w:t>
      </w:r>
      <w:r>
        <w:rPr>
          <w:rFonts w:hint="default" w:ascii="Times New Roman" w:hAnsi="宋体"/>
          <w:szCs w:val="21"/>
        </w:rPr>
        <w:t>编制背景</w:t>
      </w:r>
      <w:bookmarkEnd w:id="26"/>
    </w:p>
    <w:p w14:paraId="4AC828BF">
      <w:pPr>
        <w:pStyle w:val="7"/>
        <w:rPr>
          <w:rFonts w:ascii="Times New Roman"/>
        </w:rPr>
      </w:pPr>
      <w:r>
        <w:rPr>
          <w:rFonts w:hint="default" w:ascii="Times New Roman"/>
        </w:rPr>
        <w:t>本标准是根据中国电机工程学会电机咨〔2023〕512号</w:t>
      </w:r>
      <w:r>
        <w:rPr>
          <w:rFonts w:hint="eastAsia" w:ascii="Times New Roman"/>
          <w:lang w:val="en-US" w:eastAsia="zh-CN"/>
        </w:rPr>
        <w:t>文</w:t>
      </w:r>
      <w:r>
        <w:rPr>
          <w:rFonts w:hint="default" w:ascii="Times New Roman"/>
        </w:rPr>
        <w:t>，中国电机工程学会关于印发“中国电机工程学会2023年标准计划（第二批）”的通知，项目序号</w:t>
      </w:r>
      <w:r>
        <w:rPr>
          <w:rFonts w:hint="eastAsia" w:ascii="Times New Roman"/>
          <w:lang w:val="en-US" w:eastAsia="zh-CN"/>
        </w:rPr>
        <w:t>45</w:t>
      </w:r>
      <w:r>
        <w:rPr>
          <w:rFonts w:hint="default" w:ascii="Times New Roman"/>
        </w:rPr>
        <w:t>（编号</w:t>
      </w:r>
      <w:r>
        <w:rPr>
          <w:rFonts w:hint="eastAsia" w:ascii="Times New Roman"/>
          <w:lang w:val="en-US" w:eastAsia="zh-CN"/>
        </w:rPr>
        <w:t>202311140001</w:t>
      </w:r>
      <w:r>
        <w:rPr>
          <w:rFonts w:hint="default" w:ascii="Times New Roman"/>
        </w:rPr>
        <w:t>）</w:t>
      </w:r>
      <w:r>
        <w:rPr>
          <w:rFonts w:hint="default" w:ascii="Times New Roman" w:hAnsi="Times New Roman" w:eastAsia="宋体" w:cs="Times New Roman"/>
        </w:rPr>
        <w:t>制订“</w:t>
      </w:r>
      <w:r>
        <w:rPr>
          <w:rFonts w:hint="eastAsia" w:ascii="Times New Roman" w:hAnsi="Times New Roman" w:eastAsia="宋体" w:cs="Times New Roman"/>
        </w:rPr>
        <w:t>气体绝缘金属封闭开关设备操作振动检测技术导则</w:t>
      </w:r>
      <w:r>
        <w:rPr>
          <w:rFonts w:hint="default" w:ascii="Times New Roman" w:hAnsi="Times New Roman" w:eastAsia="宋体" w:cs="Times New Roman"/>
        </w:rPr>
        <w:t>”。由</w:t>
      </w:r>
      <w:r>
        <w:rPr>
          <w:rFonts w:hint="default" w:ascii="Times New Roman"/>
        </w:rPr>
        <w:t>国网宁夏电力有限公司电力科学研究院</w:t>
      </w:r>
      <w:r>
        <w:rPr>
          <w:rFonts w:ascii="Times New Roman"/>
        </w:rPr>
        <w:t>负责起草。</w:t>
      </w:r>
    </w:p>
    <w:p w14:paraId="5A1314BD">
      <w:pPr>
        <w:pStyle w:val="7"/>
        <w:rPr>
          <w:rFonts w:hint="default" w:ascii="Times New Roman"/>
        </w:rPr>
      </w:pPr>
      <w:r>
        <w:rPr>
          <w:rFonts w:hint="default" w:ascii="Times New Roman"/>
        </w:rPr>
        <w:t>为规范气体绝缘金属封闭开关设备断路器分合闸过程振动检测的检测装置、检测条件、检测方法和缺陷判断，指导生产和运行维护，确保电网的安全运行，国网宁夏电力有限公司电力科学研究院制订本标准。</w:t>
      </w:r>
    </w:p>
    <w:p w14:paraId="4175D3C2">
      <w:pPr>
        <w:pStyle w:val="10"/>
        <w:spacing w:before="312" w:after="312"/>
        <w:rPr>
          <w:rFonts w:hint="default" w:ascii="Times New Roman" w:hAnsi="Times New Roman"/>
          <w:szCs w:val="21"/>
        </w:rPr>
      </w:pPr>
      <w:bookmarkStart w:id="27" w:name="_Toc513731111"/>
      <w:r>
        <w:rPr>
          <w:rFonts w:hint="default" w:ascii="Times New Roman" w:hAnsi="Times New Roman"/>
          <w:szCs w:val="21"/>
        </w:rPr>
        <w:t xml:space="preserve">2 </w:t>
      </w:r>
      <w:r>
        <w:rPr>
          <w:rFonts w:hint="default" w:ascii="Times New Roman" w:hAnsi="宋体"/>
          <w:szCs w:val="21"/>
        </w:rPr>
        <w:t>编制主要原则</w:t>
      </w:r>
      <w:bookmarkEnd w:id="27"/>
    </w:p>
    <w:p w14:paraId="76D664D5">
      <w:pPr>
        <w:pStyle w:val="7"/>
        <w:rPr>
          <w:rFonts w:hint="default" w:ascii="Times New Roman"/>
        </w:rPr>
      </w:pPr>
      <w:r>
        <w:rPr>
          <w:rFonts w:hint="default" w:ascii="Times New Roman"/>
        </w:rPr>
        <w:t>本标准是在GB/T 7674 《额定电压72.5kV及以上气体绝缘金属封闭开关设备》、GB/T 11022 《 高压开关设备和控制设备标准的共用技术标准》、DL/T 617《 气体绝缘金属封闭开关设备技术条件》、DL/T 618 《气体绝缘金属封闭开关设备现场交接试验规程》中要求相统一，针对</w:t>
      </w:r>
      <w:r>
        <w:rPr>
          <w:rFonts w:hint="eastAsia" w:ascii="Times New Roman"/>
          <w:lang w:val="en-US" w:eastAsia="zh-CN"/>
        </w:rPr>
        <w:t>振动</w:t>
      </w:r>
      <w:r>
        <w:rPr>
          <w:rFonts w:hint="default" w:ascii="Times New Roman"/>
        </w:rPr>
        <w:t>检测方法进行的补充和完善，总结现场试验经验而编制。</w:t>
      </w:r>
    </w:p>
    <w:p w14:paraId="543AD6B0">
      <w:pPr>
        <w:pStyle w:val="10"/>
        <w:spacing w:before="312" w:after="312"/>
        <w:rPr>
          <w:rFonts w:hint="default" w:ascii="Times New Roman" w:hAnsi="Times New Roman"/>
          <w:szCs w:val="21"/>
        </w:rPr>
      </w:pPr>
      <w:bookmarkStart w:id="28" w:name="_Toc513731112"/>
      <w:r>
        <w:rPr>
          <w:rFonts w:hint="default" w:ascii="Times New Roman" w:hAnsi="Times New Roman"/>
          <w:szCs w:val="21"/>
          <w:lang w:eastAsia="zh-CN"/>
        </w:rPr>
        <w:t>3</w:t>
      </w:r>
      <w:r>
        <w:rPr>
          <w:rFonts w:hint="default" w:ascii="Times New Roman" w:hAnsi="Times New Roman"/>
          <w:szCs w:val="21"/>
        </w:rPr>
        <w:t xml:space="preserve"> </w:t>
      </w:r>
      <w:r>
        <w:rPr>
          <w:rFonts w:hint="default" w:ascii="Times New Roman" w:hAnsi="宋体"/>
          <w:szCs w:val="21"/>
        </w:rPr>
        <w:t>主要工作过程</w:t>
      </w:r>
      <w:bookmarkEnd w:id="28"/>
    </w:p>
    <w:p w14:paraId="1644A858">
      <w:pPr>
        <w:pStyle w:val="11"/>
        <w:rPr>
          <w:rFonts w:hint="default" w:ascii="Times New Roman" w:hAnsi="Times New Roman"/>
        </w:rPr>
      </w:pPr>
      <w:r>
        <w:rPr>
          <w:rFonts w:hint="default" w:ascii="Times New Roman"/>
        </w:rPr>
        <w:t>自</w:t>
      </w:r>
      <w:r>
        <w:rPr>
          <w:rFonts w:hint="default" w:ascii="Times New Roman" w:hAnsi="Times New Roman"/>
        </w:rPr>
        <w:t>201</w:t>
      </w:r>
      <w:r>
        <w:rPr>
          <w:rFonts w:hint="eastAsia" w:ascii="Times New Roman" w:hAnsi="Times New Roman"/>
          <w:lang w:val="en-US" w:eastAsia="zh-CN"/>
        </w:rPr>
        <w:t>9</w:t>
      </w:r>
      <w:r>
        <w:rPr>
          <w:rFonts w:hint="default" w:ascii="Times New Roman"/>
        </w:rPr>
        <w:t>年起，国网宁夏电科院先后牵头开展了</w:t>
      </w:r>
      <w:r>
        <w:rPr>
          <w:rFonts w:hint="default" w:ascii="Times New Roman" w:hAnsi="Times New Roman"/>
        </w:rPr>
        <w:t>“</w:t>
      </w:r>
      <w:r>
        <w:rPr>
          <w:rFonts w:hint="default" w:ascii="Times New Roman"/>
        </w:rPr>
        <w:t>基于GIS开关操作声振特征的机械缺陷检测方法研究</w:t>
      </w:r>
      <w:r>
        <w:rPr>
          <w:rFonts w:hint="default" w:ascii="Times New Roman" w:hAnsi="Times New Roman"/>
        </w:rPr>
        <w:t>”</w:t>
      </w:r>
      <w:r>
        <w:rPr>
          <w:rFonts w:hint="default" w:ascii="Times New Roman"/>
        </w:rPr>
        <w:t>等项目研究工作，开发了</w:t>
      </w:r>
      <w:r>
        <w:rPr>
          <w:rFonts w:hint="eastAsia" w:ascii="Times New Roman"/>
          <w:lang w:val="en-US" w:eastAsia="zh-CN"/>
        </w:rPr>
        <w:t>GIS振动检测</w:t>
      </w:r>
      <w:r>
        <w:rPr>
          <w:rFonts w:hint="default" w:ascii="Times New Roman"/>
        </w:rPr>
        <w:t>系统，并在</w:t>
      </w:r>
      <w:r>
        <w:rPr>
          <w:rFonts w:hint="eastAsia" w:ascii="Times New Roman"/>
          <w:lang w:val="en-US" w:eastAsia="zh-CN"/>
        </w:rPr>
        <w:t>宁夏电网、设备制造厂等</w:t>
      </w:r>
      <w:r>
        <w:rPr>
          <w:rFonts w:hint="default" w:ascii="Times New Roman"/>
        </w:rPr>
        <w:t>进行了应用，积累了试验经验，</w:t>
      </w:r>
      <w:r>
        <w:rPr>
          <w:rFonts w:hint="eastAsia" w:ascii="Times New Roman"/>
          <w:lang w:val="en-US" w:eastAsia="zh-CN"/>
        </w:rPr>
        <w:t>可作为GIS机械故障诊断</w:t>
      </w:r>
      <w:r>
        <w:rPr>
          <w:rFonts w:hint="default" w:ascii="Times New Roman"/>
        </w:rPr>
        <w:t>的一种</w:t>
      </w:r>
      <w:r>
        <w:rPr>
          <w:rFonts w:hint="eastAsia" w:ascii="Times New Roman"/>
          <w:lang w:val="en-US" w:eastAsia="zh-CN"/>
        </w:rPr>
        <w:t>试验</w:t>
      </w:r>
      <w:r>
        <w:rPr>
          <w:rFonts w:hint="default" w:ascii="Times New Roman"/>
        </w:rPr>
        <w:t>方法，为</w:t>
      </w:r>
      <w:r>
        <w:rPr>
          <w:rFonts w:hint="eastAsia" w:ascii="Times New Roman"/>
          <w:lang w:val="en-US" w:eastAsia="zh-CN"/>
        </w:rPr>
        <w:t>GIS</w:t>
      </w:r>
      <w:r>
        <w:rPr>
          <w:rFonts w:hint="default" w:ascii="Times New Roman"/>
        </w:rPr>
        <w:t>的安全、可靠运行提供了有力的技术保障。国网宁夏电科院结合科技项目成果组织技术人员编制了《</w:t>
      </w:r>
      <w:r>
        <w:rPr>
          <w:rFonts w:hint="eastAsia" w:ascii="Times New Roman" w:hAnsi="Times New Roman" w:eastAsia="宋体" w:cs="Times New Roman"/>
        </w:rPr>
        <w:t>气体绝缘金属封闭开关设备操作振动检测技术导则</w:t>
      </w:r>
      <w:r>
        <w:rPr>
          <w:rFonts w:hint="default" w:ascii="Times New Roman"/>
        </w:rPr>
        <w:t>》初稿。</w:t>
      </w:r>
    </w:p>
    <w:p w14:paraId="5C73FF17">
      <w:pPr>
        <w:pStyle w:val="11"/>
        <w:rPr>
          <w:rFonts w:hint="default" w:ascii="Times New Roman" w:hAnsi="Times New Roman"/>
        </w:rPr>
      </w:pPr>
      <w:r>
        <w:rPr>
          <w:rFonts w:hint="default" w:ascii="Times New Roman" w:hAnsi="Times New Roman"/>
        </w:rPr>
        <w:t>20</w:t>
      </w:r>
      <w:r>
        <w:rPr>
          <w:rFonts w:hint="eastAsia" w:ascii="Times New Roman" w:hAnsi="Times New Roman"/>
          <w:lang w:val="en-US" w:eastAsia="zh-CN"/>
        </w:rPr>
        <w:t>23</w:t>
      </w:r>
      <w:r>
        <w:rPr>
          <w:rFonts w:hint="default" w:ascii="Times New Roman"/>
        </w:rPr>
        <w:t>年</w:t>
      </w:r>
      <w:r>
        <w:rPr>
          <w:rFonts w:hint="eastAsia" w:ascii="Times New Roman" w:hAnsi="Times New Roman"/>
          <w:lang w:val="en-US" w:eastAsia="zh-CN"/>
        </w:rPr>
        <w:t>11</w:t>
      </w:r>
      <w:r>
        <w:rPr>
          <w:rFonts w:hint="default" w:ascii="Times New Roman"/>
        </w:rPr>
        <w:t>月，向中国电机工程学会测试技术及仪表专委会提交了本标准的编制申请，并成立工作组。</w:t>
      </w:r>
    </w:p>
    <w:p w14:paraId="048909B3">
      <w:pPr>
        <w:pStyle w:val="11"/>
        <w:rPr>
          <w:rFonts w:hint="default" w:ascii="Times New Roman" w:hAnsi="Times New Roman"/>
        </w:rPr>
      </w:pPr>
      <w:r>
        <w:rPr>
          <w:rFonts w:hint="default" w:ascii="Times New Roman" w:hAnsi="Times New Roman"/>
        </w:rPr>
        <w:t>20</w:t>
      </w:r>
      <w:r>
        <w:rPr>
          <w:rFonts w:hint="eastAsia" w:ascii="Times New Roman" w:hAnsi="Times New Roman"/>
          <w:lang w:val="en-US" w:eastAsia="zh-CN"/>
        </w:rPr>
        <w:t>23</w:t>
      </w:r>
      <w:r>
        <w:rPr>
          <w:rFonts w:hint="default" w:ascii="Times New Roman"/>
        </w:rPr>
        <w:t>年</w:t>
      </w:r>
      <w:r>
        <w:rPr>
          <w:rFonts w:hint="eastAsia" w:ascii="Times New Roman"/>
          <w:lang w:val="en-US" w:eastAsia="zh-CN"/>
        </w:rPr>
        <w:t>1</w:t>
      </w:r>
      <w:r>
        <w:rPr>
          <w:rFonts w:hint="default" w:ascii="Times New Roman" w:hAnsi="Times New Roman"/>
        </w:rPr>
        <w:t>2</w:t>
      </w:r>
      <w:r>
        <w:rPr>
          <w:rFonts w:hint="default" w:ascii="Times New Roman"/>
        </w:rPr>
        <w:t>月，中国电机工程学会测试技术及仪表专委会团体标准下达了本标准编制计划任务书。</w:t>
      </w:r>
    </w:p>
    <w:p w14:paraId="51463FB2">
      <w:pPr>
        <w:pStyle w:val="11"/>
        <w:rPr>
          <w:rFonts w:hint="default" w:ascii="Times New Roman" w:hAnsi="Times New Roman"/>
        </w:rPr>
      </w:pPr>
      <w:r>
        <w:rPr>
          <w:rFonts w:hint="default" w:ascii="Times New Roman" w:hAnsi="Times New Roman"/>
        </w:rPr>
        <w:t>20</w:t>
      </w:r>
      <w:r>
        <w:rPr>
          <w:rFonts w:hint="eastAsia" w:ascii="Times New Roman" w:hAnsi="Times New Roman"/>
          <w:lang w:val="en-US" w:eastAsia="zh-CN"/>
        </w:rPr>
        <w:t>24</w:t>
      </w:r>
      <w:r>
        <w:rPr>
          <w:rFonts w:hint="default" w:ascii="Times New Roman"/>
        </w:rPr>
        <w:t>年</w:t>
      </w:r>
      <w:r>
        <w:rPr>
          <w:rFonts w:hint="default" w:ascii="Times New Roman" w:hAnsi="Times New Roman"/>
        </w:rPr>
        <w:t>4</w:t>
      </w:r>
      <w:r>
        <w:rPr>
          <w:rFonts w:hint="default" w:ascii="Times New Roman"/>
        </w:rPr>
        <w:t>月，国网宁夏电科院对本标准进行了修改，形成了讨论稿。</w:t>
      </w:r>
    </w:p>
    <w:p w14:paraId="1E951C78">
      <w:pPr>
        <w:pStyle w:val="11"/>
        <w:rPr>
          <w:rFonts w:hint="default" w:ascii="Times New Roman" w:hAnsi="Times New Roman"/>
        </w:rPr>
      </w:pPr>
      <w:r>
        <w:rPr>
          <w:rFonts w:hint="default" w:ascii="Times New Roman" w:hAnsi="Times New Roman"/>
        </w:rPr>
        <w:t>20</w:t>
      </w:r>
      <w:r>
        <w:rPr>
          <w:rFonts w:hint="eastAsia" w:ascii="Times New Roman" w:hAnsi="Times New Roman"/>
          <w:lang w:val="en-US" w:eastAsia="zh-CN"/>
        </w:rPr>
        <w:t>25</w:t>
      </w:r>
      <w:r>
        <w:rPr>
          <w:rFonts w:hint="default" w:ascii="Times New Roman"/>
        </w:rPr>
        <w:t>年</w:t>
      </w:r>
      <w:r>
        <w:rPr>
          <w:rFonts w:hint="eastAsia" w:ascii="Times New Roman" w:hAnsi="Times New Roman"/>
          <w:lang w:val="en-US" w:eastAsia="zh-CN"/>
        </w:rPr>
        <w:t>2</w:t>
      </w:r>
      <w:r>
        <w:rPr>
          <w:rFonts w:hint="default" w:ascii="Times New Roman"/>
        </w:rPr>
        <w:t>月，工作组成员对该标准讨论稿进行了内部审查，并按照编制工作意见修改了讨论稿。</w:t>
      </w:r>
    </w:p>
    <w:p w14:paraId="42B982AA">
      <w:pPr>
        <w:pStyle w:val="11"/>
        <w:rPr>
          <w:rFonts w:hint="default" w:ascii="Times New Roman" w:hAnsi="Times New Roman"/>
        </w:rPr>
      </w:pPr>
    </w:p>
    <w:p w14:paraId="74447521">
      <w:pPr>
        <w:pStyle w:val="10"/>
        <w:spacing w:before="312" w:after="312"/>
        <w:rPr>
          <w:lang w:eastAsia="zh-CN"/>
        </w:rPr>
      </w:pPr>
      <w:bookmarkStart w:id="29" w:name="_Toc513731113"/>
      <w:r>
        <w:rPr>
          <w:rFonts w:hint="default" w:ascii="Times New Roman" w:hAnsi="Times New Roman"/>
          <w:szCs w:val="21"/>
          <w:lang w:eastAsia="zh-CN"/>
        </w:rPr>
        <w:t>4</w:t>
      </w:r>
      <w:r>
        <w:t xml:space="preserve"> 标准结构和内容</w:t>
      </w:r>
      <w:r>
        <w:rPr>
          <w:lang w:eastAsia="zh-CN"/>
        </w:rPr>
        <w:t>说明</w:t>
      </w:r>
      <w:bookmarkEnd w:id="29"/>
    </w:p>
    <w:p w14:paraId="1C6EEE2A">
      <w:pPr>
        <w:pStyle w:val="11"/>
        <w:ind w:firstLineChars="0"/>
        <w:rPr>
          <w:rFonts w:hint="default" w:ascii="Times New Roman" w:hAnsi="Times New Roman"/>
        </w:rPr>
      </w:pPr>
      <w:r>
        <w:rPr>
          <w:rFonts w:hint="default" w:ascii="Times New Roman"/>
        </w:rPr>
        <w:t>导则的主要结构和内容如下：</w:t>
      </w:r>
    </w:p>
    <w:p w14:paraId="14589B38">
      <w:pPr>
        <w:pStyle w:val="11"/>
        <w:numPr>
          <w:ilvl w:val="0"/>
          <w:numId w:val="2"/>
        </w:numPr>
        <w:ind w:firstLineChars="0"/>
        <w:rPr>
          <w:rFonts w:hint="default" w:ascii="Times New Roman"/>
        </w:rPr>
      </w:pPr>
      <w:r>
        <w:rPr>
          <w:rFonts w:hint="default" w:ascii="Times New Roman"/>
        </w:rPr>
        <w:t>范围</w:t>
      </w:r>
    </w:p>
    <w:p w14:paraId="0E2B72D2">
      <w:pPr>
        <w:pStyle w:val="11"/>
        <w:numPr>
          <w:ilvl w:val="0"/>
          <w:numId w:val="2"/>
        </w:numPr>
        <w:ind w:firstLineChars="0"/>
        <w:rPr>
          <w:rFonts w:hint="default" w:ascii="Times New Roman"/>
        </w:rPr>
      </w:pPr>
      <w:r>
        <w:rPr>
          <w:rFonts w:hint="default" w:ascii="Times New Roman"/>
        </w:rPr>
        <w:t>规范性引用文件</w:t>
      </w:r>
    </w:p>
    <w:p w14:paraId="7C6F1BB8">
      <w:pPr>
        <w:pStyle w:val="11"/>
        <w:numPr>
          <w:ilvl w:val="0"/>
          <w:numId w:val="2"/>
        </w:numPr>
        <w:ind w:firstLineChars="0"/>
        <w:rPr>
          <w:rFonts w:hint="default" w:ascii="Times New Roman"/>
        </w:rPr>
      </w:pPr>
      <w:r>
        <w:rPr>
          <w:rFonts w:hint="default" w:ascii="Times New Roman"/>
        </w:rPr>
        <w:t>术语</w:t>
      </w:r>
    </w:p>
    <w:p w14:paraId="596FE676">
      <w:pPr>
        <w:pStyle w:val="11"/>
        <w:numPr>
          <w:ilvl w:val="0"/>
          <w:numId w:val="2"/>
        </w:numPr>
        <w:ind w:firstLineChars="0"/>
        <w:rPr>
          <w:rFonts w:hint="default" w:ascii="Times New Roman"/>
        </w:rPr>
      </w:pPr>
      <w:r>
        <w:rPr>
          <w:rFonts w:hint="default" w:ascii="Times New Roman"/>
        </w:rPr>
        <w:t>检测装置</w:t>
      </w:r>
    </w:p>
    <w:p w14:paraId="3D8D5CC6">
      <w:pPr>
        <w:pStyle w:val="11"/>
        <w:numPr>
          <w:ilvl w:val="0"/>
          <w:numId w:val="2"/>
        </w:numPr>
        <w:ind w:firstLineChars="0"/>
        <w:rPr>
          <w:rFonts w:hint="default" w:ascii="Times New Roman"/>
        </w:rPr>
      </w:pPr>
      <w:r>
        <w:rPr>
          <w:rFonts w:hint="default" w:ascii="Times New Roman"/>
        </w:rPr>
        <w:t>检测条件</w:t>
      </w:r>
    </w:p>
    <w:p w14:paraId="1BACE73D">
      <w:pPr>
        <w:pStyle w:val="11"/>
        <w:numPr>
          <w:ilvl w:val="0"/>
          <w:numId w:val="2"/>
        </w:numPr>
        <w:ind w:firstLineChars="0"/>
        <w:rPr>
          <w:rFonts w:hint="default" w:ascii="Times New Roman"/>
        </w:rPr>
      </w:pPr>
      <w:r>
        <w:rPr>
          <w:rFonts w:hint="default" w:ascii="Times New Roman"/>
        </w:rPr>
        <w:t>检测方法</w:t>
      </w:r>
    </w:p>
    <w:p w14:paraId="422D457F">
      <w:pPr>
        <w:pStyle w:val="11"/>
        <w:numPr>
          <w:ilvl w:val="0"/>
          <w:numId w:val="2"/>
        </w:numPr>
        <w:ind w:firstLineChars="0"/>
        <w:rPr>
          <w:rFonts w:hint="default" w:ascii="Times New Roman"/>
        </w:rPr>
      </w:pPr>
      <w:r>
        <w:rPr>
          <w:rFonts w:hint="default" w:ascii="Times New Roman"/>
        </w:rPr>
        <w:t>缺陷判断</w:t>
      </w:r>
    </w:p>
    <w:p w14:paraId="1C37F4CA">
      <w:pPr>
        <w:pStyle w:val="11"/>
        <w:ind w:firstLineChars="0"/>
        <w:rPr>
          <w:rFonts w:hint="default" w:ascii="Times New Roman" w:hAnsi="Times New Roman"/>
        </w:rPr>
      </w:pPr>
      <w:r>
        <w:rPr>
          <w:rFonts w:hint="default" w:ascii="Times New Roman"/>
        </w:rPr>
        <w:t>附录</w:t>
      </w:r>
      <w:r>
        <w:rPr>
          <w:rFonts w:hint="eastAsia" w:ascii="Times New Roman"/>
          <w:lang w:val="en-US" w:eastAsia="zh-CN"/>
        </w:rPr>
        <w:t>对</w:t>
      </w:r>
      <w:r>
        <w:rPr>
          <w:rFonts w:hint="default" w:ascii="Times New Roman"/>
        </w:rPr>
        <w:t>GIS设备操作振动检测原理</w:t>
      </w:r>
      <w:r>
        <w:rPr>
          <w:rFonts w:hint="eastAsia" w:ascii="Times New Roman"/>
          <w:lang w:eastAsia="zh-CN"/>
        </w:rPr>
        <w:t>、</w:t>
      </w:r>
      <w:r>
        <w:rPr>
          <w:rFonts w:hint="default" w:ascii="Times New Roman"/>
        </w:rPr>
        <w:t>传感器布置方式</w:t>
      </w:r>
      <w:r>
        <w:rPr>
          <w:rFonts w:hint="eastAsia" w:ascii="Times New Roman"/>
          <w:lang w:eastAsia="zh-CN"/>
        </w:rPr>
        <w:t>、</w:t>
      </w:r>
      <w:r>
        <w:rPr>
          <w:rFonts w:hint="default" w:ascii="Times New Roman"/>
        </w:rPr>
        <w:t>归档卡格式</w:t>
      </w:r>
      <w:r>
        <w:rPr>
          <w:rFonts w:hint="eastAsia" w:ascii="Times New Roman"/>
          <w:lang w:eastAsia="zh-CN"/>
        </w:rPr>
        <w:t>、</w:t>
      </w:r>
      <w:r>
        <w:rPr>
          <w:rFonts w:hint="default" w:ascii="Times New Roman"/>
        </w:rPr>
        <w:t>典型缺陷图谱等内容进行了说明。</w:t>
      </w:r>
    </w:p>
    <w:p w14:paraId="3656AC31">
      <w:pPr>
        <w:pStyle w:val="10"/>
        <w:spacing w:before="312" w:after="312"/>
      </w:pPr>
      <w:bookmarkStart w:id="30" w:name="_Toc513731114"/>
      <w:r>
        <w:rPr>
          <w:rFonts w:hint="default" w:ascii="Times New Roman" w:hAnsi="Times New Roman"/>
          <w:szCs w:val="21"/>
          <w:lang w:eastAsia="zh-CN"/>
        </w:rPr>
        <w:t>5</w:t>
      </w:r>
      <w:r>
        <w:rPr>
          <w:lang w:eastAsia="zh-CN"/>
        </w:rPr>
        <w:t>标准水平</w:t>
      </w:r>
      <w:r>
        <w:t>说明</w:t>
      </w:r>
      <w:bookmarkEnd w:id="30"/>
    </w:p>
    <w:p w14:paraId="514870EA">
      <w:pPr>
        <w:pStyle w:val="11"/>
        <w:rPr>
          <w:rFonts w:ascii="Times New Roman" w:hAnsi="Times New Roman"/>
        </w:rPr>
      </w:pPr>
      <w:r>
        <w:rPr>
          <w:rFonts w:hint="default" w:ascii="Times New Roman"/>
        </w:rPr>
        <w:t>本标准</w:t>
      </w:r>
      <w:r>
        <w:rPr>
          <w:rFonts w:hint="eastAsia" w:ascii="Times New Roman"/>
          <w:lang w:val="en-US" w:eastAsia="zh-CN"/>
        </w:rPr>
        <w:t>结合</w:t>
      </w:r>
      <w:r>
        <w:rPr>
          <w:rFonts w:hint="default" w:ascii="Times New Roman"/>
        </w:rPr>
        <w:t>GB/T 7674 《额定电压72.5kV及以上气体绝缘金属封闭开关设备》、GB/T 11022 《 高压开关设备和控制设备标准的共用技术标准》、DL/T 617《 气体绝缘金属封闭开关设备技术条件》、DL/T 618 《气体绝缘金属封闭开关设备现场交接试验规程》等标准进行编制的。本标准为国内外首次制订。</w:t>
      </w:r>
    </w:p>
    <w:p w14:paraId="76C948BB">
      <w:pPr>
        <w:pStyle w:val="10"/>
        <w:spacing w:before="312" w:after="312"/>
        <w:rPr>
          <w:rFonts w:ascii="Times New Roman" w:hAnsi="Times New Roman"/>
          <w:szCs w:val="21"/>
        </w:rPr>
      </w:pPr>
      <w:bookmarkStart w:id="31" w:name="_Toc513731115"/>
      <w:r>
        <w:rPr>
          <w:rFonts w:hint="default" w:ascii="Times New Roman" w:hAnsi="Times New Roman"/>
          <w:szCs w:val="21"/>
          <w:lang w:eastAsia="zh-CN"/>
        </w:rPr>
        <w:t>6</w:t>
      </w:r>
      <w:r>
        <w:rPr>
          <w:rFonts w:hint="default" w:ascii="Times New Roman" w:hAnsi="宋体"/>
          <w:szCs w:val="21"/>
        </w:rPr>
        <w:t>标准实施措施说明</w:t>
      </w:r>
      <w:bookmarkEnd w:id="31"/>
    </w:p>
    <w:p w14:paraId="1108D241">
      <w:pPr>
        <w:ind w:firstLine="420" w:firstLineChars="200"/>
        <w:rPr>
          <w:rFonts w:hint="default" w:ascii="Times New Roman" w:hAnsi="Times New Roman"/>
          <w:szCs w:val="22"/>
        </w:rPr>
      </w:pPr>
      <w:r>
        <w:rPr>
          <w:rFonts w:hint="default" w:ascii="Times New Roman" w:hAnsi="Calibri"/>
          <w:szCs w:val="22"/>
        </w:rPr>
        <w:t>条款</w:t>
      </w:r>
      <w:r>
        <w:rPr>
          <w:rFonts w:hint="eastAsia" w:ascii="Times New Roman" w:hAnsi="Times New Roman"/>
          <w:szCs w:val="22"/>
          <w:lang w:val="en-US" w:eastAsia="zh-CN"/>
        </w:rPr>
        <w:t>6.2</w:t>
      </w:r>
      <w:r>
        <w:rPr>
          <w:rFonts w:hint="default" w:ascii="Times New Roman" w:hAnsi="Calibri"/>
          <w:szCs w:val="22"/>
        </w:rPr>
        <w:t>。本</w:t>
      </w:r>
      <w:r>
        <w:rPr>
          <w:rFonts w:hint="eastAsia" w:ascii="Times New Roman" w:hAnsi="Calibri"/>
          <w:szCs w:val="22"/>
          <w:lang w:val="en-US" w:eastAsia="zh-CN"/>
        </w:rPr>
        <w:t>检测方法采用断路器分合闸动作作为机械激励源，采集振动过程中外壳上机械响应，对于采集到信号可进行信号分析，为机械暂态过程的信号采集分析，与持续振动检测相比，其传感器的动态响应性能更高、检测人员在布置好传感器后尽量远离断路器</w:t>
      </w:r>
      <w:r>
        <w:rPr>
          <w:rFonts w:hint="default" w:ascii="Times New Roman" w:hAnsi="Calibri"/>
          <w:szCs w:val="22"/>
        </w:rPr>
        <w:t>，虽与</w:t>
      </w:r>
      <w:r>
        <w:rPr>
          <w:rFonts w:hint="eastAsia" w:ascii="Times New Roman" w:hAnsi="Calibri"/>
          <w:szCs w:val="22"/>
          <w:lang w:val="en-US" w:eastAsia="zh-CN"/>
        </w:rPr>
        <w:t>带电检测</w:t>
      </w:r>
      <w:r>
        <w:rPr>
          <w:rFonts w:hint="default" w:ascii="Times New Roman" w:hAnsi="Calibri"/>
          <w:szCs w:val="22"/>
        </w:rPr>
        <w:t>试验方法有部分类同之处，但不属于本导则适用范围。</w:t>
      </w:r>
    </w:p>
    <w:p w14:paraId="6A419A2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F2F640"/>
    <w:multiLevelType w:val="singleLevel"/>
    <w:tmpl w:val="F6F2F640"/>
    <w:lvl w:ilvl="0" w:tentative="0">
      <w:start w:val="1"/>
      <w:numFmt w:val="decimal"/>
      <w:suff w:val="nothing"/>
      <w:lvlText w:val="%1）"/>
      <w:lvlJc w:val="left"/>
    </w:lvl>
  </w:abstractNum>
  <w:abstractNum w:abstractNumId="1">
    <w:nsid w:val="1FC91163"/>
    <w:multiLevelType w:val="multilevel"/>
    <w:tmpl w:val="1FC91163"/>
    <w:lvl w:ilvl="0" w:tentative="0">
      <w:start w:val="1"/>
      <w:numFmt w:val="decimal"/>
      <w:pStyle w:val="8"/>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1276"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102C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toc 1"/>
    <w:basedOn w:val="1"/>
    <w:next w:val="1"/>
    <w:qFormat/>
    <w:uiPriority w:val="39"/>
    <w:pPr>
      <w:tabs>
        <w:tab w:val="right" w:leader="dot" w:pos="9241"/>
      </w:tabs>
      <w:spacing w:before="25" w:beforeLines="25" w:after="25" w:afterLines="25"/>
      <w:jc w:val="left"/>
    </w:pPr>
    <w:rPr>
      <w:rFonts w:ascii="宋体"/>
      <w:szCs w:val="21"/>
    </w:rPr>
  </w:style>
  <w:style w:type="character" w:styleId="6">
    <w:name w:val="Hyperlink"/>
    <w:qFormat/>
    <w:uiPriority w:val="99"/>
    <w:rPr>
      <w:color w:val="0000FF"/>
      <w:spacing w:val="0"/>
      <w:w w:val="100"/>
      <w:szCs w:val="21"/>
      <w:u w:val="single"/>
    </w:rPr>
  </w:style>
  <w:style w:type="paragraph" w:customStyle="1" w:styleId="7">
    <w:name w:val="段"/>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8">
    <w:name w:val="章标题"/>
    <w:next w:val="7"/>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9">
    <w:name w:val="目次、标准名称标题"/>
    <w:basedOn w:val="1"/>
    <w:next w:val="7"/>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
    <w:name w:val="样式 标题 1 + 非加粗"/>
    <w:basedOn w:val="2"/>
    <w:uiPriority w:val="0"/>
    <w:pPr>
      <w:spacing w:before="0" w:beforeLines="100" w:after="0" w:afterLines="100" w:line="240" w:lineRule="auto"/>
    </w:pPr>
    <w:rPr>
      <w:rFonts w:ascii="Calibri" w:hAnsi="Calibri" w:eastAsia="黑体" w:cs="Calibri"/>
      <w:b w:val="0"/>
      <w:bCs w:val="0"/>
      <w:sz w:val="21"/>
      <w:szCs w:val="21"/>
    </w:rPr>
  </w:style>
  <w:style w:type="paragraph" w:styleId="11">
    <w:name w:val="List Paragraph"/>
    <w:basedOn w:val="1"/>
    <w:qFormat/>
    <w:uiPriority w:val="99"/>
    <w:pPr>
      <w:ind w:firstLine="420" w:firstLineChars="200"/>
    </w:pPr>
    <w:rPr>
      <w:rFonts w:ascii="Calibri" w:hAnsi="Calibri"/>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2025-12-25T08:26:29Z</dcterms:created>
  <dc:creator>15695</dc:creator>
  <cp:lastModifiedBy>NEWBO</cp:lastModifiedBy>
  <dcterms:modified xsi:type="dcterms:W3CDTF">2025-12-25T08:26:46Z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eyJoZGlkIjoiZmZiOTlkNmExMzMwYjk2NzcwNmE3ZGZhYjcxOTcyYTYiLCJ1c2VySWQiOiIzMzA4MzMwMjUifQ==</vt:lpwstr>
  </property>
  <property fmtid="{D5CDD505-2E9C-101B-9397-08002B2CF9AE}" pid="4" name="ICV">
    <vt:lpwstr>52599FDB52F1450A91784D4040F6F2EF_12</vt:lpwstr>
  </property>
</Properties>
</file>