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A801B">
      <w:pPr>
        <w:jc w:val="center"/>
        <w:rPr>
          <w:rFonts w:eastAsia="黑体"/>
          <w:bCs/>
          <w:sz w:val="32"/>
          <w:szCs w:val="32"/>
        </w:rPr>
      </w:pPr>
    </w:p>
    <w:p w14:paraId="57D84291">
      <w:pPr>
        <w:jc w:val="center"/>
        <w:rPr>
          <w:rFonts w:eastAsia="黑体"/>
          <w:bCs/>
          <w:sz w:val="32"/>
          <w:szCs w:val="32"/>
        </w:rPr>
      </w:pPr>
    </w:p>
    <w:p w14:paraId="4FC33D55">
      <w:pPr>
        <w:jc w:val="center"/>
        <w:rPr>
          <w:rFonts w:eastAsia="黑体"/>
          <w:bCs/>
          <w:sz w:val="32"/>
          <w:szCs w:val="32"/>
        </w:rPr>
      </w:pPr>
    </w:p>
    <w:p w14:paraId="194A637B">
      <w:pPr>
        <w:jc w:val="center"/>
        <w:rPr>
          <w:rFonts w:eastAsia="黑体"/>
          <w:bCs/>
          <w:sz w:val="32"/>
          <w:szCs w:val="32"/>
        </w:rPr>
      </w:pPr>
      <w:r>
        <w:rPr>
          <w:rFonts w:eastAsia="黑体"/>
          <w:bCs/>
          <w:sz w:val="32"/>
          <w:szCs w:val="32"/>
        </w:rPr>
        <w:t>编制说明</w:t>
      </w:r>
    </w:p>
    <w:p w14:paraId="2E1474E4">
      <w:pPr>
        <w:pStyle w:val="10"/>
        <w:ind w:firstLine="0" w:firstLineChars="0"/>
        <w:rPr>
          <w:rFonts w:ascii="Times New Roman"/>
        </w:rPr>
      </w:pPr>
    </w:p>
    <w:p w14:paraId="351B3514">
      <w:pPr>
        <w:pStyle w:val="10"/>
        <w:ind w:firstLine="0" w:firstLineChars="0"/>
        <w:rPr>
          <w:rFonts w:ascii="Times New Roman"/>
        </w:rPr>
      </w:pPr>
    </w:p>
    <w:p w14:paraId="686DEDDA">
      <w:pPr>
        <w:pStyle w:val="10"/>
        <w:ind w:firstLine="0" w:firstLineChars="0"/>
        <w:rPr>
          <w:rFonts w:ascii="Times New Roman"/>
        </w:rPr>
      </w:pPr>
    </w:p>
    <w:p w14:paraId="3B266725">
      <w:pPr>
        <w:pStyle w:val="10"/>
        <w:ind w:firstLine="0" w:firstLineChars="0"/>
        <w:rPr>
          <w:rFonts w:ascii="Times New Roman"/>
        </w:rPr>
      </w:pPr>
    </w:p>
    <w:p w14:paraId="6B8725BF">
      <w:pPr>
        <w:pStyle w:val="10"/>
        <w:ind w:firstLine="0" w:firstLineChars="0"/>
        <w:rPr>
          <w:rFonts w:ascii="Times New Roman"/>
        </w:rPr>
      </w:pPr>
    </w:p>
    <w:p w14:paraId="7F29E5D5">
      <w:pPr>
        <w:pStyle w:val="10"/>
        <w:ind w:firstLine="0" w:firstLineChars="0"/>
        <w:rPr>
          <w:rFonts w:ascii="Times New Roman"/>
        </w:rPr>
      </w:pPr>
    </w:p>
    <w:p w14:paraId="377795A4">
      <w:pPr>
        <w:pStyle w:val="10"/>
        <w:ind w:firstLine="0" w:firstLineChars="0"/>
        <w:rPr>
          <w:rFonts w:ascii="Times New Roman"/>
        </w:rPr>
      </w:pPr>
    </w:p>
    <w:p w14:paraId="3012B5BE">
      <w:pPr>
        <w:pStyle w:val="10"/>
        <w:ind w:firstLine="0" w:firstLineChars="0"/>
        <w:rPr>
          <w:rFonts w:ascii="Times New Roman"/>
        </w:rPr>
      </w:pPr>
    </w:p>
    <w:p w14:paraId="07E37B8B">
      <w:pPr>
        <w:pStyle w:val="10"/>
        <w:ind w:firstLine="0" w:firstLineChars="0"/>
        <w:rPr>
          <w:rFonts w:ascii="Times New Roman"/>
        </w:rPr>
      </w:pPr>
    </w:p>
    <w:p w14:paraId="02DB1111">
      <w:pPr>
        <w:pStyle w:val="10"/>
        <w:ind w:firstLine="0" w:firstLineChars="0"/>
        <w:rPr>
          <w:rFonts w:ascii="Times New Roman"/>
        </w:rPr>
      </w:pPr>
    </w:p>
    <w:p w14:paraId="5704F8C0">
      <w:pPr>
        <w:pStyle w:val="10"/>
        <w:ind w:firstLine="0" w:firstLineChars="0"/>
        <w:jc w:val="center"/>
        <w:rPr>
          <w:rFonts w:hint="default" w:ascii="Times New Roman" w:eastAsia="黑体"/>
          <w:sz w:val="44"/>
          <w:szCs w:val="44"/>
          <w:lang w:val="en-US" w:eastAsia="zh-CN"/>
        </w:rPr>
      </w:pPr>
      <w:r>
        <w:rPr>
          <w:rFonts w:hint="eastAsia" w:ascii="Times New Roman" w:eastAsia="黑体"/>
          <w:sz w:val="44"/>
          <w:szCs w:val="44"/>
          <w:lang w:val="en-US" w:eastAsia="zh-CN"/>
        </w:rPr>
        <w:t>电力机器人安全通用要求</w:t>
      </w:r>
    </w:p>
    <w:p w14:paraId="5CC4C6B0">
      <w:pPr>
        <w:pStyle w:val="10"/>
        <w:rPr>
          <w:rFonts w:ascii="Times New Roman"/>
        </w:rPr>
      </w:pPr>
    </w:p>
    <w:p w14:paraId="1D02529D">
      <w:pPr>
        <w:pStyle w:val="10"/>
        <w:rPr>
          <w:rFonts w:ascii="Times New Roman"/>
        </w:rPr>
      </w:pPr>
    </w:p>
    <w:p w14:paraId="3421239E">
      <w:pPr>
        <w:pStyle w:val="12"/>
        <w:numPr>
          <w:ilvl w:val="0"/>
          <w:numId w:val="0"/>
        </w:numPr>
        <w:jc w:val="center"/>
        <w:rPr>
          <w:rFonts w:ascii="Times New Roman"/>
          <w:sz w:val="28"/>
          <w:szCs w:val="28"/>
        </w:rPr>
      </w:pPr>
      <w:bookmarkStart w:id="0" w:name="_Toc298937368"/>
      <w:bookmarkStart w:id="1" w:name="_Toc298937333"/>
      <w:bookmarkStart w:id="2" w:name="_Toc309995410"/>
      <w:bookmarkStart w:id="3" w:name="_Toc304825020"/>
      <w:bookmarkStart w:id="4" w:name="_Toc309997060"/>
      <w:bookmarkStart w:id="5" w:name="_Toc304402675"/>
      <w:bookmarkStart w:id="6" w:name="_Toc309996019"/>
      <w:bookmarkStart w:id="7" w:name="_Toc304824981"/>
      <w:bookmarkStart w:id="8" w:name="_Toc318613715"/>
      <w:bookmarkStart w:id="9" w:name="_Toc135138968"/>
      <w:bookmarkStart w:id="10" w:name="_Toc298937430"/>
      <w:bookmarkStart w:id="11" w:name="_Toc309995598"/>
      <w:bookmarkStart w:id="12" w:name="_Toc310002657"/>
      <w:bookmarkStart w:id="13" w:name="_Toc309995492"/>
      <w:bookmarkStart w:id="14" w:name="_Toc304825093"/>
      <w:bookmarkStart w:id="15" w:name="_Toc298937560"/>
      <w:bookmarkStart w:id="16" w:name="_Toc298938646"/>
      <w:bookmarkStart w:id="17" w:name="_Toc309993200"/>
      <w:bookmarkStart w:id="18" w:name="_Toc298938794"/>
      <w:bookmarkStart w:id="19" w:name="_Toc304828086"/>
      <w:bookmarkStart w:id="20" w:name="_Toc309994571"/>
      <w:bookmarkStart w:id="21" w:name="_Toc320020914"/>
      <w:bookmarkStart w:id="22" w:name="_Toc298937620"/>
      <w:bookmarkStart w:id="23" w:name="_Toc298937473"/>
      <w:r>
        <w:rPr>
          <w:rFonts w:ascii="Times New Roman"/>
          <w:sz w:val="28"/>
          <w:szCs w:val="28"/>
        </w:rPr>
        <w:t>编 制 说</w:t>
      </w:r>
      <w:bookmarkEnd w:id="0"/>
      <w:bookmarkEnd w:id="1"/>
      <w:r>
        <w:rPr>
          <w:rFonts w:ascii="Times New Roman"/>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779638C">
      <w:pPr>
        <w:pStyle w:val="10"/>
        <w:ind w:firstLine="560"/>
        <w:jc w:val="center"/>
        <w:rPr>
          <w:rFonts w:ascii="Times New Roman" w:eastAsia="黑体"/>
          <w:sz w:val="28"/>
          <w:szCs w:val="28"/>
        </w:rPr>
      </w:pPr>
    </w:p>
    <w:p w14:paraId="3C41EF74">
      <w:pPr>
        <w:pStyle w:val="10"/>
        <w:ind w:firstLine="560"/>
        <w:jc w:val="center"/>
        <w:rPr>
          <w:rFonts w:ascii="Times New Roman" w:eastAsia="黑体"/>
          <w:sz w:val="28"/>
          <w:szCs w:val="28"/>
        </w:rPr>
      </w:pPr>
    </w:p>
    <w:p w14:paraId="7C432C2C">
      <w:pPr>
        <w:pStyle w:val="10"/>
        <w:rPr>
          <w:rFonts w:ascii="Times New Roman"/>
        </w:rPr>
        <w:sectPr>
          <w:headerReference r:id="rId3" w:type="default"/>
          <w:footerReference r:id="rId5" w:type="default"/>
          <w:headerReference r:id="rId4" w:type="even"/>
          <w:pgSz w:w="11906" w:h="16838"/>
          <w:pgMar w:top="567" w:right="1134" w:bottom="1134" w:left="1417" w:header="1418" w:footer="1134" w:gutter="0"/>
          <w:cols w:space="720" w:num="1"/>
          <w:formProt w:val="0"/>
          <w:titlePg/>
          <w:docGrid w:type="lines" w:linePitch="312" w:charSpace="0"/>
        </w:sectPr>
      </w:pPr>
    </w:p>
    <w:p w14:paraId="34D6D559">
      <w:pPr>
        <w:pStyle w:val="14"/>
        <w:rPr>
          <w:rFonts w:ascii="Times New Roman"/>
        </w:rPr>
      </w:pPr>
      <w:bookmarkStart w:id="24" w:name="_Toc513731021"/>
      <w:bookmarkStart w:id="25" w:name="_Toc309992160"/>
      <w:bookmarkStart w:id="26" w:name="_Toc135138969"/>
      <w:bookmarkStart w:id="27" w:name="_Toc149296202"/>
      <w:bookmarkStart w:id="28" w:name="_Toc513731109"/>
      <w:r>
        <w:rPr>
          <w:rFonts w:ascii="Times New Roman"/>
        </w:rPr>
        <w:t>目次</w:t>
      </w:r>
      <w:bookmarkEnd w:id="24"/>
      <w:bookmarkEnd w:id="25"/>
      <w:bookmarkEnd w:id="26"/>
      <w:bookmarkEnd w:id="27"/>
      <w:bookmarkEnd w:id="28"/>
    </w:p>
    <w:p w14:paraId="468C2929">
      <w:pPr>
        <w:pStyle w:val="4"/>
        <w:spacing w:before="78" w:after="78"/>
        <w:rPr>
          <w:rFonts w:asciiTheme="minorHAnsi" w:hAnsiTheme="minorHAnsi" w:eastAsiaTheme="minorEastAsia" w:cstheme="minorBidi"/>
          <w:szCs w:val="22"/>
        </w:rPr>
      </w:pPr>
      <w:r>
        <w:rPr>
          <w:rFonts w:ascii="Times New Roman"/>
        </w:rPr>
        <w:fldChar w:fldCharType="begin"/>
      </w:r>
      <w:r>
        <w:rPr>
          <w:rFonts w:ascii="Times New Roman"/>
        </w:rPr>
        <w:instrText xml:space="preserve"> TOC \o "1-1" \h \z \u </w:instrText>
      </w:r>
      <w:r>
        <w:rPr>
          <w:rFonts w:ascii="Times New Roman"/>
        </w:rPr>
        <w:fldChar w:fldCharType="separate"/>
      </w:r>
      <w:r>
        <w:fldChar w:fldCharType="begin"/>
      </w:r>
      <w:r>
        <w:instrText xml:space="preserve"> HYPERLINK \l "_Toc149296203" </w:instrText>
      </w:r>
      <w:r>
        <w:fldChar w:fldCharType="separate"/>
      </w:r>
      <w:r>
        <w:rPr>
          <w:rStyle w:val="8"/>
        </w:rPr>
        <w:t>1 编制背景</w:t>
      </w:r>
      <w:r>
        <w:tab/>
      </w:r>
      <w:r>
        <w:fldChar w:fldCharType="begin"/>
      </w:r>
      <w:r>
        <w:instrText xml:space="preserve"> PAGEREF _Toc149296203 \h </w:instrText>
      </w:r>
      <w:r>
        <w:fldChar w:fldCharType="separate"/>
      </w:r>
      <w:r>
        <w:t>1</w:t>
      </w:r>
      <w:r>
        <w:fldChar w:fldCharType="end"/>
      </w:r>
      <w:r>
        <w:fldChar w:fldCharType="end"/>
      </w:r>
    </w:p>
    <w:p w14:paraId="00EFF1B2">
      <w:pPr>
        <w:pStyle w:val="4"/>
        <w:spacing w:before="78" w:after="78"/>
        <w:rPr>
          <w:rFonts w:asciiTheme="minorHAnsi" w:hAnsiTheme="minorHAnsi" w:eastAsiaTheme="minorEastAsia" w:cstheme="minorBidi"/>
          <w:szCs w:val="22"/>
        </w:rPr>
      </w:pPr>
      <w:r>
        <w:fldChar w:fldCharType="begin"/>
      </w:r>
      <w:r>
        <w:instrText xml:space="preserve"> HYPERLINK \l "_Toc149296204" </w:instrText>
      </w:r>
      <w:r>
        <w:fldChar w:fldCharType="separate"/>
      </w:r>
      <w:r>
        <w:rPr>
          <w:rStyle w:val="8"/>
        </w:rPr>
        <w:t>2 编制主要原则</w:t>
      </w:r>
      <w:r>
        <w:tab/>
      </w:r>
      <w:r>
        <w:fldChar w:fldCharType="begin"/>
      </w:r>
      <w:r>
        <w:instrText xml:space="preserve"> PAGEREF _Toc149296204 \h </w:instrText>
      </w:r>
      <w:r>
        <w:fldChar w:fldCharType="separate"/>
      </w:r>
      <w:r>
        <w:t>1</w:t>
      </w:r>
      <w:r>
        <w:fldChar w:fldCharType="end"/>
      </w:r>
      <w:r>
        <w:fldChar w:fldCharType="end"/>
      </w:r>
    </w:p>
    <w:p w14:paraId="4F2939ED">
      <w:pPr>
        <w:pStyle w:val="4"/>
        <w:spacing w:before="78" w:after="78"/>
        <w:rPr>
          <w:rFonts w:asciiTheme="minorHAnsi" w:hAnsiTheme="minorHAnsi" w:eastAsiaTheme="minorEastAsia" w:cstheme="minorBidi"/>
          <w:szCs w:val="22"/>
        </w:rPr>
      </w:pPr>
      <w:r>
        <w:fldChar w:fldCharType="begin"/>
      </w:r>
      <w:r>
        <w:instrText xml:space="preserve"> HYPERLINK \l "_Toc149296205" </w:instrText>
      </w:r>
      <w:r>
        <w:fldChar w:fldCharType="separate"/>
      </w:r>
      <w:r>
        <w:rPr>
          <w:rStyle w:val="8"/>
        </w:rPr>
        <w:t>3 主要工作过程</w:t>
      </w:r>
      <w:r>
        <w:tab/>
      </w:r>
      <w:r>
        <w:fldChar w:fldCharType="begin"/>
      </w:r>
      <w:r>
        <w:instrText xml:space="preserve"> PAGEREF _Toc149296205 \h </w:instrText>
      </w:r>
      <w:r>
        <w:fldChar w:fldCharType="separate"/>
      </w:r>
      <w:r>
        <w:t>1</w:t>
      </w:r>
      <w:r>
        <w:fldChar w:fldCharType="end"/>
      </w:r>
      <w:r>
        <w:fldChar w:fldCharType="end"/>
      </w:r>
    </w:p>
    <w:p w14:paraId="10D725C3">
      <w:pPr>
        <w:pStyle w:val="4"/>
        <w:spacing w:before="78" w:after="78"/>
        <w:rPr>
          <w:rFonts w:asciiTheme="minorHAnsi" w:hAnsiTheme="minorHAnsi" w:eastAsiaTheme="minorEastAsia" w:cstheme="minorBidi"/>
          <w:szCs w:val="22"/>
        </w:rPr>
      </w:pPr>
      <w:r>
        <w:fldChar w:fldCharType="begin"/>
      </w:r>
      <w:r>
        <w:instrText xml:space="preserve"> HYPERLINK \l "_Toc149296206" </w:instrText>
      </w:r>
      <w:r>
        <w:fldChar w:fldCharType="separate"/>
      </w:r>
      <w:r>
        <w:rPr>
          <w:rStyle w:val="8"/>
        </w:rPr>
        <w:t>4 标准结构和内容说明</w:t>
      </w:r>
      <w:r>
        <w:tab/>
      </w:r>
      <w:r>
        <w:fldChar w:fldCharType="begin"/>
      </w:r>
      <w:r>
        <w:instrText xml:space="preserve"> PAGEREF _Toc149296206 \h </w:instrText>
      </w:r>
      <w:r>
        <w:fldChar w:fldCharType="separate"/>
      </w:r>
      <w:r>
        <w:t>1</w:t>
      </w:r>
      <w:r>
        <w:fldChar w:fldCharType="end"/>
      </w:r>
      <w:r>
        <w:fldChar w:fldCharType="end"/>
      </w:r>
    </w:p>
    <w:p w14:paraId="1FA5E7EF">
      <w:pPr>
        <w:pStyle w:val="4"/>
        <w:spacing w:before="78" w:after="78"/>
        <w:rPr>
          <w:rFonts w:asciiTheme="minorHAnsi" w:hAnsiTheme="minorHAnsi" w:eastAsiaTheme="minorEastAsia" w:cstheme="minorBidi"/>
          <w:szCs w:val="22"/>
        </w:rPr>
      </w:pPr>
      <w:r>
        <w:fldChar w:fldCharType="begin"/>
      </w:r>
      <w:r>
        <w:instrText xml:space="preserve"> HYPERLINK \l "_Toc149296207" </w:instrText>
      </w:r>
      <w:r>
        <w:fldChar w:fldCharType="separate"/>
      </w:r>
      <w:r>
        <w:rPr>
          <w:rStyle w:val="8"/>
        </w:rPr>
        <w:t>5相关标准对比说明</w:t>
      </w:r>
      <w:r>
        <w:tab/>
      </w:r>
      <w:r>
        <w:fldChar w:fldCharType="begin"/>
      </w:r>
      <w:r>
        <w:instrText xml:space="preserve"> PAGEREF _Toc149296207 \h </w:instrText>
      </w:r>
      <w:r>
        <w:fldChar w:fldCharType="separate"/>
      </w:r>
      <w:r>
        <w:t>2</w:t>
      </w:r>
      <w:r>
        <w:fldChar w:fldCharType="end"/>
      </w:r>
      <w:r>
        <w:fldChar w:fldCharType="end"/>
      </w:r>
    </w:p>
    <w:p w14:paraId="71DC4D8F">
      <w:pPr>
        <w:pStyle w:val="4"/>
        <w:spacing w:before="78" w:after="78"/>
        <w:rPr>
          <w:rFonts w:asciiTheme="minorHAnsi" w:hAnsiTheme="minorHAnsi" w:eastAsiaTheme="minorEastAsia" w:cstheme="minorBidi"/>
          <w:szCs w:val="22"/>
        </w:rPr>
      </w:pPr>
      <w:r>
        <w:fldChar w:fldCharType="begin"/>
      </w:r>
      <w:r>
        <w:instrText xml:space="preserve"> HYPERLINK \l "_Toc149296208" </w:instrText>
      </w:r>
      <w:r>
        <w:fldChar w:fldCharType="separate"/>
      </w:r>
      <w:r>
        <w:rPr>
          <w:rStyle w:val="8"/>
        </w:rPr>
        <w:t>6标准实施措施说明</w:t>
      </w:r>
      <w:r>
        <w:tab/>
      </w:r>
      <w:r>
        <w:fldChar w:fldCharType="begin"/>
      </w:r>
      <w:r>
        <w:instrText xml:space="preserve"> PAGEREF _Toc149296208 \h </w:instrText>
      </w:r>
      <w:r>
        <w:fldChar w:fldCharType="separate"/>
      </w:r>
      <w:r>
        <w:t>3</w:t>
      </w:r>
      <w:r>
        <w:fldChar w:fldCharType="end"/>
      </w:r>
      <w:r>
        <w:fldChar w:fldCharType="end"/>
      </w:r>
    </w:p>
    <w:p w14:paraId="65CFDA50">
      <w:pPr>
        <w:pStyle w:val="10"/>
        <w:rPr>
          <w:rFonts w:ascii="Times New Roman"/>
          <w:szCs w:val="21"/>
        </w:rPr>
      </w:pPr>
      <w:r>
        <w:rPr>
          <w:rFonts w:ascii="Times New Roman"/>
          <w:szCs w:val="21"/>
        </w:rPr>
        <w:fldChar w:fldCharType="end"/>
      </w:r>
    </w:p>
    <w:p w14:paraId="583296A4">
      <w:pPr>
        <w:pStyle w:val="10"/>
        <w:rPr>
          <w:rFonts w:ascii="Times New Roman"/>
          <w:szCs w:val="21"/>
        </w:rPr>
      </w:pPr>
    </w:p>
    <w:p w14:paraId="38D59E8B">
      <w:pPr>
        <w:pStyle w:val="10"/>
        <w:rPr>
          <w:rFonts w:ascii="Times New Roman"/>
          <w:szCs w:val="21"/>
        </w:rPr>
      </w:pPr>
    </w:p>
    <w:p w14:paraId="441ADBBE">
      <w:pPr>
        <w:pStyle w:val="10"/>
        <w:rPr>
          <w:rFonts w:ascii="Times New Roman"/>
          <w:szCs w:val="21"/>
        </w:rPr>
      </w:pPr>
    </w:p>
    <w:p w14:paraId="38EEFCD4">
      <w:pPr>
        <w:pStyle w:val="10"/>
        <w:rPr>
          <w:rFonts w:ascii="Times New Roman"/>
          <w:szCs w:val="21"/>
        </w:rPr>
        <w:sectPr>
          <w:headerReference r:id="rId6" w:type="default"/>
          <w:footerReference r:id="rId7" w:type="default"/>
          <w:pgSz w:w="11906" w:h="16838"/>
          <w:pgMar w:top="567" w:right="1134" w:bottom="1134" w:left="1417" w:header="1418" w:footer="1134" w:gutter="0"/>
          <w:pgNumType w:start="1"/>
          <w:cols w:space="720" w:num="1"/>
          <w:formProt w:val="0"/>
          <w:titlePg/>
          <w:docGrid w:type="lines" w:linePitch="312" w:charSpace="0"/>
        </w:sectPr>
      </w:pPr>
    </w:p>
    <w:p w14:paraId="25F3A75F">
      <w:pPr>
        <w:pStyle w:val="13"/>
        <w:spacing w:before="312" w:after="312"/>
        <w:rPr>
          <w:szCs w:val="21"/>
        </w:rPr>
      </w:pPr>
      <w:bookmarkStart w:id="29" w:name="_Toc149296203"/>
      <w:bookmarkStart w:id="30" w:name="_Toc135138970"/>
      <w:r>
        <w:rPr>
          <w:szCs w:val="21"/>
        </w:rPr>
        <w:t>1 编制背景</w:t>
      </w:r>
      <w:bookmarkEnd w:id="29"/>
      <w:bookmarkEnd w:id="30"/>
    </w:p>
    <w:p w14:paraId="08DAE384">
      <w:pPr>
        <w:pStyle w:val="10"/>
        <w:rPr>
          <w:rFonts w:hAnsi="宋体" w:cs="宋体"/>
        </w:rPr>
      </w:pPr>
      <w:r>
        <w:rPr>
          <w:rFonts w:hint="eastAsia" w:hAnsi="宋体" w:cs="宋体"/>
        </w:rPr>
        <w:t>中国电机工程学会标准《</w:t>
      </w:r>
      <w:r>
        <w:rPr>
          <w:rFonts w:hint="eastAsia" w:ascii="Times New Roman"/>
        </w:rPr>
        <w:t>电力机器人安全通用要求</w:t>
      </w:r>
      <w:r>
        <w:rPr>
          <w:rFonts w:hint="eastAsia" w:hAnsi="宋体" w:cs="宋体"/>
        </w:rPr>
        <w:t>》</w:t>
      </w:r>
      <w:r>
        <w:rPr>
          <w:rFonts w:ascii="Times New Roman"/>
        </w:rPr>
        <w:t>（以下</w:t>
      </w:r>
      <w:r>
        <w:rPr>
          <w:rFonts w:hint="eastAsia" w:asciiTheme="minorEastAsia" w:hAnsiTheme="minorEastAsia" w:eastAsiaTheme="minorEastAsia" w:cstheme="minorEastAsia"/>
        </w:rPr>
        <w:t>简</w:t>
      </w:r>
      <w:r>
        <w:rPr>
          <w:rFonts w:hint="eastAsia" w:hAnsi="宋体" w:cstheme="minorEastAsia"/>
        </w:rPr>
        <w:t>称“本文件”）</w:t>
      </w:r>
      <w:r>
        <w:rPr>
          <w:rFonts w:hint="eastAsia" w:hAnsi="宋体" w:cs="宋体"/>
        </w:rPr>
        <w:t>的制定任务来源于《</w:t>
      </w:r>
      <w:bookmarkStart w:id="31" w:name="OLE_LINK1"/>
      <w:r>
        <w:rPr>
          <w:rFonts w:hint="eastAsia" w:hAnsi="宋体" w:cs="宋体"/>
        </w:rPr>
        <w:t>关于印发“中国电机工程学会2024年标准计划（第二批）”的通知</w:t>
      </w:r>
      <w:bookmarkEnd w:id="31"/>
      <w:r>
        <w:rPr>
          <w:rFonts w:hint="eastAsia" w:hAnsi="宋体" w:cs="宋体"/>
        </w:rPr>
        <w:t>》（电机咨〔2024〕535号），项目序号1</w:t>
      </w:r>
      <w:r>
        <w:rPr>
          <w:rFonts w:hint="eastAsia" w:hAnsi="宋体" w:cs="宋体"/>
          <w:lang w:val="en-US" w:eastAsia="zh-CN"/>
        </w:rPr>
        <w:t>3</w:t>
      </w:r>
      <w:r>
        <w:rPr>
          <w:rFonts w:hint="eastAsia" w:hAnsi="宋体" w:cs="宋体"/>
        </w:rPr>
        <w:t>（</w:t>
      </w:r>
      <w:r>
        <w:rPr>
          <w:rFonts w:hint="eastAsia" w:hAnsi="宋体"/>
          <w:color w:val="000000"/>
          <w:szCs w:val="21"/>
        </w:rPr>
        <w:t>202412200005</w:t>
      </w:r>
      <w:r>
        <w:rPr>
          <w:rFonts w:hint="eastAsia" w:hAnsi="宋体" w:cs="宋体"/>
        </w:rPr>
        <w:t>）。</w:t>
      </w:r>
    </w:p>
    <w:p w14:paraId="2AD6E82E">
      <w:pPr>
        <w:pStyle w:val="10"/>
        <w:rPr>
          <w:rFonts w:hAnsi="宋体" w:cs="宋体"/>
        </w:rPr>
      </w:pPr>
      <w:r>
        <w:rPr>
          <w:rFonts w:hint="eastAsia" w:hAnsi="宋体" w:cs="宋体"/>
        </w:rPr>
        <w:t>由国网上海市电力公司电力科学研究牵头，河海大学、国网湖北省电力有限公司电力科学研究院、中国电力科学研究院有限公司、南方电网电力科技股份有限公司、天津大学、国网吉林省电力有限公司松原供电公司等单位负责起草，由中国电机工程学会电力机器人专业委员会归口管理。</w:t>
      </w:r>
    </w:p>
    <w:p w14:paraId="5239B202">
      <w:pPr>
        <w:pStyle w:val="10"/>
        <w:rPr>
          <w:rFonts w:hint="eastAsia" w:hAnsi="宋体" w:cs="宋体"/>
        </w:rPr>
      </w:pPr>
      <w:r>
        <w:rPr>
          <w:rFonts w:hint="eastAsia" w:hAnsi="宋体" w:cs="宋体"/>
          <w:lang w:val="en-US" w:eastAsia="zh-CN"/>
        </w:rPr>
        <w:t>随着机器人技术和人工智能技术的快速发展，</w:t>
      </w:r>
      <w:r>
        <w:rPr>
          <w:rFonts w:hint="eastAsia" w:hAnsi="宋体" w:cs="宋体"/>
        </w:rPr>
        <w:t>电力机器人在</w:t>
      </w:r>
      <w:r>
        <w:rPr>
          <w:rFonts w:hint="eastAsia" w:hAnsi="宋体" w:cs="宋体"/>
          <w:lang w:val="en-US" w:eastAsia="zh-CN"/>
        </w:rPr>
        <w:t>电力行业已经大规模推广应用。电力机器人</w:t>
      </w:r>
      <w:r>
        <w:rPr>
          <w:rFonts w:hint="eastAsia" w:hAnsi="宋体" w:cs="宋体"/>
        </w:rPr>
        <w:t>具有持续不间断运行、在危险环境运作、规避人为误操作等优势，其应用可以提高工作效率，极大缓解电力生产人员的工作压力，是解决电力事故多发的有效措施。</w:t>
      </w:r>
    </w:p>
    <w:p w14:paraId="6EE2C4B7">
      <w:pPr>
        <w:pStyle w:val="10"/>
        <w:rPr>
          <w:rFonts w:hint="eastAsia" w:hAnsi="宋体" w:cs="宋体"/>
        </w:rPr>
      </w:pPr>
      <w:r>
        <w:rPr>
          <w:rFonts w:hint="eastAsia" w:hAnsi="宋体" w:cs="宋体"/>
        </w:rPr>
        <w:t>从行业特性来看，电力行业具有其特殊性，例如运维巡检、带电作业等特有功能要求和绝缘水平、电气距离等特有环境要求等，对机器人的性能和安全提出了更高要求。</w:t>
      </w:r>
      <w:r>
        <w:rPr>
          <w:rFonts w:hint="eastAsia" w:hAnsi="宋体" w:cs="宋体"/>
          <w:lang w:val="en-US" w:eastAsia="zh-CN"/>
        </w:rPr>
        <w:t>然而，目前尚缺乏针对电力机器人的相关通用安全标准。</w:t>
      </w:r>
      <w:r>
        <w:rPr>
          <w:rFonts w:hint="eastAsia" w:hAnsi="宋体" w:cs="宋体"/>
        </w:rPr>
        <w:t>考虑到电力机器人特殊的功能要求与应用环境要求，需要制定专门的标准来确保其设计、制造、运行和维护过程中的安全性和可靠性。</w:t>
      </w:r>
    </w:p>
    <w:p w14:paraId="4D455671">
      <w:pPr>
        <w:pStyle w:val="10"/>
        <w:ind w:left="0" w:leftChars="0" w:firstLine="0" w:firstLineChars="0"/>
        <w:rPr>
          <w:rFonts w:hint="eastAsia" w:hAnsi="宋体" w:cs="宋体"/>
        </w:rPr>
      </w:pPr>
      <w:r>
        <w:rPr>
          <w:rFonts w:hint="eastAsia" w:hAnsi="宋体" w:cs="宋体"/>
        </w:rPr>
        <w:t>标准应涵盖电力机器人的本体结构、控制系统、人机交互等方面，以确保电力机器人在复杂环境中能够稳定、安全地执行任务。</w:t>
      </w:r>
    </w:p>
    <w:p w14:paraId="47DB3E36">
      <w:pPr>
        <w:pStyle w:val="10"/>
        <w:rPr>
          <w:rFonts w:hint="default" w:hAnsi="宋体" w:eastAsia="宋体" w:cs="宋体"/>
          <w:lang w:val="en-US" w:eastAsia="zh-CN"/>
        </w:rPr>
      </w:pPr>
      <w:r>
        <w:rPr>
          <w:rFonts w:hint="eastAsia" w:hAnsi="宋体" w:cs="宋体"/>
        </w:rPr>
        <w:t>本标准文件的目的在于规范电力机器人的安全通用要求，通过明确电力机器人应当具备的安全防护能力和遵循的安全准则，为其设计、建造和实际应用提供指引</w:t>
      </w:r>
      <w:r>
        <w:rPr>
          <w:rFonts w:hint="eastAsia" w:hAnsi="宋体" w:cs="宋体"/>
          <w:lang w:eastAsia="zh-CN"/>
        </w:rPr>
        <w:t>，</w:t>
      </w:r>
      <w:r>
        <w:rPr>
          <w:rFonts w:hint="eastAsia" w:hAnsi="宋体" w:cs="宋体"/>
          <w:lang w:val="en-US" w:eastAsia="zh-CN"/>
        </w:rPr>
        <w:t>更好地引导电力器人行业的安全健康发展。</w:t>
      </w:r>
    </w:p>
    <w:p w14:paraId="4447D994">
      <w:pPr>
        <w:pStyle w:val="13"/>
        <w:spacing w:before="312" w:after="312"/>
        <w:rPr>
          <w:szCs w:val="21"/>
        </w:rPr>
      </w:pPr>
      <w:bookmarkStart w:id="32" w:name="_Toc135138971"/>
      <w:bookmarkStart w:id="33" w:name="_Toc149296204"/>
      <w:r>
        <w:rPr>
          <w:szCs w:val="21"/>
        </w:rPr>
        <w:t>2 编制主要原则</w:t>
      </w:r>
      <w:bookmarkEnd w:id="32"/>
      <w:bookmarkEnd w:id="33"/>
    </w:p>
    <w:p w14:paraId="56FD8CC3">
      <w:pPr>
        <w:pStyle w:val="10"/>
        <w:rPr>
          <w:rFonts w:hAnsi="宋体"/>
        </w:rPr>
      </w:pPr>
      <w:r>
        <w:rPr>
          <w:rFonts w:hint="eastAsia" w:hAnsi="宋体"/>
        </w:rPr>
        <w:t>本文件是首次制定版本。编制遵循“统一性、协调性、适用性、一致性和规范性”的原则，严格按照GB/T 1.1-2020《标准化工作导则 第1部分：标准化文件的结构和起草规则》进行编制，并与相关标准协调统一。</w:t>
      </w:r>
    </w:p>
    <w:p w14:paraId="7A304974">
      <w:pPr>
        <w:pStyle w:val="13"/>
        <w:spacing w:before="312" w:after="312"/>
        <w:rPr>
          <w:szCs w:val="21"/>
        </w:rPr>
      </w:pPr>
      <w:bookmarkStart w:id="34" w:name="_Toc149296205"/>
      <w:bookmarkStart w:id="35" w:name="_Toc135138972"/>
      <w:r>
        <w:rPr>
          <w:szCs w:val="21"/>
        </w:rPr>
        <w:t>3 主要工作过程</w:t>
      </w:r>
      <w:bookmarkEnd w:id="34"/>
      <w:bookmarkEnd w:id="35"/>
    </w:p>
    <w:p w14:paraId="66302B38">
      <w:pPr>
        <w:pStyle w:val="10"/>
        <w:rPr>
          <w:rFonts w:hint="default" w:ascii="宋体" w:hAnsi="宋体" w:eastAsia="宋体"/>
          <w:lang w:val="en-US" w:eastAsia="zh-CN"/>
        </w:rPr>
      </w:pPr>
      <w:r>
        <w:rPr>
          <w:rFonts w:hint="eastAsia" w:ascii="宋体" w:hAnsi="宋体"/>
          <w:lang w:val="en-US" w:eastAsia="zh-CN"/>
        </w:rPr>
        <w:t>2024年11月，通过中国电机工程学会组织的立项审查。</w:t>
      </w:r>
    </w:p>
    <w:p w14:paraId="5F941FFE">
      <w:pPr>
        <w:pStyle w:val="10"/>
        <w:rPr>
          <w:rFonts w:ascii="宋体" w:hAnsi="宋体"/>
        </w:rPr>
      </w:pPr>
      <w:r>
        <w:rPr>
          <w:rFonts w:hint="eastAsia" w:ascii="宋体" w:hAnsi="宋体"/>
        </w:rPr>
        <w:t>2</w:t>
      </w:r>
      <w:r>
        <w:rPr>
          <w:rFonts w:ascii="宋体" w:hAnsi="宋体"/>
        </w:rPr>
        <w:t>024年12月，中国电机工程学会下达标准编制计划</w:t>
      </w:r>
      <w:r>
        <w:rPr>
          <w:rFonts w:hint="eastAsia" w:ascii="宋体" w:hAnsi="宋体"/>
        </w:rPr>
        <w:t>，起草单位开展资料收集和编制准备等相关工作。</w:t>
      </w:r>
    </w:p>
    <w:p w14:paraId="72CE578A">
      <w:pPr>
        <w:pStyle w:val="10"/>
        <w:rPr>
          <w:rFonts w:ascii="宋体" w:hAnsi="宋体"/>
        </w:rPr>
      </w:pPr>
      <w:r>
        <w:rPr>
          <w:rFonts w:hint="eastAsia" w:ascii="宋体" w:hAnsi="宋体"/>
        </w:rPr>
        <w:t>2025年</w:t>
      </w:r>
      <w:r>
        <w:rPr>
          <w:rFonts w:hint="eastAsia" w:ascii="宋体" w:hAnsi="宋体"/>
          <w:lang w:val="en-US" w:eastAsia="zh-CN"/>
        </w:rPr>
        <w:t>5</w:t>
      </w:r>
      <w:r>
        <w:rPr>
          <w:rFonts w:hint="eastAsia" w:ascii="宋体" w:hAnsi="宋体"/>
        </w:rPr>
        <w:t>月，完成对</w:t>
      </w:r>
      <w:r>
        <w:rPr>
          <w:rFonts w:hint="eastAsia" w:ascii="宋体" w:hAnsi="宋体"/>
          <w:lang w:val="en-US" w:eastAsia="zh-CN"/>
        </w:rPr>
        <w:t>电力机器人</w:t>
      </w:r>
      <w:r>
        <w:rPr>
          <w:rFonts w:hint="eastAsia" w:ascii="宋体" w:hAnsi="宋体"/>
        </w:rPr>
        <w:t>相关企业的调研，完成标准初稿编制。</w:t>
      </w:r>
    </w:p>
    <w:p w14:paraId="2AD66C43">
      <w:pPr>
        <w:pStyle w:val="10"/>
        <w:rPr>
          <w:rFonts w:ascii="宋体" w:hAnsi="宋体"/>
        </w:rPr>
      </w:pPr>
      <w:r>
        <w:rPr>
          <w:rFonts w:hint="eastAsia" w:ascii="宋体" w:hAnsi="宋体"/>
        </w:rPr>
        <w:t>2</w:t>
      </w:r>
      <w:r>
        <w:rPr>
          <w:rFonts w:ascii="宋体" w:hAnsi="宋体"/>
        </w:rPr>
        <w:t>02</w:t>
      </w:r>
      <w:r>
        <w:rPr>
          <w:rFonts w:hint="eastAsia" w:ascii="宋体" w:hAnsi="宋体"/>
        </w:rPr>
        <w:t>5</w:t>
      </w:r>
      <w:r>
        <w:rPr>
          <w:rFonts w:ascii="宋体" w:hAnsi="宋体"/>
        </w:rPr>
        <w:t>年</w:t>
      </w:r>
      <w:r>
        <w:rPr>
          <w:rFonts w:hint="eastAsia" w:ascii="宋体" w:hAnsi="宋体"/>
          <w:lang w:val="en-US" w:eastAsia="zh-CN"/>
        </w:rPr>
        <w:t>7</w:t>
      </w:r>
      <w:r>
        <w:rPr>
          <w:rFonts w:ascii="宋体" w:hAnsi="宋体"/>
        </w:rPr>
        <w:t>月，</w:t>
      </w:r>
      <w:r>
        <w:rPr>
          <w:rFonts w:hint="eastAsia" w:ascii="宋体" w:hAnsi="宋体"/>
        </w:rPr>
        <w:t>成立编写组，由</w:t>
      </w:r>
      <w:r>
        <w:rPr>
          <w:rFonts w:hint="eastAsia" w:ascii="宋体" w:hAnsi="宋体"/>
          <w:lang w:val="en-US" w:eastAsia="zh-CN"/>
        </w:rPr>
        <w:t>国网上海市电力公司电力科学研究院</w:t>
      </w:r>
      <w:r>
        <w:rPr>
          <w:rFonts w:ascii="宋体" w:hAnsi="宋体"/>
        </w:rPr>
        <w:t>组</w:t>
      </w:r>
      <w:r>
        <w:rPr>
          <w:rFonts w:hint="eastAsia" w:ascii="宋体" w:hAnsi="宋体"/>
        </w:rPr>
        <w:t>织召开标准第一次工作组启动会议，对标准大纲及草案进行了详细讨论，并确定了标准编制任务和分工</w:t>
      </w:r>
      <w:r>
        <w:rPr>
          <w:rFonts w:ascii="宋体" w:hAnsi="宋体"/>
        </w:rPr>
        <w:t>。</w:t>
      </w:r>
    </w:p>
    <w:p w14:paraId="1A22ABD0">
      <w:pPr>
        <w:pStyle w:val="10"/>
        <w:rPr>
          <w:rFonts w:ascii="宋体" w:hAnsi="宋体"/>
        </w:rPr>
      </w:pPr>
      <w:r>
        <w:rPr>
          <w:rFonts w:hint="eastAsia" w:ascii="宋体" w:hAnsi="宋体"/>
        </w:rPr>
        <w:t>2025年</w:t>
      </w:r>
      <w:r>
        <w:rPr>
          <w:rFonts w:hint="eastAsia" w:ascii="宋体" w:hAnsi="宋体"/>
          <w:lang w:val="en-US" w:eastAsia="zh-CN"/>
        </w:rPr>
        <w:t>9</w:t>
      </w:r>
      <w:r>
        <w:rPr>
          <w:rFonts w:hint="eastAsia" w:ascii="宋体" w:hAnsi="宋体"/>
        </w:rPr>
        <w:t>月，由</w:t>
      </w:r>
      <w:r>
        <w:rPr>
          <w:rFonts w:hint="eastAsia" w:ascii="宋体" w:hAnsi="宋体"/>
          <w:lang w:val="en-US" w:eastAsia="zh-CN"/>
        </w:rPr>
        <w:t>国网上海市电力公司电力科学研究院</w:t>
      </w:r>
      <w:r>
        <w:rPr>
          <w:rFonts w:hint="eastAsia" w:ascii="宋体" w:hAnsi="宋体"/>
        </w:rPr>
        <w:t>组织召开标准第二次工作组会议，与会专家对标准各个章节逐条进行详细讨论，提出了修改意见和建议。</w:t>
      </w:r>
    </w:p>
    <w:p w14:paraId="53DC643A">
      <w:pPr>
        <w:pStyle w:val="10"/>
        <w:rPr>
          <w:rFonts w:ascii="宋体" w:hAnsi="宋体"/>
        </w:rPr>
      </w:pPr>
      <w:r>
        <w:rPr>
          <w:rFonts w:hint="eastAsia" w:ascii="宋体" w:hAnsi="宋体"/>
        </w:rPr>
        <w:t>2</w:t>
      </w:r>
      <w:r>
        <w:rPr>
          <w:rFonts w:ascii="宋体" w:hAnsi="宋体"/>
        </w:rPr>
        <w:t>02</w:t>
      </w:r>
      <w:r>
        <w:rPr>
          <w:rFonts w:hint="eastAsia" w:ascii="宋体" w:hAnsi="宋体"/>
        </w:rPr>
        <w:t>5</w:t>
      </w:r>
      <w:r>
        <w:rPr>
          <w:rFonts w:ascii="宋体" w:hAnsi="宋体"/>
        </w:rPr>
        <w:t>年</w:t>
      </w:r>
      <w:r>
        <w:rPr>
          <w:rFonts w:hint="eastAsia" w:ascii="宋体" w:hAnsi="宋体"/>
          <w:lang w:val="en-US" w:eastAsia="zh-CN"/>
        </w:rPr>
        <w:t>10</w:t>
      </w:r>
      <w:r>
        <w:rPr>
          <w:rFonts w:ascii="宋体" w:hAnsi="宋体"/>
        </w:rPr>
        <w:t>月，</w:t>
      </w:r>
      <w:r>
        <w:rPr>
          <w:rFonts w:hint="eastAsia" w:ascii="宋体" w:hAnsi="宋体"/>
        </w:rPr>
        <w:t>编写组依据专家修改意见和建议完成了标准修改，</w:t>
      </w:r>
      <w:r>
        <w:rPr>
          <w:rFonts w:ascii="宋体" w:hAnsi="宋体"/>
        </w:rPr>
        <w:t>形成标准征求意见稿</w:t>
      </w:r>
      <w:r>
        <w:rPr>
          <w:rFonts w:hint="eastAsia" w:ascii="宋体" w:hAnsi="宋体"/>
        </w:rPr>
        <w:t>。</w:t>
      </w:r>
    </w:p>
    <w:p w14:paraId="08E176BE">
      <w:pPr>
        <w:pStyle w:val="13"/>
        <w:spacing w:before="312" w:after="312"/>
      </w:pPr>
      <w:bookmarkStart w:id="36" w:name="_Toc135138973"/>
      <w:bookmarkStart w:id="37" w:name="_Toc149296206"/>
      <w:r>
        <w:rPr>
          <w:szCs w:val="21"/>
        </w:rPr>
        <w:t>4</w:t>
      </w:r>
      <w:r>
        <w:t xml:space="preserve"> 标准结构和内容说明</w:t>
      </w:r>
      <w:bookmarkEnd w:id="36"/>
      <w:bookmarkEnd w:id="37"/>
    </w:p>
    <w:p w14:paraId="2854248C">
      <w:pPr>
        <w:pStyle w:val="15"/>
        <w:rPr>
          <w:rFonts w:ascii="Times New Roman" w:hAnsi="Times New Roman"/>
        </w:rPr>
      </w:pPr>
      <w:r>
        <w:rPr>
          <w:rFonts w:ascii="Times New Roman" w:hAnsi="Times New Roman"/>
        </w:rPr>
        <w:t>标准的主要结构和内容如下：</w:t>
      </w:r>
    </w:p>
    <w:p w14:paraId="0E603A66">
      <w:pPr>
        <w:pStyle w:val="15"/>
        <w:rPr>
          <w:rFonts w:ascii="Times New Roman" w:hAnsi="Times New Roman"/>
        </w:rPr>
      </w:pPr>
      <w:r>
        <w:rPr>
          <w:rFonts w:ascii="Times New Roman" w:hAnsi="Times New Roman"/>
        </w:rPr>
        <w:t>1）目次；</w:t>
      </w:r>
    </w:p>
    <w:p w14:paraId="4E521642">
      <w:pPr>
        <w:pStyle w:val="15"/>
        <w:rPr>
          <w:rFonts w:ascii="Times New Roman" w:hAnsi="Times New Roman"/>
        </w:rPr>
      </w:pPr>
      <w:r>
        <w:rPr>
          <w:rFonts w:ascii="Times New Roman" w:hAnsi="Times New Roman"/>
        </w:rPr>
        <w:t>2）前言；</w:t>
      </w:r>
    </w:p>
    <w:p w14:paraId="37063857">
      <w:pPr>
        <w:pStyle w:val="15"/>
        <w:rPr>
          <w:rFonts w:ascii="Times New Roman" w:hAnsi="Times New Roman"/>
        </w:rPr>
      </w:pPr>
      <w:r>
        <w:rPr>
          <w:rFonts w:ascii="Times New Roman" w:hAnsi="Times New Roman"/>
        </w:rPr>
        <w:t>3）标准正文共设11章：</w:t>
      </w:r>
    </w:p>
    <w:p w14:paraId="5535C5E8">
      <w:pPr>
        <w:pStyle w:val="15"/>
        <w:rPr>
          <w:rFonts w:ascii="Times New Roman" w:hAnsi="Times New Roman"/>
        </w:rPr>
      </w:pPr>
      <w:r>
        <w:rPr>
          <w:rFonts w:ascii="Times New Roman" w:hAnsi="Times New Roman"/>
        </w:rPr>
        <w:t>第1章：范围——描述标准的适用范围。</w:t>
      </w:r>
    </w:p>
    <w:p w14:paraId="60CA6216">
      <w:pPr>
        <w:pStyle w:val="15"/>
        <w:rPr>
          <w:rFonts w:ascii="Times New Roman" w:hAnsi="Times New Roman"/>
        </w:rPr>
      </w:pPr>
      <w:r>
        <w:rPr>
          <w:rFonts w:ascii="Times New Roman" w:hAnsi="Times New Roman"/>
        </w:rPr>
        <w:t>第2章：规范性引用文件——列出所引用的标准和相关条款。</w:t>
      </w:r>
    </w:p>
    <w:p w14:paraId="7A48AD61">
      <w:pPr>
        <w:pStyle w:val="15"/>
        <w:rPr>
          <w:rFonts w:ascii="Times New Roman" w:hAnsi="Times New Roman"/>
        </w:rPr>
      </w:pPr>
      <w:r>
        <w:rPr>
          <w:rFonts w:ascii="Times New Roman" w:hAnsi="Times New Roman"/>
        </w:rPr>
        <w:t>第3章：术语和定义——规范并定义标准中涉及的专业术语。</w:t>
      </w:r>
    </w:p>
    <w:p w14:paraId="144888BB">
      <w:pPr>
        <w:pStyle w:val="15"/>
        <w:rPr>
          <w:rFonts w:hint="default" w:ascii="Times New Roman" w:hAnsi="Times New Roman" w:eastAsia="宋体"/>
          <w:lang w:val="en-US" w:eastAsia="zh-CN"/>
        </w:rPr>
      </w:pPr>
      <w:r>
        <w:rPr>
          <w:rFonts w:ascii="Times New Roman" w:hAnsi="Times New Roman"/>
        </w:rPr>
        <w:t>第</w:t>
      </w:r>
      <w:r>
        <w:rPr>
          <w:rFonts w:hint="eastAsia" w:ascii="Times New Roman" w:hAnsi="Times New Roman"/>
          <w:lang w:val="en-US" w:eastAsia="zh-CN"/>
        </w:rPr>
        <w:t>4</w:t>
      </w:r>
      <w:r>
        <w:rPr>
          <w:rFonts w:ascii="Times New Roman" w:hAnsi="Times New Roman"/>
        </w:rPr>
        <w:t>章：</w:t>
      </w:r>
      <w:r>
        <w:rPr>
          <w:rFonts w:hint="eastAsia" w:ascii="Times New Roman" w:hAnsi="Times New Roman"/>
          <w:lang w:val="en-US" w:eastAsia="zh-CN"/>
        </w:rPr>
        <w:t>安全总则——规范电力机器人的安全基本原则</w:t>
      </w:r>
    </w:p>
    <w:p w14:paraId="5B117D16">
      <w:pPr>
        <w:pStyle w:val="15"/>
        <w:rPr>
          <w:rFonts w:ascii="Times New Roman" w:hAnsi="Times New Roman"/>
        </w:rPr>
      </w:pPr>
      <w:r>
        <w:rPr>
          <w:rFonts w:ascii="Times New Roman" w:hAnsi="Times New Roman"/>
        </w:rPr>
        <w:t>第5章：</w:t>
      </w:r>
      <w:r>
        <w:rPr>
          <w:rFonts w:hint="eastAsia" w:ascii="Times New Roman" w:hAnsi="Times New Roman"/>
          <w:lang w:val="en-US" w:eastAsia="zh-CN"/>
        </w:rPr>
        <w:t>环境安全</w:t>
      </w:r>
      <w:r>
        <w:rPr>
          <w:rFonts w:ascii="Times New Roman" w:hAnsi="Times New Roman"/>
        </w:rPr>
        <w:t>——</w:t>
      </w:r>
      <w:r>
        <w:rPr>
          <w:rFonts w:hint="eastAsia" w:ascii="Times New Roman" w:hAnsi="Times New Roman"/>
          <w:lang w:val="en-US" w:eastAsia="zh-CN"/>
        </w:rPr>
        <w:t>规范电力机器人温度、湿度、易燃易腐蚀气体控制等环境安全</w:t>
      </w:r>
      <w:r>
        <w:rPr>
          <w:rFonts w:hint="eastAsia" w:ascii="Times New Roman" w:hAnsi="Times New Roman"/>
        </w:rPr>
        <w:t>方面的</w:t>
      </w:r>
      <w:r>
        <w:rPr>
          <w:rFonts w:hint="eastAsia" w:ascii="Times New Roman" w:hAnsi="Times New Roman"/>
          <w:lang w:val="en-US" w:eastAsia="zh-CN"/>
        </w:rPr>
        <w:t>要求</w:t>
      </w:r>
      <w:r>
        <w:rPr>
          <w:rFonts w:hint="eastAsia" w:ascii="Times New Roman" w:hAnsi="Times New Roman"/>
        </w:rPr>
        <w:t>。</w:t>
      </w:r>
    </w:p>
    <w:p w14:paraId="73E32AEA">
      <w:pPr>
        <w:pStyle w:val="15"/>
        <w:rPr>
          <w:rFonts w:ascii="Times New Roman" w:hAnsi="Times New Roman"/>
        </w:rPr>
      </w:pPr>
      <w:r>
        <w:rPr>
          <w:rFonts w:ascii="Times New Roman" w:hAnsi="Times New Roman"/>
        </w:rPr>
        <w:t>第6章：</w:t>
      </w:r>
      <w:r>
        <w:rPr>
          <w:rFonts w:hint="eastAsia" w:ascii="Times New Roman" w:hAnsi="Times New Roman"/>
          <w:lang w:val="en-US" w:eastAsia="zh-CN"/>
        </w:rPr>
        <w:t>机械安全</w:t>
      </w:r>
      <w:r>
        <w:rPr>
          <w:rFonts w:ascii="Times New Roman" w:hAnsi="Times New Roman"/>
        </w:rPr>
        <w:t>——</w:t>
      </w:r>
      <w:r>
        <w:rPr>
          <w:rFonts w:hint="eastAsia" w:ascii="Times New Roman" w:hAnsi="Times New Roman"/>
        </w:rPr>
        <w:t>规范</w:t>
      </w:r>
      <w:r>
        <w:rPr>
          <w:rFonts w:hint="eastAsia" w:ascii="Times New Roman" w:hAnsi="Times New Roman"/>
          <w:lang w:val="en-US" w:eastAsia="zh-CN"/>
        </w:rPr>
        <w:t>电力机器人外观结构、物理特性、防碰撞等相关机械安全方面</w:t>
      </w:r>
      <w:r>
        <w:rPr>
          <w:rFonts w:hint="eastAsia" w:ascii="Times New Roman" w:hAnsi="Times New Roman"/>
        </w:rPr>
        <w:t>要求。</w:t>
      </w:r>
    </w:p>
    <w:p w14:paraId="76AB1AA6">
      <w:pPr>
        <w:pStyle w:val="15"/>
        <w:rPr>
          <w:rFonts w:ascii="Times New Roman" w:hAnsi="Times New Roman"/>
        </w:rPr>
      </w:pPr>
      <w:r>
        <w:rPr>
          <w:rFonts w:ascii="Times New Roman" w:hAnsi="Times New Roman"/>
        </w:rPr>
        <w:t>第</w:t>
      </w:r>
      <w:r>
        <w:rPr>
          <w:rFonts w:hint="eastAsia" w:ascii="Times New Roman" w:hAnsi="Times New Roman"/>
        </w:rPr>
        <w:t>7</w:t>
      </w:r>
      <w:r>
        <w:rPr>
          <w:rFonts w:ascii="Times New Roman" w:hAnsi="Times New Roman"/>
        </w:rPr>
        <w:t>章：</w:t>
      </w:r>
      <w:r>
        <w:rPr>
          <w:rFonts w:hint="eastAsia" w:ascii="Times New Roman" w:hAnsi="Times New Roman"/>
          <w:lang w:val="en-US" w:eastAsia="zh-CN"/>
        </w:rPr>
        <w:t>人机协作安全</w:t>
      </w:r>
      <w:r>
        <w:rPr>
          <w:rFonts w:ascii="Times New Roman" w:hAnsi="Times New Roman"/>
        </w:rPr>
        <w:t>——</w:t>
      </w:r>
      <w:r>
        <w:rPr>
          <w:rFonts w:hint="eastAsia" w:ascii="Times New Roman" w:hAnsi="Times New Roman"/>
        </w:rPr>
        <w:t>规范</w:t>
      </w:r>
      <w:r>
        <w:rPr>
          <w:rFonts w:hint="eastAsia" w:ascii="Times New Roman" w:hAnsi="Times New Roman"/>
          <w:lang w:val="en-US" w:eastAsia="zh-CN"/>
        </w:rPr>
        <w:t>涉及到电力机器人在人机协作安全方面的相关要求</w:t>
      </w:r>
      <w:r>
        <w:rPr>
          <w:rFonts w:hint="eastAsia" w:ascii="Times New Roman" w:hAnsi="Times New Roman"/>
        </w:rPr>
        <w:t>。</w:t>
      </w:r>
    </w:p>
    <w:p w14:paraId="42800EEE">
      <w:pPr>
        <w:pStyle w:val="15"/>
        <w:rPr>
          <w:rFonts w:ascii="Times New Roman" w:hAnsi="Times New Roman"/>
        </w:rPr>
      </w:pPr>
      <w:r>
        <w:rPr>
          <w:rFonts w:ascii="Times New Roman" w:hAnsi="Times New Roman"/>
        </w:rPr>
        <w:t>第</w:t>
      </w:r>
      <w:r>
        <w:rPr>
          <w:rFonts w:hint="eastAsia" w:ascii="Times New Roman" w:hAnsi="Times New Roman"/>
        </w:rPr>
        <w:t>8</w:t>
      </w:r>
      <w:r>
        <w:rPr>
          <w:rFonts w:ascii="Times New Roman" w:hAnsi="Times New Roman"/>
        </w:rPr>
        <w:t>章：</w:t>
      </w:r>
      <w:r>
        <w:rPr>
          <w:rFonts w:hint="eastAsia" w:ascii="Times New Roman" w:hAnsi="Times New Roman"/>
          <w:lang w:val="en-US" w:eastAsia="zh-CN"/>
        </w:rPr>
        <w:t>电气安全</w:t>
      </w:r>
      <w:r>
        <w:rPr>
          <w:rFonts w:ascii="Times New Roman" w:hAnsi="Times New Roman"/>
        </w:rPr>
        <w:t>——</w:t>
      </w:r>
      <w:r>
        <w:rPr>
          <w:rFonts w:hint="eastAsia" w:ascii="Times New Roman" w:hAnsi="Times New Roman"/>
        </w:rPr>
        <w:t>规范了</w:t>
      </w:r>
      <w:r>
        <w:rPr>
          <w:rFonts w:hint="eastAsia" w:ascii="Times New Roman" w:hAnsi="Times New Roman"/>
          <w:lang w:val="en-US" w:eastAsia="zh-CN"/>
        </w:rPr>
        <w:t>电力机器人在电气安全方面的相关要求</w:t>
      </w:r>
      <w:r>
        <w:rPr>
          <w:rFonts w:hint="eastAsia" w:ascii="Times New Roman" w:hAnsi="Times New Roman"/>
        </w:rPr>
        <w:t>。</w:t>
      </w:r>
    </w:p>
    <w:p w14:paraId="598BD840">
      <w:pPr>
        <w:pStyle w:val="15"/>
        <w:rPr>
          <w:rFonts w:ascii="Times New Roman" w:hAnsi="Times New Roman"/>
        </w:rPr>
      </w:pPr>
      <w:r>
        <w:rPr>
          <w:rFonts w:ascii="Times New Roman" w:hAnsi="Times New Roman"/>
        </w:rPr>
        <w:t>第</w:t>
      </w:r>
      <w:r>
        <w:rPr>
          <w:rFonts w:hint="eastAsia" w:ascii="Times New Roman" w:hAnsi="Times New Roman"/>
        </w:rPr>
        <w:t>9</w:t>
      </w:r>
      <w:r>
        <w:rPr>
          <w:rFonts w:ascii="Times New Roman" w:hAnsi="Times New Roman"/>
        </w:rPr>
        <w:t>章：</w:t>
      </w:r>
      <w:r>
        <w:rPr>
          <w:rFonts w:hint="eastAsia" w:ascii="Times New Roman" w:hAnsi="Times New Roman"/>
          <w:lang w:val="en-US" w:eastAsia="zh-CN"/>
        </w:rPr>
        <w:t>电磁兼容性</w:t>
      </w:r>
      <w:r>
        <w:rPr>
          <w:rFonts w:ascii="Times New Roman" w:hAnsi="Times New Roman"/>
        </w:rPr>
        <w:t>——</w:t>
      </w:r>
      <w:r>
        <w:rPr>
          <w:rFonts w:hint="eastAsia" w:ascii="Times New Roman" w:hAnsi="Times New Roman"/>
        </w:rPr>
        <w:t>规范了</w:t>
      </w:r>
      <w:r>
        <w:rPr>
          <w:rFonts w:hint="eastAsia" w:ascii="Times New Roman" w:hAnsi="Times New Roman"/>
          <w:lang w:val="en-US" w:eastAsia="zh-CN"/>
        </w:rPr>
        <w:t>电力机器人电磁兼容的要求</w:t>
      </w:r>
      <w:r>
        <w:rPr>
          <w:rFonts w:hint="eastAsia" w:ascii="Times New Roman" w:hAnsi="Times New Roman"/>
        </w:rPr>
        <w:t>。</w:t>
      </w:r>
    </w:p>
    <w:p w14:paraId="39A93C7B">
      <w:pPr>
        <w:pStyle w:val="15"/>
        <w:rPr>
          <w:rFonts w:ascii="Times New Roman" w:hAnsi="Times New Roman"/>
        </w:rPr>
      </w:pPr>
      <w:r>
        <w:rPr>
          <w:rFonts w:ascii="Times New Roman" w:hAnsi="Times New Roman"/>
        </w:rPr>
        <w:t>第</w:t>
      </w:r>
      <w:r>
        <w:rPr>
          <w:rFonts w:hint="eastAsia" w:ascii="Times New Roman" w:hAnsi="Times New Roman"/>
        </w:rPr>
        <w:t>10</w:t>
      </w:r>
      <w:r>
        <w:rPr>
          <w:rFonts w:ascii="Times New Roman" w:hAnsi="Times New Roman"/>
        </w:rPr>
        <w:t>章：</w:t>
      </w:r>
      <w:r>
        <w:rPr>
          <w:rFonts w:hint="eastAsia" w:ascii="Times New Roman" w:hAnsi="Times New Roman"/>
          <w:lang w:val="en-US" w:eastAsia="zh-CN"/>
        </w:rPr>
        <w:t>辐射安全</w:t>
      </w:r>
      <w:r>
        <w:rPr>
          <w:rFonts w:ascii="Times New Roman" w:hAnsi="Times New Roman"/>
        </w:rPr>
        <w:t>——</w:t>
      </w:r>
      <w:r>
        <w:rPr>
          <w:rFonts w:hint="eastAsia" w:ascii="Times New Roman" w:hAnsi="Times New Roman"/>
        </w:rPr>
        <w:t>规范了</w:t>
      </w:r>
      <w:r>
        <w:rPr>
          <w:rFonts w:hint="eastAsia" w:ascii="Times New Roman" w:hAnsi="Times New Roman"/>
          <w:lang w:val="en-US" w:eastAsia="zh-CN"/>
        </w:rPr>
        <w:t>电力机器人在电离辐射和非电离辐射等方面的安全要求</w:t>
      </w:r>
      <w:r>
        <w:rPr>
          <w:rFonts w:hint="eastAsia" w:ascii="Times New Roman" w:hAnsi="Times New Roman"/>
        </w:rPr>
        <w:t>。</w:t>
      </w:r>
    </w:p>
    <w:p w14:paraId="25C050D4">
      <w:pPr>
        <w:pStyle w:val="15"/>
        <w:rPr>
          <w:rFonts w:hint="eastAsia" w:ascii="Times New Roman" w:hAnsi="Times New Roman"/>
        </w:rPr>
      </w:pPr>
      <w:r>
        <w:rPr>
          <w:rFonts w:ascii="Times New Roman" w:hAnsi="Times New Roman"/>
        </w:rPr>
        <w:t>第</w:t>
      </w:r>
      <w:r>
        <w:rPr>
          <w:rFonts w:hint="eastAsia" w:ascii="Times New Roman" w:hAnsi="Times New Roman"/>
        </w:rPr>
        <w:t>11</w:t>
      </w:r>
      <w:r>
        <w:rPr>
          <w:rFonts w:ascii="Times New Roman" w:hAnsi="Times New Roman"/>
        </w:rPr>
        <w:t>章：</w:t>
      </w:r>
      <w:r>
        <w:rPr>
          <w:rFonts w:hint="eastAsia" w:ascii="Times New Roman" w:hAnsi="Times New Roman"/>
          <w:lang w:val="en-US" w:eastAsia="zh-CN"/>
        </w:rPr>
        <w:t>热安全</w:t>
      </w:r>
      <w:r>
        <w:rPr>
          <w:rFonts w:ascii="Times New Roman" w:hAnsi="Times New Roman"/>
        </w:rPr>
        <w:t>——</w:t>
      </w:r>
      <w:r>
        <w:rPr>
          <w:rFonts w:hint="eastAsia" w:ascii="Times New Roman" w:hAnsi="Times New Roman"/>
          <w:lang w:val="en-US" w:eastAsia="zh-CN"/>
        </w:rPr>
        <w:t>规范了电力机器人在防止过热、防爆等热量管理方面的安全要求</w:t>
      </w:r>
      <w:r>
        <w:rPr>
          <w:rFonts w:hint="eastAsia" w:ascii="Times New Roman" w:hAnsi="Times New Roman"/>
        </w:rPr>
        <w:t>。</w:t>
      </w:r>
    </w:p>
    <w:p w14:paraId="20427518">
      <w:pPr>
        <w:pStyle w:val="15"/>
        <w:rPr>
          <w:rFonts w:hint="default" w:ascii="Times New Roman" w:hAnsi="Times New Roman"/>
          <w:lang w:val="en-US"/>
        </w:rPr>
      </w:pPr>
      <w:r>
        <w:rPr>
          <w:rFonts w:ascii="Times New Roman" w:hAnsi="Times New Roman"/>
        </w:rPr>
        <w:t>第</w:t>
      </w:r>
      <w:r>
        <w:rPr>
          <w:rFonts w:hint="eastAsia" w:ascii="Times New Roman" w:hAnsi="Times New Roman"/>
        </w:rPr>
        <w:t>1</w:t>
      </w:r>
      <w:r>
        <w:rPr>
          <w:rFonts w:hint="eastAsia" w:ascii="Times New Roman" w:hAnsi="Times New Roman"/>
          <w:lang w:val="en-US" w:eastAsia="zh-CN"/>
        </w:rPr>
        <w:t>2</w:t>
      </w:r>
      <w:r>
        <w:rPr>
          <w:rFonts w:ascii="Times New Roman" w:hAnsi="Times New Roman"/>
        </w:rPr>
        <w:t>章：</w:t>
      </w:r>
      <w:r>
        <w:rPr>
          <w:rFonts w:hint="eastAsia" w:ascii="Times New Roman" w:hAnsi="Times New Roman"/>
          <w:lang w:val="en-US" w:eastAsia="zh-CN"/>
        </w:rPr>
        <w:t>控制系统安全——规范了电力机器人在控制功能、急停功能等控制方面的安全要求。</w:t>
      </w:r>
    </w:p>
    <w:p w14:paraId="401E8C26">
      <w:pPr>
        <w:pStyle w:val="15"/>
        <w:rPr>
          <w:rFonts w:hint="default" w:ascii="Times New Roman" w:hAnsi="Times New Roman"/>
          <w:lang w:val="en-US" w:eastAsia="zh-CN"/>
        </w:rPr>
      </w:pPr>
      <w:r>
        <w:rPr>
          <w:rFonts w:ascii="Times New Roman" w:hAnsi="Times New Roman"/>
        </w:rPr>
        <w:t>第</w:t>
      </w:r>
      <w:r>
        <w:rPr>
          <w:rFonts w:hint="eastAsia" w:ascii="Times New Roman" w:hAnsi="Times New Roman"/>
        </w:rPr>
        <w:t>1</w:t>
      </w:r>
      <w:r>
        <w:rPr>
          <w:rFonts w:hint="eastAsia" w:ascii="Times New Roman" w:hAnsi="Times New Roman"/>
          <w:lang w:val="en-US" w:eastAsia="zh-CN"/>
        </w:rPr>
        <w:t>3</w:t>
      </w:r>
      <w:r>
        <w:rPr>
          <w:rFonts w:ascii="Times New Roman" w:hAnsi="Times New Roman"/>
        </w:rPr>
        <w:t>章：</w:t>
      </w:r>
      <w:r>
        <w:rPr>
          <w:rFonts w:hint="eastAsia" w:ascii="Times New Roman" w:hAnsi="Times New Roman"/>
          <w:lang w:val="en-US" w:eastAsia="zh-CN"/>
        </w:rPr>
        <w:t>信息安全——规范了电力机器人在身份认证、权限管理、数据安全、安全审计等信息安全方面的要求。</w:t>
      </w:r>
    </w:p>
    <w:p w14:paraId="65B14DC1">
      <w:pPr>
        <w:pStyle w:val="15"/>
        <w:rPr>
          <w:rFonts w:hint="default" w:ascii="Times New Roman" w:hAnsi="Times New Roman"/>
          <w:lang w:val="en-US" w:eastAsia="zh-CN"/>
        </w:rPr>
      </w:pPr>
      <w:r>
        <w:rPr>
          <w:rFonts w:ascii="Times New Roman" w:hAnsi="Times New Roman"/>
        </w:rPr>
        <w:t>第</w:t>
      </w:r>
      <w:r>
        <w:rPr>
          <w:rFonts w:hint="eastAsia" w:ascii="Times New Roman" w:hAnsi="Times New Roman"/>
        </w:rPr>
        <w:t>1</w:t>
      </w:r>
      <w:r>
        <w:rPr>
          <w:rFonts w:hint="eastAsia" w:ascii="Times New Roman" w:hAnsi="Times New Roman"/>
          <w:lang w:val="en-US" w:eastAsia="zh-CN"/>
        </w:rPr>
        <w:t>4</w:t>
      </w:r>
      <w:r>
        <w:rPr>
          <w:rFonts w:ascii="Times New Roman" w:hAnsi="Times New Roman"/>
        </w:rPr>
        <w:t>章：</w:t>
      </w:r>
      <w:r>
        <w:rPr>
          <w:rFonts w:hint="eastAsia" w:ascii="Times New Roman" w:hAnsi="Times New Roman"/>
          <w:lang w:val="en-US" w:eastAsia="zh-CN"/>
        </w:rPr>
        <w:t>使用信息——规范了电力机器人在标记、使用说明、安全信息说明等方面的要求。</w:t>
      </w:r>
    </w:p>
    <w:p w14:paraId="30784AFA">
      <w:pPr>
        <w:pStyle w:val="15"/>
        <w:rPr>
          <w:rFonts w:hint="default" w:ascii="Times New Roman" w:hAnsi="Times New Roman"/>
          <w:lang w:val="en-US" w:eastAsia="zh-CN"/>
        </w:rPr>
      </w:pPr>
      <w:r>
        <w:rPr>
          <w:rFonts w:ascii="Times New Roman" w:hAnsi="Times New Roman"/>
        </w:rPr>
        <w:t>第</w:t>
      </w:r>
      <w:r>
        <w:rPr>
          <w:rFonts w:hint="eastAsia" w:ascii="Times New Roman" w:hAnsi="Times New Roman"/>
        </w:rPr>
        <w:t>1</w:t>
      </w:r>
      <w:r>
        <w:rPr>
          <w:rFonts w:hint="eastAsia" w:ascii="Times New Roman" w:hAnsi="Times New Roman"/>
          <w:lang w:val="en-US" w:eastAsia="zh-CN"/>
        </w:rPr>
        <w:t>5</w:t>
      </w:r>
      <w:r>
        <w:rPr>
          <w:rFonts w:ascii="Times New Roman" w:hAnsi="Times New Roman"/>
        </w:rPr>
        <w:t>章：</w:t>
      </w:r>
      <w:r>
        <w:rPr>
          <w:rFonts w:hint="eastAsia" w:ascii="Times New Roman" w:hAnsi="Times New Roman"/>
          <w:lang w:val="en-US" w:eastAsia="zh-CN"/>
        </w:rPr>
        <w:t>包装、运输、贮存——规范了电力机器人在包装、运输、贮存方面的要求。</w:t>
      </w:r>
    </w:p>
    <w:p w14:paraId="4CF338E9">
      <w:pPr>
        <w:pStyle w:val="10"/>
        <w:rPr>
          <w:rFonts w:ascii="Times New Roman"/>
        </w:rPr>
      </w:pPr>
    </w:p>
    <w:p w14:paraId="44F38E1E">
      <w:pPr>
        <w:pStyle w:val="13"/>
        <w:spacing w:before="312" w:after="312"/>
      </w:pPr>
      <w:bookmarkStart w:id="38" w:name="_Toc135138974"/>
      <w:bookmarkStart w:id="39" w:name="_Toc149296207"/>
      <w:r>
        <w:rPr>
          <w:szCs w:val="21"/>
        </w:rPr>
        <w:t>5相关</w:t>
      </w:r>
      <w:r>
        <w:t>标准对比说明</w:t>
      </w:r>
      <w:bookmarkEnd w:id="38"/>
      <w:bookmarkEnd w:id="39"/>
    </w:p>
    <w:p w14:paraId="15E55C66">
      <w:pPr>
        <w:pStyle w:val="10"/>
        <w:rPr>
          <w:rFonts w:hint="default" w:hAnsi="宋体" w:eastAsia="宋体"/>
          <w:lang w:val="en-US" w:eastAsia="zh-CN"/>
        </w:rPr>
      </w:pPr>
      <w:r>
        <w:rPr>
          <w:rFonts w:hint="eastAsia" w:hAnsi="宋体"/>
          <w:lang w:val="en-US" w:eastAsia="zh-CN"/>
        </w:rPr>
        <w:t>电力机器人是应用于发电、输电、变电、配电等电力各环节领域的机器人</w:t>
      </w:r>
      <w:r>
        <w:rPr>
          <w:rFonts w:hint="eastAsia" w:hAnsi="宋体"/>
        </w:rPr>
        <w:t>。在编制过程中，参考了</w:t>
      </w:r>
      <w:r>
        <w:rPr>
          <w:rFonts w:hint="eastAsia" w:hAnsi="宋体"/>
          <w:lang w:val="en-US" w:eastAsia="zh-CN"/>
        </w:rPr>
        <w:t>机器人、工业机器人、巡检机器人、机械安全、信息安全、粉尘防爆、电气电缆试验、X射线防护、激光产品安全、电磁环境</w:t>
      </w:r>
      <w:r>
        <w:rPr>
          <w:rFonts w:hint="eastAsia" w:hAnsi="宋体"/>
        </w:rPr>
        <w:t>等相关领域的国家标准、行业标准和规程，主要包括GB∕T</w:t>
      </w:r>
      <w:r>
        <w:rPr>
          <w:rFonts w:hint="eastAsia" w:hAnsi="宋体"/>
          <w:lang w:val="en-US" w:eastAsia="zh-CN"/>
        </w:rPr>
        <w:t xml:space="preserve"> </w:t>
      </w:r>
      <w:r>
        <w:rPr>
          <w:rFonts w:hint="eastAsia" w:hAnsi="宋体"/>
        </w:rPr>
        <w:t>39586 电力机器人术语</w:t>
      </w:r>
      <w:r>
        <w:rPr>
          <w:rFonts w:hint="eastAsia" w:hAnsi="宋体"/>
          <w:lang w:eastAsia="zh-CN"/>
        </w:rPr>
        <w:t>》、</w:t>
      </w:r>
      <w:r>
        <w:rPr>
          <w:rFonts w:hint="eastAsia" w:hAnsi="宋体"/>
        </w:rPr>
        <w:t>GB/T 15706</w:t>
      </w:r>
      <w:r>
        <w:rPr>
          <w:rFonts w:hint="eastAsia" w:hAnsi="宋体"/>
          <w:lang w:eastAsia="zh-CN"/>
        </w:rPr>
        <w:t>《</w:t>
      </w:r>
      <w:r>
        <w:rPr>
          <w:rFonts w:hint="eastAsia" w:hAnsi="宋体"/>
        </w:rPr>
        <w:t>机械安全 设计通则 风险评估与风险减小</w:t>
      </w:r>
      <w:r>
        <w:rPr>
          <w:rFonts w:hint="eastAsia" w:hAnsi="宋体"/>
          <w:lang w:eastAsia="zh-CN"/>
        </w:rPr>
        <w:t>》、</w:t>
      </w:r>
      <w:r>
        <w:rPr>
          <w:rFonts w:hint="eastAsia" w:hAnsi="宋体"/>
        </w:rPr>
        <w:t>GB/T 44253</w:t>
      </w:r>
      <w:r>
        <w:rPr>
          <w:rFonts w:hint="eastAsia" w:hAnsi="宋体"/>
          <w:lang w:eastAsia="zh-CN"/>
        </w:rPr>
        <w:t>《</w:t>
      </w:r>
      <w:r>
        <w:rPr>
          <w:rFonts w:hint="eastAsia" w:hAnsi="宋体"/>
        </w:rPr>
        <w:t>巡检机器人安全要求</w:t>
      </w:r>
      <w:r>
        <w:rPr>
          <w:rFonts w:hint="eastAsia" w:hAnsi="宋体"/>
          <w:lang w:eastAsia="zh-CN"/>
        </w:rPr>
        <w:t>》、</w:t>
      </w:r>
      <w:r>
        <w:rPr>
          <w:rFonts w:hint="eastAsia" w:hAnsi="宋体"/>
        </w:rPr>
        <w:t>GB/T29246</w:t>
      </w:r>
      <w:r>
        <w:rPr>
          <w:rFonts w:hint="eastAsia" w:hAnsi="宋体"/>
          <w:lang w:eastAsia="zh-CN"/>
        </w:rPr>
        <w:t>《</w:t>
      </w:r>
      <w:r>
        <w:rPr>
          <w:rFonts w:hint="eastAsia" w:hAnsi="宋体"/>
        </w:rPr>
        <w:t>信息安全技术 信息安全管理体系 概述和词汇</w:t>
      </w:r>
      <w:r>
        <w:rPr>
          <w:rFonts w:hint="eastAsia" w:hAnsi="宋体"/>
          <w:lang w:eastAsia="zh-CN"/>
        </w:rPr>
        <w:t>》、</w:t>
      </w:r>
      <w:r>
        <w:rPr>
          <w:rFonts w:hint="eastAsia" w:hAnsi="宋体"/>
        </w:rPr>
        <w:t>GB/T 38244</w:t>
      </w:r>
      <w:r>
        <w:rPr>
          <w:rFonts w:hint="eastAsia" w:hAnsi="宋体"/>
          <w:lang w:eastAsia="zh-CN"/>
        </w:rPr>
        <w:t>《</w:t>
      </w:r>
      <w:r>
        <w:rPr>
          <w:rFonts w:hint="eastAsia" w:hAnsi="宋体"/>
        </w:rPr>
        <w:t>机器人安全总则</w:t>
      </w:r>
      <w:r>
        <w:rPr>
          <w:rFonts w:hint="eastAsia" w:hAnsi="宋体"/>
          <w:lang w:eastAsia="zh-CN"/>
        </w:rPr>
        <w:t>》、</w:t>
      </w:r>
      <w:r>
        <w:rPr>
          <w:rFonts w:hint="eastAsia" w:hAnsi="宋体"/>
        </w:rPr>
        <w:t>GB 15577</w:t>
      </w:r>
      <w:r>
        <w:rPr>
          <w:rFonts w:hint="eastAsia" w:hAnsi="宋体"/>
          <w:lang w:eastAsia="zh-CN"/>
        </w:rPr>
        <w:t>《</w:t>
      </w:r>
      <w:r>
        <w:rPr>
          <w:rFonts w:hint="eastAsia" w:hAnsi="宋体"/>
        </w:rPr>
        <w:t>粉尘防爆安全规程</w:t>
      </w:r>
      <w:r>
        <w:rPr>
          <w:rFonts w:hint="eastAsia" w:hAnsi="宋体"/>
          <w:lang w:eastAsia="zh-CN"/>
        </w:rPr>
        <w:t>》、</w:t>
      </w:r>
      <w:r>
        <w:rPr>
          <w:rFonts w:hint="eastAsia" w:hAnsi="宋体"/>
        </w:rPr>
        <w:t>GB/T 3048.5</w:t>
      </w:r>
      <w:r>
        <w:rPr>
          <w:rFonts w:hint="eastAsia" w:hAnsi="宋体"/>
          <w:lang w:eastAsia="zh-CN"/>
        </w:rPr>
        <w:t>《</w:t>
      </w:r>
      <w:r>
        <w:rPr>
          <w:rFonts w:hint="eastAsia" w:hAnsi="宋体"/>
        </w:rPr>
        <w:t>电线电缆电气性能试验方法 第5部分：绝缘电阻试验</w:t>
      </w:r>
      <w:r>
        <w:rPr>
          <w:rFonts w:hint="eastAsia" w:hAnsi="宋体"/>
          <w:lang w:eastAsia="zh-CN"/>
        </w:rPr>
        <w:t>》、</w:t>
      </w:r>
      <w:r>
        <w:rPr>
          <w:rFonts w:hint="eastAsia" w:hAnsi="宋体"/>
        </w:rPr>
        <w:t>GB/T 11291.1</w:t>
      </w:r>
      <w:r>
        <w:rPr>
          <w:rFonts w:hint="eastAsia" w:hAnsi="宋体"/>
          <w:lang w:eastAsia="zh-CN"/>
        </w:rPr>
        <w:t>《</w:t>
      </w:r>
      <w:r>
        <w:rPr>
          <w:rFonts w:hint="eastAsia" w:hAnsi="宋体"/>
        </w:rPr>
        <w:t>工业环境用机器人 安全要求</w:t>
      </w:r>
      <w:r>
        <w:rPr>
          <w:rFonts w:hint="eastAsia" w:hAnsi="宋体"/>
          <w:lang w:eastAsia="zh-CN"/>
        </w:rPr>
        <w:t>》、</w:t>
      </w:r>
      <w:r>
        <w:rPr>
          <w:rFonts w:hint="eastAsia" w:hAnsi="宋体"/>
        </w:rPr>
        <w:t>GBZ 117</w:t>
      </w:r>
      <w:r>
        <w:rPr>
          <w:rFonts w:hint="eastAsia" w:hAnsi="宋体"/>
          <w:lang w:eastAsia="zh-CN"/>
        </w:rPr>
        <w:t>《</w:t>
      </w:r>
      <w:r>
        <w:rPr>
          <w:rFonts w:hint="eastAsia" w:hAnsi="宋体"/>
        </w:rPr>
        <w:t>工业X射线探伤放射防护要求</w:t>
      </w:r>
      <w:r>
        <w:rPr>
          <w:rFonts w:hint="eastAsia" w:hAnsi="宋体"/>
          <w:lang w:eastAsia="zh-CN"/>
        </w:rPr>
        <w:t>》</w:t>
      </w:r>
      <w:r>
        <w:rPr>
          <w:rFonts w:hint="eastAsia" w:hAnsi="宋体"/>
          <w:lang w:val="en-US" w:eastAsia="zh-CN"/>
        </w:rPr>
        <w:t>等相关标准。</w:t>
      </w:r>
    </w:p>
    <w:p w14:paraId="086D72E2">
      <w:pPr>
        <w:pStyle w:val="10"/>
        <w:rPr>
          <w:rFonts w:hint="eastAsia" w:hAnsi="宋体"/>
          <w:lang w:val="en-US" w:eastAsia="zh-CN"/>
        </w:rPr>
      </w:pPr>
      <w:r>
        <w:rPr>
          <w:rFonts w:hint="eastAsia" w:hAnsi="宋体"/>
        </w:rPr>
        <w:t>目前，关于针对</w:t>
      </w:r>
      <w:r>
        <w:rPr>
          <w:rFonts w:hint="eastAsia" w:hAnsi="宋体"/>
          <w:lang w:val="en-US" w:eastAsia="zh-CN"/>
        </w:rPr>
        <w:t>电力机器人安全通用要求</w:t>
      </w:r>
      <w:r>
        <w:rPr>
          <w:rFonts w:hint="eastAsia" w:hAnsi="宋体"/>
          <w:szCs w:val="21"/>
        </w:rPr>
        <w:t>尚无国际标准、国家标准、行业标准等相关标准。</w:t>
      </w:r>
      <w:r>
        <w:rPr>
          <w:rFonts w:hint="eastAsia" w:hAnsi="宋体"/>
        </w:rPr>
        <w:t>其中，</w:t>
      </w:r>
      <w:r>
        <w:rPr>
          <w:rFonts w:hint="eastAsia" w:hAnsi="宋体"/>
          <w:lang w:val="en-US" w:eastAsia="zh-CN"/>
        </w:rPr>
        <w:t>针对机器人的安全发布了国家标准GB/T 38244-2019，标准规定了机器人安全总则。</w:t>
      </w:r>
      <w:r>
        <w:rPr>
          <w:rFonts w:hint="eastAsia" w:hAnsi="宋体"/>
        </w:rPr>
        <w:t>针对</w:t>
      </w:r>
      <w:r>
        <w:rPr>
          <w:rFonts w:hint="eastAsia" w:hAnsi="宋体"/>
          <w:lang w:val="en-US" w:eastAsia="zh-CN"/>
        </w:rPr>
        <w:t>工业机器人的安全</w:t>
      </w:r>
      <w:r>
        <w:rPr>
          <w:rFonts w:hint="eastAsia" w:hAnsi="宋体"/>
        </w:rPr>
        <w:t>发布了</w:t>
      </w:r>
      <w:r>
        <w:rPr>
          <w:rFonts w:hint="eastAsia" w:hAnsi="宋体"/>
          <w:lang w:val="en-US" w:eastAsia="zh-CN"/>
        </w:rPr>
        <w:t>国家</w:t>
      </w:r>
      <w:r>
        <w:rPr>
          <w:rFonts w:hint="eastAsia" w:hAnsi="宋体"/>
        </w:rPr>
        <w:t>标准GB 11291.1-2011</w:t>
      </w:r>
      <w:r>
        <w:rPr>
          <w:rFonts w:hint="eastAsia" w:hAnsi="宋体"/>
          <w:lang w:val="en-US" w:eastAsia="zh-CN"/>
        </w:rPr>
        <w:t>和GB 11291.2-2013</w:t>
      </w:r>
      <w:r>
        <w:rPr>
          <w:rFonts w:hint="eastAsia" w:hAnsi="宋体"/>
        </w:rPr>
        <w:t>，标准规定了</w:t>
      </w:r>
      <w:r>
        <w:rPr>
          <w:rFonts w:hint="eastAsia" w:hAnsi="宋体"/>
          <w:lang w:val="en-US" w:eastAsia="zh-CN"/>
        </w:rPr>
        <w:t>工业机器人本体以及其系统集成方面的安全要求。</w:t>
      </w:r>
    </w:p>
    <w:p w14:paraId="3B22C426">
      <w:pPr>
        <w:pStyle w:val="10"/>
        <w:rPr>
          <w:rFonts w:hAnsi="宋体"/>
        </w:rPr>
      </w:pPr>
      <w:r>
        <w:rPr>
          <w:rFonts w:hint="eastAsia" w:hAnsi="宋体"/>
        </w:rPr>
        <w:t>标准工作组在标准编制前期组织开展了大量调研与</w:t>
      </w:r>
      <w:r>
        <w:rPr>
          <w:rFonts w:hint="eastAsia" w:hAnsi="宋体"/>
          <w:lang w:val="en-US" w:eastAsia="zh-CN"/>
        </w:rPr>
        <w:t>研究</w:t>
      </w:r>
      <w:r>
        <w:rPr>
          <w:rFonts w:hint="eastAsia" w:hAnsi="宋体"/>
        </w:rPr>
        <w:t>，</w:t>
      </w:r>
      <w:r>
        <w:rPr>
          <w:rFonts w:hint="eastAsia" w:hAnsi="宋体"/>
          <w:lang w:val="en-US" w:eastAsia="zh-CN"/>
        </w:rPr>
        <w:t>充分考虑电力机器人在各场景应用时的需要注意安全的各项因素和相关验证方法，</w:t>
      </w:r>
      <w:r>
        <w:rPr>
          <w:rFonts w:hint="eastAsia" w:hAnsi="宋体"/>
        </w:rPr>
        <w:t>据此完成了本标准的编制。本标准已广泛征求电力相关单位的意见，不断修改完善标准</w:t>
      </w:r>
      <w:r>
        <w:rPr>
          <w:rFonts w:hAnsi="宋体"/>
        </w:rPr>
        <w:t>。</w:t>
      </w:r>
    </w:p>
    <w:p w14:paraId="351B6159">
      <w:pPr>
        <w:pStyle w:val="13"/>
        <w:spacing w:before="312" w:after="312"/>
        <w:rPr>
          <w:szCs w:val="21"/>
        </w:rPr>
      </w:pPr>
      <w:bookmarkStart w:id="40" w:name="_Toc149296208"/>
      <w:bookmarkStart w:id="41" w:name="_Toc135138975"/>
      <w:r>
        <w:rPr>
          <w:szCs w:val="21"/>
        </w:rPr>
        <w:t>6标准实施措施说明</w:t>
      </w:r>
      <w:bookmarkEnd w:id="40"/>
      <w:bookmarkEnd w:id="41"/>
    </w:p>
    <w:p w14:paraId="5019969B">
      <w:pPr>
        <w:pStyle w:val="10"/>
        <w:rPr>
          <w:rFonts w:ascii="Times New Roman"/>
        </w:rPr>
      </w:pPr>
      <w:r>
        <w:rPr>
          <w:rFonts w:hint="eastAsia" w:ascii="Times New Roman"/>
        </w:rPr>
        <w:t>本标准的制定有助于推动</w:t>
      </w:r>
      <w:r>
        <w:rPr>
          <w:rFonts w:hint="eastAsia" w:ascii="Times New Roman"/>
          <w:lang w:val="en-US" w:eastAsia="zh-CN"/>
        </w:rPr>
        <w:t>电力机器人行业的安全健康发展</w:t>
      </w:r>
      <w:r>
        <w:rPr>
          <w:rFonts w:hint="eastAsia" w:ascii="Times New Roman"/>
        </w:rPr>
        <w:t>，</w:t>
      </w:r>
      <w:r>
        <w:rPr>
          <w:rFonts w:hint="eastAsia" w:ascii="Times New Roman"/>
          <w:lang w:val="en-US" w:eastAsia="zh-CN"/>
        </w:rPr>
        <w:t>支撑电力机器人设计</w:t>
      </w:r>
      <w:r>
        <w:rPr>
          <w:rFonts w:hint="eastAsia" w:ascii="Times New Roman"/>
        </w:rPr>
        <w:t>制造企业</w:t>
      </w:r>
      <w:r>
        <w:rPr>
          <w:rFonts w:hint="eastAsia" w:ascii="Times New Roman"/>
          <w:lang w:eastAsia="zh-CN"/>
        </w:rPr>
        <w:t>、</w:t>
      </w:r>
      <w:r>
        <w:rPr>
          <w:rFonts w:hint="eastAsia" w:ascii="Times New Roman"/>
          <w:lang w:val="en-US" w:eastAsia="zh-CN"/>
        </w:rPr>
        <w:t>电力机器人使用单位</w:t>
      </w:r>
      <w:r>
        <w:rPr>
          <w:rFonts w:hint="eastAsia" w:ascii="Times New Roman"/>
        </w:rPr>
        <w:t>在</w:t>
      </w:r>
      <w:r>
        <w:rPr>
          <w:rFonts w:hint="eastAsia" w:ascii="Times New Roman"/>
          <w:lang w:val="en-US" w:eastAsia="zh-CN"/>
        </w:rPr>
        <w:t>电力机器人设计</w:t>
      </w:r>
      <w:r>
        <w:rPr>
          <w:rFonts w:hint="eastAsia" w:ascii="Times New Roman"/>
        </w:rPr>
        <w:t>、</w:t>
      </w:r>
      <w:r>
        <w:rPr>
          <w:rFonts w:hint="eastAsia" w:ascii="Times New Roman"/>
          <w:lang w:val="en-US" w:eastAsia="zh-CN"/>
        </w:rPr>
        <w:t>生产制造</w:t>
      </w:r>
      <w:r>
        <w:rPr>
          <w:rFonts w:hint="eastAsia" w:ascii="Times New Roman"/>
        </w:rPr>
        <w:t>、</w:t>
      </w:r>
      <w:r>
        <w:rPr>
          <w:rFonts w:hint="eastAsia" w:ascii="Times New Roman"/>
          <w:lang w:val="en-US" w:eastAsia="zh-CN"/>
        </w:rPr>
        <w:t>现场使用、运维检修</w:t>
      </w:r>
      <w:r>
        <w:rPr>
          <w:rFonts w:hint="eastAsia" w:ascii="Times New Roman"/>
        </w:rPr>
        <w:t>等</w:t>
      </w:r>
      <w:r>
        <w:rPr>
          <w:rFonts w:hint="eastAsia" w:ascii="Times New Roman"/>
          <w:lang w:val="en-US" w:eastAsia="zh-CN"/>
        </w:rPr>
        <w:t>环节实现全环节安全</w:t>
      </w:r>
      <w:r>
        <w:rPr>
          <w:rFonts w:hint="eastAsia" w:ascii="Times New Roman"/>
        </w:rPr>
        <w:t>。标准发布实施后，将优先在</w:t>
      </w:r>
      <w:r>
        <w:rPr>
          <w:rFonts w:hint="eastAsia" w:ascii="Times New Roman"/>
          <w:lang w:val="en-US" w:eastAsia="zh-CN"/>
        </w:rPr>
        <w:t>电力机器人设计制造</w:t>
      </w:r>
      <w:r>
        <w:rPr>
          <w:rFonts w:hint="eastAsia" w:ascii="Times New Roman"/>
        </w:rPr>
        <w:t>单位中推广应用，涵盖</w:t>
      </w:r>
      <w:r>
        <w:rPr>
          <w:rFonts w:hint="eastAsia" w:ascii="Times New Roman"/>
          <w:lang w:val="en-US" w:eastAsia="zh-CN"/>
        </w:rPr>
        <w:t>电力</w:t>
      </w:r>
      <w:r>
        <w:rPr>
          <w:rFonts w:hint="eastAsia" w:ascii="Times New Roman"/>
        </w:rPr>
        <w:t>行业主管部门、</w:t>
      </w:r>
      <w:r>
        <w:rPr>
          <w:rFonts w:hint="eastAsia" w:ascii="Times New Roman"/>
          <w:lang w:val="en-US" w:eastAsia="zh-CN"/>
        </w:rPr>
        <w:t>电网运行</w:t>
      </w:r>
      <w:r>
        <w:rPr>
          <w:rFonts w:hint="eastAsia" w:ascii="Times New Roman"/>
        </w:rPr>
        <w:t>管理单位</w:t>
      </w:r>
      <w:bookmarkStart w:id="42" w:name="_GoBack"/>
      <w:bookmarkEnd w:id="42"/>
      <w:r>
        <w:rPr>
          <w:rFonts w:hint="eastAsia" w:ascii="Times New Roman"/>
        </w:rPr>
        <w:t>、</w:t>
      </w:r>
      <w:r>
        <w:rPr>
          <w:rFonts w:hint="eastAsia" w:ascii="Times New Roman"/>
          <w:lang w:val="en-US" w:eastAsia="zh-CN"/>
        </w:rPr>
        <w:t>电力</w:t>
      </w:r>
      <w:r>
        <w:rPr>
          <w:rFonts w:hint="eastAsia" w:ascii="Times New Roman"/>
        </w:rPr>
        <w:t>服务企业及相关第三方检测机构。随着技术应用的深入与检测需求的增长，未来本标准可根据实践经验和技术发展进行优化提升，逐步形成行业或国家层级的技术规范。</w:t>
      </w:r>
    </w:p>
    <w:sectPr>
      <w:headerReference r:id="rId8" w:type="default"/>
      <w:footerReference r:id="rId9" w:type="default"/>
      <w:pgSz w:w="11906" w:h="16838"/>
      <w:pgMar w:top="1440" w:right="1797" w:bottom="1418"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E36C">
    <w:pPr>
      <w:pStyle w:val="16"/>
      <w:jc w:val="center"/>
    </w:pPr>
    <w:r>
      <w:rPr>
        <w:kern w:val="2"/>
      </w:rPr>
      <w:fldChar w:fldCharType="begin"/>
    </w:r>
    <w:r>
      <w:rPr>
        <w:rStyle w:val="7"/>
        <w:kern w:val="2"/>
      </w:rPr>
      <w:instrText xml:space="preserve"> PAGE </w:instrText>
    </w:r>
    <w:r>
      <w:rPr>
        <w:kern w:val="2"/>
      </w:rPr>
      <w:fldChar w:fldCharType="separate"/>
    </w:r>
    <w:r>
      <w:rPr>
        <w:rStyle w:val="7"/>
        <w:kern w:val="2"/>
      </w:rPr>
      <w:t>27</w:t>
    </w:r>
    <w:r>
      <w:rPr>
        <w:kern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4B18">
    <w:pPr>
      <w:pStyle w:val="3"/>
      <w:jc w:val="center"/>
    </w:pPr>
    <w:r>
      <w:fldChar w:fldCharType="begin"/>
    </w:r>
    <w:r>
      <w:instrText xml:space="preserve">PAGE   \* MERGEFORMAT</w:instrText>
    </w:r>
    <w:r>
      <w:fldChar w:fldCharType="separate"/>
    </w:r>
    <w:r>
      <w:rPr>
        <w:lang w:val="zh-CN"/>
      </w:rPr>
      <w:t>2</w:t>
    </w:r>
    <w:r>
      <w:fldChar w:fldCharType="end"/>
    </w:r>
  </w:p>
  <w:p w14:paraId="3B63407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DDB2">
    <w:pPr>
      <w:pStyle w:val="3"/>
      <w:jc w:val="center"/>
    </w:pPr>
    <w:r>
      <w:fldChar w:fldCharType="begin"/>
    </w:r>
    <w:r>
      <w:instrText xml:space="preserve">PAGE   \* MERGEFORMAT</w:instrText>
    </w:r>
    <w:r>
      <w:fldChar w:fldCharType="separate"/>
    </w:r>
    <w:r>
      <w:rPr>
        <w:lang w:val="zh-CN"/>
      </w:rPr>
      <w:t>2</w:t>
    </w:r>
    <w:r>
      <w:fldChar w:fldCharType="end"/>
    </w:r>
  </w:p>
  <w:p w14:paraId="77E28A0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328E">
    <w:pPr>
      <w:pStyle w:val="11"/>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6EE40">
    <w:pPr>
      <w:pStyle w:val="11"/>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D5ECF">
    <w:pPr>
      <w:pStyle w:val="11"/>
      <w:wordWrap w:val="0"/>
      <w:spacing w:before="120"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3EE2B">
    <w:pPr>
      <w:pStyle w:val="11"/>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2"/>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1MTgwOTRkMzMyOGQ4YzM2NTczY2YzZjUxMTU0NGEifQ=="/>
  </w:docVars>
  <w:rsids>
    <w:rsidRoot w:val="00D91DDE"/>
    <w:rsid w:val="00012A11"/>
    <w:rsid w:val="00024175"/>
    <w:rsid w:val="000375F0"/>
    <w:rsid w:val="0004081C"/>
    <w:rsid w:val="00046B0D"/>
    <w:rsid w:val="00051663"/>
    <w:rsid w:val="000521F3"/>
    <w:rsid w:val="00072E23"/>
    <w:rsid w:val="000746D7"/>
    <w:rsid w:val="00074DA7"/>
    <w:rsid w:val="000940B8"/>
    <w:rsid w:val="00094C0C"/>
    <w:rsid w:val="00096CF6"/>
    <w:rsid w:val="000B6231"/>
    <w:rsid w:val="00117E29"/>
    <w:rsid w:val="00123F2B"/>
    <w:rsid w:val="00126945"/>
    <w:rsid w:val="0015303C"/>
    <w:rsid w:val="0019122E"/>
    <w:rsid w:val="00195237"/>
    <w:rsid w:val="00195D89"/>
    <w:rsid w:val="001A3AC7"/>
    <w:rsid w:val="001B291A"/>
    <w:rsid w:val="001C119D"/>
    <w:rsid w:val="001D1690"/>
    <w:rsid w:val="00210085"/>
    <w:rsid w:val="00220C07"/>
    <w:rsid w:val="00282502"/>
    <w:rsid w:val="00286D35"/>
    <w:rsid w:val="002922BC"/>
    <w:rsid w:val="0029320A"/>
    <w:rsid w:val="00297A40"/>
    <w:rsid w:val="002A3B2F"/>
    <w:rsid w:val="002E1838"/>
    <w:rsid w:val="002E2D0D"/>
    <w:rsid w:val="002E4CA4"/>
    <w:rsid w:val="003032A4"/>
    <w:rsid w:val="00314FB7"/>
    <w:rsid w:val="00330558"/>
    <w:rsid w:val="0033293C"/>
    <w:rsid w:val="00382C06"/>
    <w:rsid w:val="003A63A7"/>
    <w:rsid w:val="003F211C"/>
    <w:rsid w:val="003F75F8"/>
    <w:rsid w:val="00417D88"/>
    <w:rsid w:val="004268AB"/>
    <w:rsid w:val="004269AE"/>
    <w:rsid w:val="00456069"/>
    <w:rsid w:val="004621E4"/>
    <w:rsid w:val="00466A43"/>
    <w:rsid w:val="00481548"/>
    <w:rsid w:val="004906A2"/>
    <w:rsid w:val="004C5D30"/>
    <w:rsid w:val="004D6B2A"/>
    <w:rsid w:val="004E1257"/>
    <w:rsid w:val="004E2514"/>
    <w:rsid w:val="005131F1"/>
    <w:rsid w:val="00521EBD"/>
    <w:rsid w:val="0052228C"/>
    <w:rsid w:val="00532E9E"/>
    <w:rsid w:val="005430D0"/>
    <w:rsid w:val="00551AE0"/>
    <w:rsid w:val="005570E7"/>
    <w:rsid w:val="00572A99"/>
    <w:rsid w:val="00577FDA"/>
    <w:rsid w:val="00586977"/>
    <w:rsid w:val="005A1CDB"/>
    <w:rsid w:val="005B0FB8"/>
    <w:rsid w:val="005C4A5C"/>
    <w:rsid w:val="005E420E"/>
    <w:rsid w:val="00603568"/>
    <w:rsid w:val="006408F0"/>
    <w:rsid w:val="00663CFF"/>
    <w:rsid w:val="006659CA"/>
    <w:rsid w:val="00682D4B"/>
    <w:rsid w:val="00685EB2"/>
    <w:rsid w:val="006C0935"/>
    <w:rsid w:val="006C45C5"/>
    <w:rsid w:val="00782698"/>
    <w:rsid w:val="007C5574"/>
    <w:rsid w:val="007E3132"/>
    <w:rsid w:val="00817D57"/>
    <w:rsid w:val="008363B9"/>
    <w:rsid w:val="00855076"/>
    <w:rsid w:val="00855942"/>
    <w:rsid w:val="00873929"/>
    <w:rsid w:val="008A5871"/>
    <w:rsid w:val="008C5227"/>
    <w:rsid w:val="00906A80"/>
    <w:rsid w:val="00907F73"/>
    <w:rsid w:val="00917B7D"/>
    <w:rsid w:val="00931B54"/>
    <w:rsid w:val="00970A42"/>
    <w:rsid w:val="00985D2C"/>
    <w:rsid w:val="009A1BC1"/>
    <w:rsid w:val="009C56AA"/>
    <w:rsid w:val="009C5AA1"/>
    <w:rsid w:val="009D215F"/>
    <w:rsid w:val="009F2CE6"/>
    <w:rsid w:val="009F7839"/>
    <w:rsid w:val="00A030E1"/>
    <w:rsid w:val="00A52F5F"/>
    <w:rsid w:val="00A625E8"/>
    <w:rsid w:val="00AB0098"/>
    <w:rsid w:val="00AB487D"/>
    <w:rsid w:val="00AF6F0E"/>
    <w:rsid w:val="00B007ED"/>
    <w:rsid w:val="00B4076A"/>
    <w:rsid w:val="00B43A59"/>
    <w:rsid w:val="00B643DB"/>
    <w:rsid w:val="00B66959"/>
    <w:rsid w:val="00B7120B"/>
    <w:rsid w:val="00B761D1"/>
    <w:rsid w:val="00B83C4E"/>
    <w:rsid w:val="00BC59E8"/>
    <w:rsid w:val="00BC7E44"/>
    <w:rsid w:val="00BD1106"/>
    <w:rsid w:val="00BF6AB7"/>
    <w:rsid w:val="00C07D7C"/>
    <w:rsid w:val="00C33087"/>
    <w:rsid w:val="00C36BC6"/>
    <w:rsid w:val="00C57210"/>
    <w:rsid w:val="00CD3B88"/>
    <w:rsid w:val="00CE6B20"/>
    <w:rsid w:val="00CF4455"/>
    <w:rsid w:val="00D20138"/>
    <w:rsid w:val="00D31351"/>
    <w:rsid w:val="00D50AC9"/>
    <w:rsid w:val="00D631B6"/>
    <w:rsid w:val="00D91DDE"/>
    <w:rsid w:val="00DA132B"/>
    <w:rsid w:val="00DA6F80"/>
    <w:rsid w:val="00DB5100"/>
    <w:rsid w:val="00DB5F0F"/>
    <w:rsid w:val="00E10D43"/>
    <w:rsid w:val="00E23CCB"/>
    <w:rsid w:val="00E64858"/>
    <w:rsid w:val="00ED5B81"/>
    <w:rsid w:val="00ED7CCB"/>
    <w:rsid w:val="00EE6023"/>
    <w:rsid w:val="00EF4A06"/>
    <w:rsid w:val="00EF6075"/>
    <w:rsid w:val="00F26DEF"/>
    <w:rsid w:val="00F524BB"/>
    <w:rsid w:val="00F531DB"/>
    <w:rsid w:val="00F642D9"/>
    <w:rsid w:val="00F66E22"/>
    <w:rsid w:val="00F81DB7"/>
    <w:rsid w:val="00FA6A74"/>
    <w:rsid w:val="00FC5D9F"/>
    <w:rsid w:val="00FD1CD2"/>
    <w:rsid w:val="00FD735C"/>
    <w:rsid w:val="00FE0037"/>
    <w:rsid w:val="00FE59E7"/>
    <w:rsid w:val="0BE85F46"/>
    <w:rsid w:val="0D517323"/>
    <w:rsid w:val="0F8269A8"/>
    <w:rsid w:val="13A23BB3"/>
    <w:rsid w:val="18711F9C"/>
    <w:rsid w:val="1D484219"/>
    <w:rsid w:val="21995CCA"/>
    <w:rsid w:val="24B6415E"/>
    <w:rsid w:val="32112B0F"/>
    <w:rsid w:val="339A10EE"/>
    <w:rsid w:val="34DB4199"/>
    <w:rsid w:val="3DA35B24"/>
    <w:rsid w:val="3DA839DE"/>
    <w:rsid w:val="3EA37E97"/>
    <w:rsid w:val="40307995"/>
    <w:rsid w:val="484C0781"/>
    <w:rsid w:val="4ED40DA5"/>
    <w:rsid w:val="54DF5066"/>
    <w:rsid w:val="55821CB6"/>
    <w:rsid w:val="55E471DA"/>
    <w:rsid w:val="5B406FAD"/>
    <w:rsid w:val="5B9D6810"/>
    <w:rsid w:val="5D38422B"/>
    <w:rsid w:val="629D14B2"/>
    <w:rsid w:val="645D4FED"/>
    <w:rsid w:val="671E6D8D"/>
    <w:rsid w:val="683C3355"/>
    <w:rsid w:val="68457741"/>
    <w:rsid w:val="711D01E0"/>
    <w:rsid w:val="75894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
    <w:name w:val="toc 1"/>
    <w:basedOn w:val="1"/>
    <w:next w:val="1"/>
    <w:qFormat/>
    <w:uiPriority w:val="39"/>
    <w:pPr>
      <w:tabs>
        <w:tab w:val="right" w:leader="dot" w:pos="9241"/>
      </w:tabs>
      <w:spacing w:before="25" w:beforeLines="25" w:after="25" w:afterLines="25"/>
      <w:jc w:val="left"/>
    </w:pPr>
    <w:rPr>
      <w:rFonts w:ascii="宋体" w:hAnsi="Times New Roman" w:eastAsia="宋体" w:cs="Times New Roman"/>
      <w:szCs w:val="21"/>
    </w:rPr>
  </w:style>
  <w:style w:type="character" w:styleId="7">
    <w:name w:val="page number"/>
    <w:qFormat/>
    <w:uiPriority w:val="0"/>
    <w:rPr>
      <w:rFonts w:ascii="Times New Roman" w:hAnsi="Times New Roman" w:eastAsia="宋体"/>
      <w:sz w:val="18"/>
    </w:rPr>
  </w:style>
  <w:style w:type="character" w:styleId="8">
    <w:name w:val="Hyperlink"/>
    <w:unhideWhenUsed/>
    <w:qFormat/>
    <w:uiPriority w:val="99"/>
    <w:rPr>
      <w:color w:val="0000FF"/>
      <w:u w:val="single"/>
    </w:rPr>
  </w:style>
  <w:style w:type="character" w:customStyle="1" w:styleId="9">
    <w:name w:val="页脚 字符"/>
    <w:basedOn w:val="6"/>
    <w:link w:val="3"/>
    <w:qFormat/>
    <w:uiPriority w:val="99"/>
    <w:rPr>
      <w:rFonts w:ascii="Calibri" w:hAnsi="Calibri" w:eastAsia="宋体" w:cs="Times New Roman"/>
      <w:kern w:val="0"/>
      <w:sz w:val="18"/>
      <w:szCs w:val="18"/>
    </w:rPr>
  </w:style>
  <w:style w:type="paragraph" w:customStyle="1" w:styleId="10">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
    <w:name w:val="章标题"/>
    <w:next w:val="1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3">
    <w:name w:val="样式 标题 1 + 非加粗"/>
    <w:basedOn w:val="2"/>
    <w:qFormat/>
    <w:uiPriority w:val="0"/>
    <w:pPr>
      <w:spacing w:before="100" w:beforeLines="100" w:after="100" w:afterLines="100" w:line="240" w:lineRule="auto"/>
    </w:pPr>
    <w:rPr>
      <w:rFonts w:ascii="Times New Roman" w:hAnsi="Times New Roman" w:eastAsia="黑体" w:cs="Times New Roman"/>
      <w:b w:val="0"/>
      <w:bCs w:val="0"/>
      <w:sz w:val="21"/>
    </w:rPr>
  </w:style>
  <w:style w:type="paragraph" w:customStyle="1" w:styleId="14">
    <w:name w:val="目次、标准名称标题"/>
    <w:basedOn w:val="1"/>
    <w:next w:val="10"/>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17">
    <w:name w:val="段 Char"/>
    <w:link w:val="10"/>
    <w:qFormat/>
    <w:locked/>
    <w:uiPriority w:val="0"/>
    <w:rPr>
      <w:rFonts w:ascii="宋体" w:hAnsi="Times New Roman" w:eastAsia="宋体" w:cs="Times New Roman"/>
      <w:kern w:val="0"/>
      <w:szCs w:val="20"/>
    </w:rPr>
  </w:style>
  <w:style w:type="character" w:customStyle="1" w:styleId="18">
    <w:name w:val="标题 1 字符"/>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2807</Words>
  <Characters>2943</Characters>
  <Lines>24</Lines>
  <Paragraphs>7</Paragraphs>
  <TotalTime>2689</TotalTime>
  <ScaleCrop>false</ScaleCrop>
  <LinksUpToDate>false</LinksUpToDate>
  <CharactersWithSpaces>2970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2023-05-16T06:51:00Z</dcterms:created>
  <dc:creator>张 世旭</dc:creator>
  <cp:lastModifiedBy>逸想天开</cp:lastModifiedBy>
  <dcterms:modified xsi:type="dcterms:W3CDTF">2025-10-17T02:09:55Z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8DC74BC4C3134905A868CA2AFF5197DF</vt:lpwstr>
  </property>
  <property fmtid="{D5CDD505-2E9C-101B-9397-08002B2CF9AE}" pid="4" name="KSOTemplateDocerSaveRecord">
    <vt:lpwstr>eyJoZGlkIjoiN2FlNjg1M2VjYzVhZGM4YmIxMmI5NWRhMmI1NWJiZjgiLCJ1c2VySWQiOiI0NDkxODk0MTQifQ==</vt:lpwstr>
  </property>
</Properties>
</file>