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ind w:firstLine="0" w:firstLineChars="0"/>
        <w:jc w:val="center"/>
        <w:rPr>
          <w:rFonts w:hint="eastAsia" w:ascii="黑体" w:eastAsia="黑体"/>
          <w:sz w:val="44"/>
          <w:szCs w:val="44"/>
        </w:rPr>
      </w:pPr>
      <w:r>
        <w:rPr>
          <w:rFonts w:hint="eastAsia" w:ascii="黑体" w:eastAsia="黑体"/>
          <w:sz w:val="44"/>
          <w:szCs w:val="44"/>
        </w:rPr>
        <w:t>电力系统稳定计算用构网型电化学储能电站模型验证及参数辨识规范</w:t>
      </w:r>
    </w:p>
    <w:p>
      <w:pPr>
        <w:pStyle w:val="7"/>
        <w:rPr>
          <w:rFonts w:hint="eastAsia"/>
        </w:rPr>
      </w:pPr>
    </w:p>
    <w:p>
      <w:pPr>
        <w:pStyle w:val="7"/>
        <w:rPr>
          <w:rFonts w:hint="eastAsia"/>
        </w:rPr>
      </w:pPr>
    </w:p>
    <w:p>
      <w:pPr>
        <w:pStyle w:val="8"/>
        <w:numPr>
          <w:ilvl w:val="0"/>
          <w:numId w:val="0"/>
        </w:numPr>
        <w:jc w:val="center"/>
        <w:rPr>
          <w:rFonts w:hint="eastAsia" w:hAnsi="Times New Roman" w:cs="Times New Roman"/>
          <w:sz w:val="28"/>
          <w:szCs w:val="28"/>
        </w:rPr>
      </w:pPr>
      <w:bookmarkStart w:id="0" w:name="_Toc298937333"/>
      <w:bookmarkStart w:id="1" w:name="_Toc298937368"/>
      <w:bookmarkStart w:id="2" w:name="_Toc298937560"/>
      <w:bookmarkStart w:id="3" w:name="_Toc320020914"/>
      <w:bookmarkStart w:id="4" w:name="_Toc309996019"/>
      <w:bookmarkStart w:id="5" w:name="_Toc318613715"/>
      <w:bookmarkStart w:id="6" w:name="_Toc304825020"/>
      <w:bookmarkStart w:id="7" w:name="_Toc304824981"/>
      <w:bookmarkStart w:id="8" w:name="_Toc298938794"/>
      <w:bookmarkStart w:id="9" w:name="_Toc310002657"/>
      <w:bookmarkStart w:id="10" w:name="_Toc309994571"/>
      <w:bookmarkStart w:id="11" w:name="_Toc298937620"/>
      <w:bookmarkStart w:id="12" w:name="_Toc309995598"/>
      <w:bookmarkStart w:id="13" w:name="_Toc298937430"/>
      <w:bookmarkStart w:id="14" w:name="_Toc309995492"/>
      <w:bookmarkStart w:id="15" w:name="_Toc309993200"/>
      <w:bookmarkStart w:id="16" w:name="_Toc304825093"/>
      <w:bookmarkStart w:id="17" w:name="_Toc309997060"/>
      <w:bookmarkStart w:id="18" w:name="_Toc309995410"/>
      <w:bookmarkStart w:id="19" w:name="_Toc304402675"/>
      <w:bookmarkStart w:id="20" w:name="_Toc304828086"/>
      <w:bookmarkStart w:id="21" w:name="_Toc298937473"/>
      <w:bookmarkStart w:id="22" w:name="_Toc298938646"/>
      <w:r>
        <w:rPr>
          <w:rFonts w:hint="eastAsia" w:hAnsi="Times New Roman" w:cs="Times New Roman"/>
          <w:sz w:val="28"/>
          <w:szCs w:val="28"/>
        </w:rPr>
        <w:t>编 制 说</w:t>
      </w:r>
      <w:bookmarkEnd w:id="0"/>
      <w:bookmarkEnd w:id="1"/>
      <w:r>
        <w:rPr>
          <w:rFonts w:hint="eastAsia" w:hAnsi="Times New Roman" w:cs="Times New Roman"/>
          <w:sz w:val="28"/>
          <w:szCs w:val="28"/>
        </w:rPr>
        <w:t> 明</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pPr>
        <w:pStyle w:val="9"/>
        <w:rPr>
          <w:rFonts w:hint="eastAsia"/>
        </w:rPr>
        <w:sectPr>
          <w:pgSz w:w="11906" w:h="16838"/>
          <w:pgMar w:top="567" w:right="1134" w:bottom="1134" w:left="1417" w:header="1418" w:footer="1134" w:gutter="0"/>
          <w:pgNumType w:start="1"/>
          <w:cols w:space="720" w:num="1"/>
          <w:formProt w:val="0"/>
          <w:docGrid w:type="lines" w:linePitch="312" w:charSpace="0"/>
        </w:sectPr>
      </w:pPr>
      <w:bookmarkStart w:id="23" w:name="_Toc309992160"/>
      <w:bookmarkStart w:id="24" w:name="_Toc513731021"/>
      <w:bookmarkStart w:id="25" w:name="_Toc513731109"/>
    </w:p>
    <w:p>
      <w:pPr>
        <w:pStyle w:val="9"/>
        <w:rPr>
          <w:rFonts w:hint="eastAsia"/>
        </w:rPr>
      </w:pPr>
      <w:r>
        <w:rPr>
          <w:rFonts w:hint="eastAsia"/>
        </w:rPr>
        <w:t>目次</w:t>
      </w:r>
      <w:bookmarkEnd w:id="23"/>
      <w:bookmarkEnd w:id="24"/>
      <w:bookmarkEnd w:id="25"/>
    </w:p>
    <w:p>
      <w:pPr>
        <w:pStyle w:val="3"/>
        <w:spacing w:before="78" w:after="78"/>
        <w:rPr>
          <w:rFonts w:ascii="Calibri" w:hAnsi="Calibri"/>
          <w:szCs w:val="22"/>
        </w:rPr>
      </w:pPr>
      <w:r>
        <w:rPr>
          <w:rFonts w:hAnsi="宋体"/>
        </w:rPr>
        <w:fldChar w:fldCharType="begin"/>
      </w:r>
      <w:r>
        <w:rPr>
          <w:rFonts w:hAnsi="宋体"/>
        </w:rPr>
        <w:instrText xml:space="preserve"> </w:instrText>
      </w:r>
      <w:r>
        <w:rPr>
          <w:rFonts w:hint="eastAsia" w:hAnsi="宋体"/>
        </w:rPr>
        <w:instrText xml:space="preserve">TOC \o "1-1" \h \z \u</w:instrText>
      </w:r>
      <w:r>
        <w:rPr>
          <w:rFonts w:hAnsi="宋体"/>
        </w:rPr>
        <w:instrText xml:space="preserve"> </w:instrText>
      </w:r>
      <w:r>
        <w:rPr>
          <w:rFonts w:hAnsi="宋体"/>
        </w:rPr>
        <w:fldChar w:fldCharType="separate"/>
      </w:r>
    </w:p>
    <w:p>
      <w:pPr>
        <w:pStyle w:val="3"/>
        <w:spacing w:before="78" w:after="78"/>
        <w:rPr>
          <w:rFonts w:ascii="Calibri" w:hAnsi="Calibri"/>
          <w:szCs w:val="22"/>
        </w:rPr>
      </w:pPr>
      <w:r>
        <w:fldChar w:fldCharType="begin"/>
      </w:r>
      <w:r>
        <w:rPr>
          <w:rStyle w:val="5"/>
          <w:color w:val="auto"/>
        </w:rPr>
        <w:instrText xml:space="preserve"> </w:instrText>
      </w:r>
      <w:r>
        <w:instrText xml:space="preserve">HYPERLINK \l "_Toc513731110"</w:instrText>
      </w:r>
      <w:r>
        <w:rPr>
          <w:rStyle w:val="5"/>
          <w:color w:val="auto"/>
        </w:rPr>
        <w:instrText xml:space="preserve"> </w:instrText>
      </w:r>
      <w:r>
        <w:fldChar w:fldCharType="separate"/>
      </w:r>
      <w:r>
        <w:rPr>
          <w:rStyle w:val="5"/>
          <w:rFonts w:hAnsi="宋体"/>
          <w:color w:val="auto"/>
        </w:rPr>
        <w:t xml:space="preserve">1 </w:t>
      </w:r>
      <w:r>
        <w:rPr>
          <w:rStyle w:val="5"/>
          <w:rFonts w:hint="eastAsia" w:hAnsi="宋体"/>
          <w:color w:val="auto"/>
        </w:rPr>
        <w:t>编制背景</w:t>
      </w:r>
      <w:r>
        <w:tab/>
      </w:r>
      <w:r>
        <w:fldChar w:fldCharType="begin"/>
      </w:r>
      <w:r>
        <w:instrText xml:space="preserve"> PAGEREF _Toc513731110 \h </w:instrText>
      </w:r>
      <w:r>
        <w:fldChar w:fldCharType="separate"/>
      </w:r>
      <w:r>
        <w:t>3</w:t>
      </w:r>
      <w:r>
        <w:fldChar w:fldCharType="end"/>
      </w:r>
      <w:r>
        <w:fldChar w:fldCharType="end"/>
      </w:r>
    </w:p>
    <w:p>
      <w:pPr>
        <w:pStyle w:val="3"/>
        <w:spacing w:before="78" w:after="78"/>
        <w:rPr>
          <w:rFonts w:ascii="Calibri" w:hAnsi="Calibri"/>
          <w:szCs w:val="22"/>
        </w:rPr>
      </w:pPr>
      <w:r>
        <w:fldChar w:fldCharType="begin"/>
      </w:r>
      <w:r>
        <w:rPr>
          <w:rStyle w:val="5"/>
          <w:color w:val="auto"/>
        </w:rPr>
        <w:instrText xml:space="preserve"> </w:instrText>
      </w:r>
      <w:r>
        <w:instrText xml:space="preserve">HYPERLINK \l "_Toc513731111"</w:instrText>
      </w:r>
      <w:r>
        <w:rPr>
          <w:rStyle w:val="5"/>
          <w:color w:val="auto"/>
        </w:rPr>
        <w:instrText xml:space="preserve"> </w:instrText>
      </w:r>
      <w:r>
        <w:fldChar w:fldCharType="separate"/>
      </w:r>
      <w:r>
        <w:rPr>
          <w:rStyle w:val="5"/>
          <w:rFonts w:hAnsi="宋体"/>
          <w:color w:val="auto"/>
        </w:rPr>
        <w:t xml:space="preserve">2 </w:t>
      </w:r>
      <w:r>
        <w:rPr>
          <w:rStyle w:val="5"/>
          <w:rFonts w:hint="eastAsia" w:hAnsi="宋体"/>
          <w:color w:val="auto"/>
        </w:rPr>
        <w:t>编制主要原则</w:t>
      </w:r>
      <w:r>
        <w:tab/>
      </w:r>
      <w:r>
        <w:fldChar w:fldCharType="begin"/>
      </w:r>
      <w:r>
        <w:instrText xml:space="preserve"> PAGEREF _Toc513731111 \h </w:instrText>
      </w:r>
      <w:r>
        <w:fldChar w:fldCharType="separate"/>
      </w:r>
      <w:r>
        <w:t>3</w:t>
      </w:r>
      <w:r>
        <w:fldChar w:fldCharType="end"/>
      </w:r>
      <w:r>
        <w:fldChar w:fldCharType="end"/>
      </w:r>
    </w:p>
    <w:p>
      <w:pPr>
        <w:pStyle w:val="3"/>
        <w:spacing w:before="78" w:after="78"/>
        <w:rPr>
          <w:rFonts w:ascii="Calibri" w:hAnsi="Calibri"/>
          <w:szCs w:val="22"/>
        </w:rPr>
      </w:pPr>
      <w:r>
        <w:fldChar w:fldCharType="begin"/>
      </w:r>
      <w:r>
        <w:rPr>
          <w:rStyle w:val="5"/>
          <w:color w:val="auto"/>
        </w:rPr>
        <w:instrText xml:space="preserve"> </w:instrText>
      </w:r>
      <w:r>
        <w:instrText xml:space="preserve">HYPERLINK \l "_Toc513731112"</w:instrText>
      </w:r>
      <w:r>
        <w:rPr>
          <w:rStyle w:val="5"/>
          <w:color w:val="auto"/>
        </w:rPr>
        <w:instrText xml:space="preserve"> </w:instrText>
      </w:r>
      <w:r>
        <w:fldChar w:fldCharType="separate"/>
      </w:r>
      <w:r>
        <w:rPr>
          <w:rStyle w:val="5"/>
          <w:rFonts w:hAnsi="宋体"/>
          <w:color w:val="auto"/>
          <w:lang w:eastAsia="zh-CN"/>
        </w:rPr>
        <w:t>3</w:t>
      </w:r>
      <w:r>
        <w:rPr>
          <w:rStyle w:val="5"/>
          <w:rFonts w:hAnsi="宋体"/>
          <w:color w:val="auto"/>
        </w:rPr>
        <w:t xml:space="preserve"> </w:t>
      </w:r>
      <w:r>
        <w:rPr>
          <w:rStyle w:val="5"/>
          <w:rFonts w:hint="eastAsia" w:hAnsi="宋体"/>
          <w:color w:val="auto"/>
        </w:rPr>
        <w:t>主要工作过程</w:t>
      </w:r>
      <w:r>
        <w:tab/>
      </w:r>
      <w:r>
        <w:fldChar w:fldCharType="begin"/>
      </w:r>
      <w:r>
        <w:instrText xml:space="preserve"> PAGEREF _Toc513731112 \h </w:instrText>
      </w:r>
      <w:r>
        <w:fldChar w:fldCharType="separate"/>
      </w:r>
      <w:r>
        <w:t>3</w:t>
      </w:r>
      <w:r>
        <w:fldChar w:fldCharType="end"/>
      </w:r>
      <w:r>
        <w:fldChar w:fldCharType="end"/>
      </w:r>
    </w:p>
    <w:p>
      <w:pPr>
        <w:pStyle w:val="3"/>
        <w:spacing w:before="78" w:after="78"/>
        <w:rPr>
          <w:rFonts w:ascii="Calibri" w:hAnsi="Calibri"/>
          <w:szCs w:val="22"/>
        </w:rPr>
      </w:pPr>
      <w:r>
        <w:fldChar w:fldCharType="begin"/>
      </w:r>
      <w:r>
        <w:rPr>
          <w:rStyle w:val="5"/>
          <w:color w:val="auto"/>
        </w:rPr>
        <w:instrText xml:space="preserve"> </w:instrText>
      </w:r>
      <w:r>
        <w:instrText xml:space="preserve">HYPERLINK \l "_Toc513731113"</w:instrText>
      </w:r>
      <w:r>
        <w:rPr>
          <w:rStyle w:val="5"/>
          <w:color w:val="auto"/>
        </w:rPr>
        <w:instrText xml:space="preserve"> </w:instrText>
      </w:r>
      <w:r>
        <w:fldChar w:fldCharType="separate"/>
      </w:r>
      <w:r>
        <w:rPr>
          <w:rStyle w:val="5"/>
          <w:rFonts w:hAnsi="宋体"/>
          <w:color w:val="auto"/>
          <w:lang w:eastAsia="zh-CN"/>
        </w:rPr>
        <w:t>4</w:t>
      </w:r>
      <w:r>
        <w:rPr>
          <w:rStyle w:val="5"/>
          <w:color w:val="auto"/>
        </w:rPr>
        <w:t xml:space="preserve"> </w:t>
      </w:r>
      <w:r>
        <w:rPr>
          <w:rStyle w:val="5"/>
          <w:rFonts w:hint="eastAsia"/>
          <w:color w:val="auto"/>
        </w:rPr>
        <w:t>标准结构和内容</w:t>
      </w:r>
      <w:r>
        <w:rPr>
          <w:rStyle w:val="5"/>
          <w:rFonts w:hint="eastAsia"/>
          <w:color w:val="auto"/>
          <w:lang w:eastAsia="zh-CN"/>
        </w:rPr>
        <w:t>说明</w:t>
      </w:r>
      <w:r>
        <w:tab/>
      </w:r>
      <w:r>
        <w:rPr>
          <w:rFonts w:hint="eastAsia"/>
        </w:rPr>
        <w:t>2</w:t>
      </w:r>
      <w:r>
        <w:fldChar w:fldCharType="end"/>
      </w:r>
    </w:p>
    <w:p>
      <w:pPr>
        <w:pStyle w:val="3"/>
        <w:spacing w:before="78" w:after="78"/>
        <w:rPr>
          <w:rFonts w:ascii="Calibri" w:hAnsi="Calibri"/>
          <w:szCs w:val="22"/>
        </w:rPr>
      </w:pPr>
      <w:r>
        <w:fldChar w:fldCharType="begin"/>
      </w:r>
      <w:r>
        <w:rPr>
          <w:rStyle w:val="5"/>
          <w:color w:val="auto"/>
        </w:rPr>
        <w:instrText xml:space="preserve"> </w:instrText>
      </w:r>
      <w:r>
        <w:instrText xml:space="preserve">HYPERLINK \l "_Toc513731114"</w:instrText>
      </w:r>
      <w:r>
        <w:rPr>
          <w:rStyle w:val="5"/>
          <w:color w:val="auto"/>
        </w:rPr>
        <w:instrText xml:space="preserve"> </w:instrText>
      </w:r>
      <w:r>
        <w:fldChar w:fldCharType="separate"/>
      </w:r>
      <w:r>
        <w:rPr>
          <w:rStyle w:val="5"/>
          <w:rFonts w:hAnsi="宋体"/>
          <w:color w:val="auto"/>
          <w:lang w:eastAsia="zh-CN"/>
        </w:rPr>
        <w:t>5</w:t>
      </w:r>
      <w:r>
        <w:rPr>
          <w:rStyle w:val="5"/>
          <w:rFonts w:hint="eastAsia"/>
          <w:color w:val="auto"/>
          <w:lang w:eastAsia="zh-CN"/>
        </w:rPr>
        <w:t>标准水平</w:t>
      </w:r>
      <w:r>
        <w:rPr>
          <w:rStyle w:val="5"/>
          <w:rFonts w:hint="eastAsia"/>
          <w:color w:val="auto"/>
        </w:rPr>
        <w:t>说明</w:t>
      </w:r>
      <w:r>
        <w:tab/>
      </w:r>
      <w:r>
        <w:fldChar w:fldCharType="begin"/>
      </w:r>
      <w:r>
        <w:instrText xml:space="preserve"> PAGEREF _Toc513731114 \h </w:instrText>
      </w:r>
      <w:r>
        <w:fldChar w:fldCharType="separate"/>
      </w:r>
      <w:r>
        <w:t>4</w:t>
      </w:r>
      <w:r>
        <w:fldChar w:fldCharType="end"/>
      </w:r>
      <w:r>
        <w:fldChar w:fldCharType="end"/>
      </w:r>
    </w:p>
    <w:p>
      <w:pPr>
        <w:pStyle w:val="3"/>
        <w:spacing w:before="78" w:after="78"/>
        <w:rPr>
          <w:rFonts w:ascii="Calibri" w:hAnsi="Calibri"/>
          <w:szCs w:val="22"/>
        </w:rPr>
      </w:pPr>
      <w:r>
        <w:fldChar w:fldCharType="begin"/>
      </w:r>
      <w:r>
        <w:rPr>
          <w:rStyle w:val="5"/>
          <w:color w:val="auto"/>
        </w:rPr>
        <w:instrText xml:space="preserve"> </w:instrText>
      </w:r>
      <w:r>
        <w:instrText xml:space="preserve">HYPERLINK \l "_Toc513731115"</w:instrText>
      </w:r>
      <w:r>
        <w:rPr>
          <w:rStyle w:val="5"/>
          <w:color w:val="auto"/>
        </w:rPr>
        <w:instrText xml:space="preserve"> </w:instrText>
      </w:r>
      <w:r>
        <w:fldChar w:fldCharType="separate"/>
      </w:r>
      <w:r>
        <w:rPr>
          <w:rStyle w:val="5"/>
          <w:rFonts w:hAnsi="宋体"/>
          <w:color w:val="auto"/>
          <w:lang w:eastAsia="zh-CN"/>
        </w:rPr>
        <w:t>6</w:t>
      </w:r>
      <w:r>
        <w:rPr>
          <w:rStyle w:val="5"/>
          <w:rFonts w:hint="eastAsia" w:hAnsi="宋体"/>
          <w:color w:val="auto"/>
        </w:rPr>
        <w:t>标准实施措施说明</w:t>
      </w:r>
      <w:r>
        <w:tab/>
      </w:r>
      <w:r>
        <w:fldChar w:fldCharType="begin"/>
      </w:r>
      <w:r>
        <w:instrText xml:space="preserve"> PAGEREF _Toc513731115 \h </w:instrText>
      </w:r>
      <w:r>
        <w:fldChar w:fldCharType="separate"/>
      </w:r>
      <w:r>
        <w:t>4</w:t>
      </w:r>
      <w:r>
        <w:fldChar w:fldCharType="end"/>
      </w:r>
      <w:r>
        <w:fldChar w:fldCharType="end"/>
      </w:r>
    </w:p>
    <w:p>
      <w:pPr>
        <w:pStyle w:val="8"/>
        <w:numPr>
          <w:ilvl w:val="0"/>
          <w:numId w:val="0"/>
        </w:numPr>
        <w:jc w:val="center"/>
        <w:rPr>
          <w:rFonts w:hAnsi="宋体"/>
          <w:szCs w:val="21"/>
        </w:rPr>
      </w:pPr>
      <w:r>
        <w:rPr>
          <w:rFonts w:hAnsi="宋体"/>
          <w:szCs w:val="21"/>
        </w:rPr>
        <w:fldChar w:fldCharType="end"/>
      </w:r>
    </w:p>
    <w:p>
      <w:pPr>
        <w:pStyle w:val="10"/>
        <w:spacing w:before="312" w:after="312"/>
        <w:rPr>
          <w:rFonts w:hint="default" w:ascii="Times New Roman" w:hAnsi="Times New Roman"/>
          <w:szCs w:val="21"/>
        </w:rPr>
      </w:pPr>
      <w:r>
        <w:rPr>
          <w:rFonts w:hAnsi="宋体"/>
          <w:szCs w:val="21"/>
        </w:rPr>
        <w:br w:type="page"/>
      </w:r>
      <w:bookmarkStart w:id="26" w:name="_Toc513731110"/>
      <w:r>
        <w:rPr>
          <w:rFonts w:hint="default" w:ascii="Times New Roman" w:hAnsi="Times New Roman"/>
          <w:szCs w:val="21"/>
        </w:rPr>
        <w:t xml:space="preserve">1 </w:t>
      </w:r>
      <w:r>
        <w:rPr>
          <w:rFonts w:hint="default" w:ascii="Times New Roman" w:hAnsi="宋体"/>
          <w:szCs w:val="21"/>
        </w:rPr>
        <w:t>编制背景</w:t>
      </w:r>
      <w:bookmarkEnd w:id="26"/>
    </w:p>
    <w:p>
      <w:pPr>
        <w:pStyle w:val="7"/>
        <w:rPr>
          <w:rFonts w:ascii="Times New Roman"/>
        </w:rPr>
      </w:pPr>
      <w:r>
        <w:rPr>
          <w:rFonts w:hint="default" w:ascii="Times New Roman"/>
        </w:rPr>
        <w:t>本标准是根据中国电机工程学会电机咨〔2023〕512号</w:t>
      </w:r>
      <w:r>
        <w:rPr>
          <w:rFonts w:hint="eastAsia" w:ascii="Times New Roman"/>
          <w:lang w:val="en-US" w:eastAsia="zh-CN"/>
        </w:rPr>
        <w:t>文</w:t>
      </w:r>
      <w:r>
        <w:rPr>
          <w:rFonts w:hint="default" w:ascii="Times New Roman"/>
        </w:rPr>
        <w:t>，中国电机工程学会关于印发</w:t>
      </w:r>
      <w:r>
        <w:rPr>
          <w:rFonts w:hint="eastAsia" w:ascii="Times New Roman"/>
          <w:lang w:eastAsia="zh-CN"/>
        </w:rPr>
        <w:t>“</w:t>
      </w:r>
      <w:r>
        <w:rPr>
          <w:rFonts w:hint="default" w:ascii="Times New Roman"/>
        </w:rPr>
        <w:t>中国电机工程学会2023年标准计划（第二批）</w:t>
      </w:r>
      <w:r>
        <w:rPr>
          <w:rFonts w:hint="eastAsia" w:ascii="Times New Roman"/>
          <w:lang w:eastAsia="zh-CN"/>
        </w:rPr>
        <w:t>”</w:t>
      </w:r>
      <w:r>
        <w:rPr>
          <w:rFonts w:hint="default" w:ascii="Times New Roman"/>
        </w:rPr>
        <w:t>的通知，项目序号</w:t>
      </w:r>
      <w:r>
        <w:rPr>
          <w:rFonts w:hint="eastAsia" w:ascii="Times New Roman"/>
          <w:lang w:val="en-US" w:eastAsia="zh-CN"/>
        </w:rPr>
        <w:t>31</w:t>
      </w:r>
      <w:r>
        <w:rPr>
          <w:rFonts w:hint="default" w:ascii="Times New Roman"/>
        </w:rPr>
        <w:t>（编号</w:t>
      </w:r>
      <w:r>
        <w:rPr>
          <w:rFonts w:hint="eastAsia" w:ascii="Times New Roman"/>
          <w:lang w:val="en-US" w:eastAsia="zh-CN"/>
        </w:rPr>
        <w:t>202311150004</w:t>
      </w:r>
      <w:r>
        <w:rPr>
          <w:rFonts w:hint="default" w:ascii="Times New Roman"/>
        </w:rPr>
        <w:t>）</w:t>
      </w:r>
      <w:r>
        <w:rPr>
          <w:rFonts w:hint="default" w:ascii="Times New Roman" w:hAnsi="Times New Roman" w:eastAsia="宋体" w:cs="Times New Roman"/>
        </w:rPr>
        <w:t>制订</w:t>
      </w:r>
      <w:r>
        <w:rPr>
          <w:rFonts w:hint="eastAsia" w:ascii="Times New Roman" w:cs="Times New Roman"/>
          <w:lang w:eastAsia="zh-CN"/>
        </w:rPr>
        <w:t>“电力系统稳定计算用构网型电化学储能电站模型验证及参数辨识规范”</w:t>
      </w:r>
      <w:r>
        <w:rPr>
          <w:rFonts w:hint="default" w:ascii="Times New Roman" w:hAnsi="Times New Roman" w:eastAsia="宋体" w:cs="Times New Roman"/>
        </w:rPr>
        <w:t>。由</w:t>
      </w:r>
      <w:r>
        <w:rPr>
          <w:rFonts w:hint="eastAsia" w:ascii="Times New Roman"/>
          <w:lang w:val="en-US" w:eastAsia="zh-CN"/>
        </w:rPr>
        <w:t>中国</w:t>
      </w:r>
      <w:r>
        <w:rPr>
          <w:rFonts w:hint="default" w:ascii="Times New Roman"/>
        </w:rPr>
        <w:t>电力科学研究院</w:t>
      </w:r>
      <w:r>
        <w:rPr>
          <w:rFonts w:hint="eastAsia" w:ascii="Times New Roman"/>
          <w:lang w:val="en-US" w:eastAsia="zh-CN"/>
        </w:rPr>
        <w:t>有限公司</w:t>
      </w:r>
      <w:r>
        <w:rPr>
          <w:rFonts w:ascii="Times New Roman"/>
        </w:rPr>
        <w:t>负责起草。</w:t>
      </w:r>
    </w:p>
    <w:p>
      <w:pPr>
        <w:pStyle w:val="7"/>
        <w:rPr>
          <w:rFonts w:hint="eastAsia" w:ascii="Times New Roman"/>
        </w:rPr>
      </w:pPr>
      <w:r>
        <w:rPr>
          <w:rFonts w:hint="eastAsia" w:ascii="Times New Roman"/>
        </w:rPr>
        <w:t>构网型控制通过内电势不直接跟随电网状态，同时增强电力电子器件的过流能力，达到模拟在电网受到扰动时的发电机维持端电压稳定的能力。大量仿真和实验室试验结果表明构网型控制策略提升了</w:t>
      </w:r>
      <w:r>
        <w:rPr>
          <w:rFonts w:hint="eastAsia" w:ascii="Times New Roman"/>
          <w:lang w:eastAsia="zh-CN"/>
        </w:rPr>
        <w:t>“</w:t>
      </w:r>
      <w:r>
        <w:rPr>
          <w:rFonts w:hint="eastAsia" w:ascii="Times New Roman"/>
        </w:rPr>
        <w:t>双高</w:t>
      </w:r>
      <w:r>
        <w:rPr>
          <w:rFonts w:hint="eastAsia" w:ascii="Times New Roman"/>
          <w:lang w:eastAsia="zh-CN"/>
        </w:rPr>
        <w:t>”</w:t>
      </w:r>
      <w:r>
        <w:rPr>
          <w:rFonts w:hint="eastAsia" w:ascii="Times New Roman"/>
        </w:rPr>
        <w:t>场景下的电力系统的频率和电压的稳定性，加强了低短路比下的新能源场站的同步稳定和宽频振荡抑制能力。</w:t>
      </w:r>
    </w:p>
    <w:p>
      <w:pPr>
        <w:pStyle w:val="7"/>
        <w:rPr>
          <w:rFonts w:hint="default" w:ascii="Times New Roman"/>
        </w:rPr>
      </w:pPr>
      <w:r>
        <w:rPr>
          <w:rFonts w:hint="eastAsia" w:ascii="Times New Roman"/>
        </w:rPr>
        <w:t>目前，构网型技术已开始开展示范应用，但当前关于构网型变流器相关标准缺失，导致相关应用无标准可依，无法满足电力系统稳定运行的迫切需求。</w:t>
      </w:r>
      <w:r>
        <w:rPr>
          <w:rFonts w:hint="default" w:ascii="Times New Roman"/>
        </w:rPr>
        <w:t>为</w:t>
      </w:r>
      <w:r>
        <w:rPr>
          <w:rFonts w:hint="eastAsia" w:ascii="Times New Roman"/>
          <w:lang w:val="en-US" w:eastAsia="zh-CN"/>
        </w:rPr>
        <w:t>规范</w:t>
      </w:r>
      <w:r>
        <w:rPr>
          <w:rFonts w:hint="default" w:ascii="Times New Roman"/>
        </w:rPr>
        <w:t>构网型电化学储能电站用于新型电力系统全网安全稳定仿真计算的模型验证、参数辨识</w:t>
      </w:r>
      <w:r>
        <w:rPr>
          <w:rFonts w:hint="eastAsia" w:ascii="Times New Roman"/>
          <w:lang w:val="en-US" w:eastAsia="zh-CN"/>
        </w:rPr>
        <w:t>以及</w:t>
      </w:r>
      <w:r>
        <w:rPr>
          <w:rFonts w:hint="default" w:ascii="Times New Roman"/>
        </w:rPr>
        <w:t>仿真精度，规定了构网型电化学储能电站机电暂态模型参数测试以及辨识方法，以及模型参数准确性校核方法，提出了实测技术和流程方面要求。</w:t>
      </w:r>
      <w:r>
        <w:rPr>
          <w:rFonts w:hint="eastAsia" w:ascii="Times New Roman"/>
          <w:lang w:val="en-US" w:eastAsia="zh-CN"/>
        </w:rPr>
        <w:t>通过</w:t>
      </w:r>
      <w:r>
        <w:rPr>
          <w:rFonts w:hint="default" w:ascii="Times New Roman"/>
        </w:rPr>
        <w:t>准确有效地模拟以构网型</w:t>
      </w:r>
      <w:r>
        <w:rPr>
          <w:rFonts w:hint="eastAsia" w:ascii="Times New Roman"/>
          <w:lang w:val="en-US" w:eastAsia="zh-CN"/>
        </w:rPr>
        <w:t>电化学</w:t>
      </w:r>
      <w:r>
        <w:rPr>
          <w:rFonts w:hint="default" w:ascii="Times New Roman"/>
        </w:rPr>
        <w:t>储能</w:t>
      </w:r>
      <w:r>
        <w:rPr>
          <w:rFonts w:hint="eastAsia" w:ascii="Times New Roman"/>
          <w:lang w:val="en-US" w:eastAsia="zh-CN"/>
        </w:rPr>
        <w:t>电站</w:t>
      </w:r>
      <w:r>
        <w:rPr>
          <w:rFonts w:hint="default" w:ascii="Times New Roman"/>
        </w:rPr>
        <w:t>为代表的构网型技术，</w:t>
      </w:r>
      <w:r>
        <w:rPr>
          <w:rFonts w:hint="eastAsia" w:ascii="Times New Roman"/>
          <w:lang w:val="en-US" w:eastAsia="zh-CN"/>
        </w:rPr>
        <w:t>确保</w:t>
      </w:r>
      <w:r>
        <w:rPr>
          <w:rFonts w:hint="default" w:ascii="Times New Roman"/>
        </w:rPr>
        <w:t>新型电力系统安全稳定仿真准确性，</w:t>
      </w:r>
      <w:r>
        <w:rPr>
          <w:rFonts w:hint="eastAsia" w:ascii="Times New Roman"/>
          <w:lang w:val="en-US" w:eastAsia="zh-CN"/>
        </w:rPr>
        <w:t>中国</w:t>
      </w:r>
      <w:r>
        <w:rPr>
          <w:rFonts w:hint="default" w:ascii="Times New Roman"/>
        </w:rPr>
        <w:t>电力科学研究院</w:t>
      </w:r>
      <w:r>
        <w:rPr>
          <w:rFonts w:hint="eastAsia" w:ascii="Times New Roman"/>
          <w:lang w:val="en-US" w:eastAsia="zh-CN"/>
        </w:rPr>
        <w:t>作为主要起草单位，与国家电力调度控制中心、南方电网公司、国网公司华北分部、西北分部、国网新疆电力公司和国网西藏电力公司共同编写</w:t>
      </w:r>
      <w:r>
        <w:rPr>
          <w:rFonts w:hint="default" w:ascii="Times New Roman"/>
        </w:rPr>
        <w:t>本标准。</w:t>
      </w:r>
    </w:p>
    <w:p>
      <w:pPr>
        <w:pStyle w:val="10"/>
        <w:spacing w:before="312" w:after="312"/>
        <w:rPr>
          <w:rFonts w:hint="default" w:ascii="Times New Roman" w:hAnsi="Times New Roman"/>
          <w:szCs w:val="21"/>
        </w:rPr>
      </w:pPr>
      <w:bookmarkStart w:id="27" w:name="_Toc513731111"/>
      <w:r>
        <w:rPr>
          <w:rFonts w:hint="default" w:ascii="Times New Roman" w:hAnsi="Times New Roman"/>
          <w:szCs w:val="21"/>
        </w:rPr>
        <w:t xml:space="preserve">2 </w:t>
      </w:r>
      <w:r>
        <w:rPr>
          <w:rFonts w:hint="default" w:ascii="Times New Roman" w:hAnsi="宋体"/>
          <w:szCs w:val="21"/>
        </w:rPr>
        <w:t>编制主要原则</w:t>
      </w:r>
      <w:bookmarkEnd w:id="27"/>
    </w:p>
    <w:p>
      <w:pPr>
        <w:pStyle w:val="7"/>
        <w:rPr>
          <w:rFonts w:hint="eastAsia" w:ascii="Times New Roman"/>
          <w:lang w:eastAsia="zh-CN"/>
        </w:rPr>
      </w:pPr>
      <w:r>
        <w:rPr>
          <w:rFonts w:hint="default" w:ascii="Times New Roman"/>
        </w:rPr>
        <w:t>本标准遵守现有相关的法律、条例、标准和规范，编写格式和规则符合GB/T1.1-2020</w:t>
      </w:r>
      <w:r>
        <w:rPr>
          <w:rFonts w:hint="eastAsia" w:ascii="Times New Roman"/>
          <w:lang w:eastAsia="zh-CN"/>
        </w:rPr>
        <w:t>《</w:t>
      </w:r>
      <w:r>
        <w:rPr>
          <w:rFonts w:hint="default" w:ascii="Times New Roman"/>
        </w:rPr>
        <w:t>标准化工作导则第1部分</w:t>
      </w:r>
      <w:r>
        <w:rPr>
          <w:rFonts w:hint="eastAsia" w:ascii="Times New Roman"/>
          <w:lang w:eastAsia="zh-CN"/>
        </w:rPr>
        <w:t>：</w:t>
      </w:r>
      <w:r>
        <w:rPr>
          <w:rFonts w:hint="default" w:ascii="Times New Roman"/>
        </w:rPr>
        <w:t>标准化文件的结构和起草规则</w:t>
      </w:r>
      <w:r>
        <w:rPr>
          <w:rFonts w:hint="eastAsia" w:ascii="Times New Roman"/>
          <w:lang w:eastAsia="zh-CN"/>
        </w:rPr>
        <w:t>》</w:t>
      </w:r>
      <w:r>
        <w:rPr>
          <w:rFonts w:hint="default" w:ascii="Times New Roman"/>
        </w:rPr>
        <w:t>的规定，并遵循以下原则</w:t>
      </w:r>
      <w:r>
        <w:rPr>
          <w:rFonts w:hint="eastAsia" w:ascii="Times New Roman"/>
          <w:lang w:eastAsia="zh-CN"/>
        </w:rPr>
        <w:t>：</w:t>
      </w:r>
    </w:p>
    <w:p>
      <w:pPr>
        <w:pStyle w:val="7"/>
        <w:rPr>
          <w:rFonts w:hint="default" w:ascii="Times New Roman"/>
        </w:rPr>
      </w:pPr>
      <w:r>
        <w:rPr>
          <w:rFonts w:hint="eastAsia" w:ascii="Times New Roman"/>
          <w:lang w:eastAsia="zh-CN"/>
        </w:rPr>
        <w:t>（</w:t>
      </w:r>
      <w:r>
        <w:rPr>
          <w:rFonts w:hint="eastAsia" w:ascii="Times New Roman"/>
          <w:lang w:val="en-US" w:eastAsia="zh-CN"/>
        </w:rPr>
        <w:t>1</w:t>
      </w:r>
      <w:r>
        <w:rPr>
          <w:rFonts w:hint="eastAsia" w:ascii="Times New Roman"/>
          <w:lang w:eastAsia="zh-CN"/>
        </w:rPr>
        <w:t>）</w:t>
      </w:r>
      <w:r>
        <w:rPr>
          <w:rFonts w:hint="default" w:ascii="Times New Roman"/>
        </w:rPr>
        <w:t>兼容性原则。本标准在编写时，确保了与现行国家、行业、团体的有效兼容。</w:t>
      </w:r>
    </w:p>
    <w:p>
      <w:pPr>
        <w:pStyle w:val="7"/>
        <w:rPr>
          <w:rFonts w:hint="eastAsia" w:ascii="Times New Roman" w:eastAsia="宋体"/>
          <w:lang w:eastAsia="zh-CN"/>
        </w:rPr>
      </w:pPr>
      <w:r>
        <w:rPr>
          <w:rFonts w:hint="eastAsia" w:ascii="Times New Roman"/>
          <w:lang w:eastAsia="zh-CN"/>
        </w:rPr>
        <w:t>（</w:t>
      </w:r>
      <w:r>
        <w:rPr>
          <w:rFonts w:hint="eastAsia" w:ascii="Times New Roman"/>
          <w:lang w:val="en-US" w:eastAsia="zh-CN"/>
        </w:rPr>
        <w:t>2</w:t>
      </w:r>
      <w:r>
        <w:rPr>
          <w:rFonts w:hint="eastAsia" w:ascii="Times New Roman"/>
          <w:lang w:eastAsia="zh-CN"/>
        </w:rPr>
        <w:t>）</w:t>
      </w:r>
      <w:r>
        <w:rPr>
          <w:rFonts w:hint="default" w:ascii="Times New Roman"/>
        </w:rPr>
        <w:t>适用性原则。</w:t>
      </w:r>
      <w:r>
        <w:rPr>
          <w:rFonts w:hint="eastAsia" w:ascii="Times New Roman" w:hAnsi="Times New Roman"/>
          <w:lang w:val="en-US" w:eastAsia="zh-CN"/>
        </w:rPr>
        <w:t>中国电力科学研究院</w:t>
      </w:r>
      <w:r>
        <w:rPr>
          <w:rFonts w:hint="default" w:ascii="Times New Roman" w:hAnsi="Times New Roman"/>
        </w:rPr>
        <w:t>在国内系统性的开展了构网型电化学储能</w:t>
      </w:r>
      <w:r>
        <w:rPr>
          <w:rFonts w:hint="eastAsia" w:ascii="Times New Roman"/>
          <w:lang w:val="en-US" w:eastAsia="zh-CN"/>
        </w:rPr>
        <w:t>控制器</w:t>
      </w:r>
      <w:r>
        <w:rPr>
          <w:rFonts w:hint="default" w:ascii="Times New Roman" w:hAnsi="Times New Roman"/>
        </w:rPr>
        <w:t>半实物测试，完成了不同厂家不同形式的构网型储能变流器模型验证和参数辨识工作。完成了新疆阿克陶和</w:t>
      </w:r>
      <w:r>
        <w:rPr>
          <w:rFonts w:hint="eastAsia" w:ascii="Times New Roman"/>
          <w:lang w:val="en-US" w:eastAsia="zh-CN"/>
        </w:rPr>
        <w:t>西藏拉萨林周</w:t>
      </w:r>
      <w:r>
        <w:rPr>
          <w:rFonts w:hint="default" w:ascii="Times New Roman" w:hAnsi="Times New Roman"/>
        </w:rPr>
        <w:t>构网型电化学储能电站的电磁暂态和机电暂态模型参数实测与校核，并已用于电力系统稳定性分析计算。</w:t>
      </w:r>
      <w:r>
        <w:rPr>
          <w:rFonts w:hint="eastAsia" w:ascii="Times New Roman"/>
          <w:lang w:val="en-US" w:eastAsia="zh-CN"/>
        </w:rPr>
        <w:t>在广泛调研的基础上，本标准</w:t>
      </w:r>
      <w:r>
        <w:rPr>
          <w:rFonts w:hint="default" w:ascii="Times New Roman"/>
        </w:rPr>
        <w:t>总结现场试验而编制</w:t>
      </w:r>
      <w:r>
        <w:rPr>
          <w:rFonts w:hint="eastAsia" w:ascii="Times New Roman"/>
          <w:lang w:eastAsia="zh-CN"/>
        </w:rPr>
        <w:t>。</w:t>
      </w:r>
    </w:p>
    <w:p>
      <w:pPr>
        <w:pStyle w:val="7"/>
        <w:rPr>
          <w:rFonts w:hint="eastAsia" w:ascii="Times New Roman" w:eastAsia="宋体"/>
          <w:lang w:eastAsia="zh-CN"/>
        </w:rPr>
      </w:pPr>
      <w:r>
        <w:rPr>
          <w:rFonts w:hint="eastAsia" w:ascii="Times New Roman"/>
          <w:lang w:eastAsia="zh-CN"/>
        </w:rPr>
        <w:t>（</w:t>
      </w:r>
      <w:r>
        <w:rPr>
          <w:rFonts w:hint="eastAsia" w:ascii="Times New Roman"/>
          <w:lang w:val="en-US" w:eastAsia="zh-CN"/>
        </w:rPr>
        <w:t>3</w:t>
      </w:r>
      <w:r>
        <w:rPr>
          <w:rFonts w:hint="eastAsia" w:ascii="Times New Roman"/>
          <w:lang w:eastAsia="zh-CN"/>
        </w:rPr>
        <w:t>）</w:t>
      </w:r>
      <w:r>
        <w:rPr>
          <w:rFonts w:hint="default" w:ascii="Times New Roman"/>
        </w:rPr>
        <w:t>完整性原则。本文件规定了构网型电化学储能电站用于</w:t>
      </w:r>
      <w:r>
        <w:rPr>
          <w:rFonts w:hint="eastAsia" w:ascii="Times New Roman"/>
          <w:lang w:val="en-US" w:eastAsia="zh-CN"/>
        </w:rPr>
        <w:t>电力系统电磁暂态和机电暂态</w:t>
      </w:r>
      <w:r>
        <w:rPr>
          <w:rFonts w:hint="default" w:ascii="Times New Roman"/>
        </w:rPr>
        <w:t>仿真计算的模型验证</w:t>
      </w:r>
      <w:r>
        <w:rPr>
          <w:rFonts w:hint="eastAsia" w:ascii="Times New Roman"/>
          <w:lang w:val="en-US" w:eastAsia="zh-CN"/>
        </w:rPr>
        <w:t>和</w:t>
      </w:r>
      <w:r>
        <w:rPr>
          <w:rFonts w:hint="default" w:ascii="Times New Roman"/>
        </w:rPr>
        <w:t>参数辨识</w:t>
      </w:r>
      <w:r>
        <w:rPr>
          <w:rFonts w:hint="eastAsia" w:ascii="Times New Roman"/>
          <w:lang w:val="en-US" w:eastAsia="zh-CN"/>
        </w:rPr>
        <w:t>方法、</w:t>
      </w:r>
      <w:r>
        <w:rPr>
          <w:rFonts w:hint="default" w:ascii="Times New Roman"/>
        </w:rPr>
        <w:t>准确性校核方法</w:t>
      </w:r>
      <w:r>
        <w:rPr>
          <w:rFonts w:hint="eastAsia" w:ascii="Times New Roman"/>
          <w:lang w:val="en-US" w:eastAsia="zh-CN"/>
        </w:rPr>
        <w:t>以及</w:t>
      </w:r>
      <w:r>
        <w:rPr>
          <w:rFonts w:hint="default" w:ascii="Times New Roman"/>
        </w:rPr>
        <w:t>仿真精度</w:t>
      </w:r>
      <w:r>
        <w:rPr>
          <w:rFonts w:hint="eastAsia" w:ascii="Times New Roman"/>
          <w:lang w:val="en-US" w:eastAsia="zh-CN"/>
        </w:rPr>
        <w:t>要求，</w:t>
      </w:r>
      <w:r>
        <w:rPr>
          <w:rFonts w:hint="default" w:ascii="Times New Roman"/>
        </w:rPr>
        <w:t>为系统稳定分析及电网日常生产调度提供准确的计算数据，是保证电网安全运行和提高劳动生产率的有效措施</w:t>
      </w:r>
      <w:r>
        <w:rPr>
          <w:rFonts w:hint="eastAsia" w:ascii="Times New Roman"/>
          <w:lang w:eastAsia="zh-CN"/>
        </w:rPr>
        <w:t>。</w:t>
      </w:r>
    </w:p>
    <w:p>
      <w:pPr>
        <w:pStyle w:val="10"/>
        <w:spacing w:before="312" w:after="312"/>
        <w:rPr>
          <w:rFonts w:hint="default" w:ascii="Times New Roman" w:hAnsi="Times New Roman"/>
          <w:szCs w:val="21"/>
        </w:rPr>
      </w:pPr>
      <w:bookmarkStart w:id="28" w:name="_Toc513731112"/>
      <w:r>
        <w:rPr>
          <w:rFonts w:hint="default" w:ascii="Times New Roman" w:hAnsi="Times New Roman"/>
          <w:szCs w:val="21"/>
          <w:lang w:eastAsia="zh-CN"/>
        </w:rPr>
        <w:t>3</w:t>
      </w:r>
      <w:r>
        <w:rPr>
          <w:rFonts w:hint="default" w:ascii="Times New Roman" w:hAnsi="Times New Roman"/>
          <w:szCs w:val="21"/>
        </w:rPr>
        <w:t xml:space="preserve"> </w:t>
      </w:r>
      <w:r>
        <w:rPr>
          <w:rFonts w:hint="default" w:ascii="Times New Roman" w:hAnsi="宋体"/>
          <w:szCs w:val="21"/>
        </w:rPr>
        <w:t>主要工作过程</w:t>
      </w:r>
      <w:bookmarkEnd w:id="28"/>
    </w:p>
    <w:p>
      <w:pPr>
        <w:pStyle w:val="11"/>
        <w:rPr>
          <w:rFonts w:hint="default" w:ascii="Times New Roman" w:hAnsi="Times New Roman"/>
        </w:rPr>
      </w:pPr>
      <w:bookmarkStart w:id="32" w:name="_GoBack"/>
      <w:bookmarkEnd w:id="32"/>
      <w:r>
        <w:rPr>
          <w:rFonts w:hint="default" w:ascii="Times New Roman" w:hAnsi="Times New Roman"/>
        </w:rPr>
        <w:t>20</w:t>
      </w:r>
      <w:r>
        <w:rPr>
          <w:rFonts w:hint="eastAsia" w:ascii="Times New Roman" w:hAnsi="Times New Roman"/>
          <w:lang w:val="en-US" w:eastAsia="zh-CN"/>
        </w:rPr>
        <w:t>23</w:t>
      </w:r>
      <w:r>
        <w:rPr>
          <w:rFonts w:hint="default" w:ascii="Times New Roman"/>
        </w:rPr>
        <w:t>年</w:t>
      </w:r>
      <w:r>
        <w:rPr>
          <w:rFonts w:hint="eastAsia" w:ascii="Times New Roman" w:hAnsi="Times New Roman"/>
          <w:lang w:val="en-US" w:eastAsia="zh-CN"/>
        </w:rPr>
        <w:t>11</w:t>
      </w:r>
      <w:r>
        <w:rPr>
          <w:rFonts w:hint="default" w:ascii="Times New Roman"/>
        </w:rPr>
        <w:t>月，向中国电机工程学会测试技术及仪表专委会提交了本标准的编制申请，并成立工作组。</w:t>
      </w:r>
    </w:p>
    <w:p>
      <w:pPr>
        <w:pStyle w:val="11"/>
        <w:rPr>
          <w:rFonts w:hint="default" w:ascii="Times New Roman"/>
        </w:rPr>
      </w:pPr>
      <w:r>
        <w:rPr>
          <w:rFonts w:hint="default" w:ascii="Times New Roman" w:hAnsi="Times New Roman"/>
        </w:rPr>
        <w:t>20</w:t>
      </w:r>
      <w:r>
        <w:rPr>
          <w:rFonts w:hint="eastAsia" w:ascii="Times New Roman" w:hAnsi="Times New Roman"/>
          <w:lang w:val="en-US" w:eastAsia="zh-CN"/>
        </w:rPr>
        <w:t>23</w:t>
      </w:r>
      <w:r>
        <w:rPr>
          <w:rFonts w:hint="default" w:ascii="Times New Roman"/>
        </w:rPr>
        <w:t>年</w:t>
      </w:r>
      <w:r>
        <w:rPr>
          <w:rFonts w:hint="eastAsia" w:ascii="Times New Roman"/>
          <w:lang w:val="en-US" w:eastAsia="zh-CN"/>
        </w:rPr>
        <w:t>1</w:t>
      </w:r>
      <w:r>
        <w:rPr>
          <w:rFonts w:hint="default" w:ascii="Times New Roman" w:hAnsi="Times New Roman"/>
        </w:rPr>
        <w:t>2</w:t>
      </w:r>
      <w:r>
        <w:rPr>
          <w:rFonts w:hint="default" w:ascii="Times New Roman"/>
        </w:rPr>
        <w:t>月，中国电机工程学会测试技术及仪表专委会团体标准下达了本标准编制计划任务书。</w:t>
      </w:r>
    </w:p>
    <w:p>
      <w:pPr>
        <w:pStyle w:val="11"/>
        <w:rPr>
          <w:rFonts w:hint="default" w:ascii="Times New Roman"/>
        </w:rPr>
      </w:pPr>
      <w:r>
        <w:rPr>
          <w:rFonts w:hint="default" w:ascii="Times New Roman"/>
        </w:rPr>
        <w:t>2024年1月~</w:t>
      </w:r>
      <w:r>
        <w:rPr>
          <w:rFonts w:hint="eastAsia" w:ascii="Times New Roman"/>
          <w:lang w:val="en-US" w:eastAsia="zh-CN"/>
        </w:rPr>
        <w:t>2</w:t>
      </w:r>
      <w:r>
        <w:rPr>
          <w:rFonts w:hint="default" w:ascii="Times New Roman"/>
        </w:rPr>
        <w:t>月，标准起草单位根据标准制定计划，成立了标准编写组，确立了标准编写工作规划和总体目标，明确了标准编写单位的任务分工和时间节点，编制了标准大纲。</w:t>
      </w:r>
    </w:p>
    <w:p>
      <w:pPr>
        <w:pStyle w:val="11"/>
        <w:rPr>
          <w:rFonts w:hint="default" w:ascii="Times New Roman"/>
        </w:rPr>
      </w:pPr>
      <w:r>
        <w:rPr>
          <w:rFonts w:hint="default" w:ascii="Times New Roman"/>
        </w:rPr>
        <w:t>2024年</w:t>
      </w:r>
      <w:r>
        <w:rPr>
          <w:rFonts w:hint="eastAsia" w:ascii="Times New Roman"/>
          <w:lang w:val="en-US" w:eastAsia="zh-CN"/>
        </w:rPr>
        <w:t>3</w:t>
      </w:r>
      <w:r>
        <w:rPr>
          <w:rFonts w:hint="default" w:ascii="Times New Roman"/>
        </w:rPr>
        <w:t>月~</w:t>
      </w:r>
      <w:r>
        <w:rPr>
          <w:rFonts w:hint="eastAsia" w:ascii="Times New Roman"/>
          <w:lang w:val="en-US" w:eastAsia="zh-CN"/>
        </w:rPr>
        <w:t>12</w:t>
      </w:r>
      <w:r>
        <w:rPr>
          <w:rFonts w:hint="default" w:ascii="Times New Roman"/>
        </w:rPr>
        <w:t>月，充分调研了行业现状、行业发展方向和国内外相关标准，编制组召开标准制定启动研讨会，讨论确定了标准使用范围、标准大纲内容及工作计划。</w:t>
      </w:r>
    </w:p>
    <w:p>
      <w:pPr>
        <w:pStyle w:val="11"/>
        <w:rPr>
          <w:rFonts w:hint="default" w:ascii="Times New Roman"/>
        </w:rPr>
      </w:pPr>
      <w:r>
        <w:rPr>
          <w:rFonts w:hint="default" w:ascii="Times New Roman"/>
        </w:rPr>
        <w:t>2025年1月~</w:t>
      </w:r>
      <w:r>
        <w:rPr>
          <w:rFonts w:hint="eastAsia" w:ascii="Times New Roman"/>
          <w:lang w:val="en-US" w:eastAsia="zh-CN"/>
        </w:rPr>
        <w:t>7</w:t>
      </w:r>
      <w:r>
        <w:rPr>
          <w:rFonts w:hint="default" w:ascii="Times New Roman"/>
        </w:rPr>
        <w:t>月，编</w:t>
      </w:r>
      <w:r>
        <w:rPr>
          <w:rFonts w:hint="eastAsia" w:ascii="Times New Roman"/>
          <w:lang w:val="en-US" w:eastAsia="zh-CN"/>
        </w:rPr>
        <w:t>写</w:t>
      </w:r>
      <w:r>
        <w:rPr>
          <w:rFonts w:hint="default" w:ascii="Times New Roman"/>
        </w:rPr>
        <w:t>组多次召开《标准》初稿内部讨论会，形成《标准》初稿。</w:t>
      </w:r>
    </w:p>
    <w:p>
      <w:pPr>
        <w:pStyle w:val="11"/>
        <w:rPr>
          <w:rFonts w:hint="default" w:ascii="Times New Roman"/>
        </w:rPr>
      </w:pPr>
      <w:r>
        <w:rPr>
          <w:rFonts w:hint="default" w:ascii="Times New Roman" w:hAnsi="Times New Roman"/>
        </w:rPr>
        <w:t>20</w:t>
      </w:r>
      <w:r>
        <w:rPr>
          <w:rFonts w:hint="eastAsia" w:ascii="Times New Roman" w:hAnsi="Times New Roman"/>
          <w:lang w:val="en-US" w:eastAsia="zh-CN"/>
        </w:rPr>
        <w:t>25</w:t>
      </w:r>
      <w:r>
        <w:rPr>
          <w:rFonts w:hint="default" w:ascii="Times New Roman"/>
        </w:rPr>
        <w:t>年</w:t>
      </w:r>
      <w:r>
        <w:rPr>
          <w:rFonts w:hint="eastAsia" w:ascii="Times New Roman"/>
          <w:lang w:val="en-US" w:eastAsia="zh-CN"/>
        </w:rPr>
        <w:t>8</w:t>
      </w:r>
      <w:r>
        <w:rPr>
          <w:rFonts w:hint="default" w:ascii="Times New Roman"/>
        </w:rPr>
        <w:t>月~</w:t>
      </w:r>
      <w:r>
        <w:rPr>
          <w:rFonts w:hint="eastAsia" w:ascii="Times New Roman"/>
          <w:lang w:val="en-US" w:eastAsia="zh-CN"/>
        </w:rPr>
        <w:t>1</w:t>
      </w:r>
      <w:r>
        <w:rPr>
          <w:rFonts w:hint="eastAsia" w:ascii="Times New Roman" w:hAnsi="Times New Roman"/>
          <w:lang w:val="en-US" w:eastAsia="zh-CN"/>
        </w:rPr>
        <w:t>2</w:t>
      </w:r>
      <w:r>
        <w:rPr>
          <w:rFonts w:hint="default" w:ascii="Times New Roman"/>
        </w:rPr>
        <w:t>月，</w:t>
      </w:r>
      <w:r>
        <w:rPr>
          <w:rFonts w:hint="eastAsia" w:ascii="Times New Roman"/>
          <w:lang w:val="en-US" w:eastAsia="zh-CN"/>
        </w:rPr>
        <w:t>编写</w:t>
      </w:r>
      <w:r>
        <w:rPr>
          <w:rFonts w:hint="default" w:ascii="Times New Roman"/>
        </w:rPr>
        <w:t>组成员对该标准讨论稿进行了内部审查，并按照编制工作意见修改了讨论稿。</w:t>
      </w:r>
    </w:p>
    <w:p>
      <w:pPr>
        <w:pStyle w:val="10"/>
        <w:spacing w:before="312" w:after="312"/>
        <w:rPr>
          <w:lang w:eastAsia="zh-CN"/>
        </w:rPr>
      </w:pPr>
      <w:bookmarkStart w:id="29" w:name="_Toc513731113"/>
      <w:r>
        <w:rPr>
          <w:rFonts w:hint="default" w:ascii="Times New Roman" w:hAnsi="Times New Roman"/>
          <w:szCs w:val="21"/>
          <w:lang w:eastAsia="zh-CN"/>
        </w:rPr>
        <w:t>4</w:t>
      </w:r>
      <w:r>
        <w:t xml:space="preserve"> 标准结构和内容</w:t>
      </w:r>
      <w:r>
        <w:rPr>
          <w:lang w:eastAsia="zh-CN"/>
        </w:rPr>
        <w:t>说明</w:t>
      </w:r>
      <w:bookmarkEnd w:id="29"/>
    </w:p>
    <w:p>
      <w:pPr>
        <w:pStyle w:val="11"/>
        <w:ind w:firstLineChars="0"/>
        <w:rPr>
          <w:rFonts w:hint="default" w:ascii="Times New Roman" w:hAnsi="Times New Roman"/>
        </w:rPr>
      </w:pPr>
      <w:r>
        <w:rPr>
          <w:rFonts w:hint="eastAsia" w:ascii="Times New Roman"/>
          <w:lang w:val="en-US" w:eastAsia="zh-CN"/>
        </w:rPr>
        <w:t>规范</w:t>
      </w:r>
      <w:r>
        <w:rPr>
          <w:rFonts w:hint="default" w:ascii="Times New Roman"/>
        </w:rPr>
        <w:t>的主要结构和内容如下：</w:t>
      </w:r>
    </w:p>
    <w:p>
      <w:pPr>
        <w:pStyle w:val="11"/>
        <w:numPr>
          <w:ilvl w:val="0"/>
          <w:numId w:val="2"/>
        </w:numPr>
        <w:ind w:firstLineChars="0"/>
        <w:rPr>
          <w:rFonts w:hint="default" w:ascii="Times New Roman"/>
        </w:rPr>
      </w:pPr>
      <w:r>
        <w:rPr>
          <w:rFonts w:hint="eastAsia" w:ascii="Times New Roman"/>
          <w:lang w:val="en-US" w:eastAsia="zh-CN"/>
        </w:rPr>
        <w:t>第1章“</w:t>
      </w:r>
      <w:r>
        <w:rPr>
          <w:rFonts w:hint="default" w:ascii="Times New Roman"/>
        </w:rPr>
        <w:t>范围</w:t>
      </w:r>
      <w:r>
        <w:rPr>
          <w:rFonts w:hint="eastAsia" w:ascii="Times New Roman"/>
          <w:lang w:val="en-US" w:eastAsia="zh-CN"/>
        </w:rPr>
        <w:t>”规定了本标准的主要内容和适用范围。</w:t>
      </w:r>
    </w:p>
    <w:p>
      <w:pPr>
        <w:pStyle w:val="11"/>
        <w:numPr>
          <w:ilvl w:val="0"/>
          <w:numId w:val="2"/>
        </w:numPr>
        <w:ind w:firstLineChars="0"/>
        <w:rPr>
          <w:rFonts w:hint="default" w:ascii="Times New Roman"/>
        </w:rPr>
      </w:pPr>
      <w:r>
        <w:rPr>
          <w:rFonts w:hint="eastAsia" w:ascii="Times New Roman"/>
          <w:lang w:val="en-US" w:eastAsia="zh-CN"/>
        </w:rPr>
        <w:t>第2章“</w:t>
      </w:r>
      <w:r>
        <w:rPr>
          <w:rFonts w:hint="default" w:ascii="Times New Roman"/>
        </w:rPr>
        <w:t>规范性引用文件</w:t>
      </w:r>
      <w:r>
        <w:rPr>
          <w:rFonts w:hint="eastAsia" w:ascii="Times New Roman"/>
          <w:lang w:val="en-US" w:eastAsia="zh-CN"/>
        </w:rPr>
        <w:t>”列出了本标准所引用的标准、技术规范和规程。</w:t>
      </w:r>
    </w:p>
    <w:p>
      <w:pPr>
        <w:pStyle w:val="11"/>
        <w:numPr>
          <w:ilvl w:val="0"/>
          <w:numId w:val="2"/>
        </w:numPr>
        <w:ind w:firstLineChars="0"/>
        <w:rPr>
          <w:rFonts w:hint="default" w:ascii="Times New Roman"/>
        </w:rPr>
      </w:pPr>
      <w:r>
        <w:rPr>
          <w:rFonts w:hint="eastAsia" w:ascii="Times New Roman"/>
          <w:lang w:val="en-US" w:eastAsia="zh-CN"/>
        </w:rPr>
        <w:t>第3章“</w:t>
      </w:r>
      <w:r>
        <w:rPr>
          <w:rFonts w:hint="default" w:ascii="Times New Roman"/>
        </w:rPr>
        <w:t>术语</w:t>
      </w:r>
      <w:r>
        <w:rPr>
          <w:rFonts w:hint="eastAsia" w:ascii="Times New Roman"/>
          <w:lang w:val="en-US" w:eastAsia="zh-CN"/>
        </w:rPr>
        <w:t>和定义”规定了本标准所用术语和定义的出处。</w:t>
      </w:r>
    </w:p>
    <w:p>
      <w:pPr>
        <w:pStyle w:val="11"/>
        <w:numPr>
          <w:ilvl w:val="0"/>
          <w:numId w:val="2"/>
        </w:numPr>
        <w:ind w:firstLineChars="0"/>
        <w:rPr>
          <w:rFonts w:hint="default" w:ascii="Times New Roman"/>
        </w:rPr>
      </w:pPr>
      <w:r>
        <w:rPr>
          <w:rFonts w:hint="eastAsia" w:ascii="Times New Roman"/>
          <w:lang w:val="en-US" w:eastAsia="zh-CN"/>
        </w:rPr>
        <w:t>第4章“符号和缩略语”规定了本标准所出现的符号和缩略语的含义</w:t>
      </w:r>
    </w:p>
    <w:p>
      <w:pPr>
        <w:pStyle w:val="11"/>
        <w:numPr>
          <w:ilvl w:val="0"/>
          <w:numId w:val="2"/>
        </w:numPr>
        <w:ind w:firstLineChars="0"/>
        <w:rPr>
          <w:rFonts w:hint="default" w:ascii="Times New Roman"/>
        </w:rPr>
      </w:pPr>
      <w:r>
        <w:rPr>
          <w:rFonts w:hint="eastAsia" w:ascii="Times New Roman"/>
          <w:lang w:val="en-US" w:eastAsia="zh-CN"/>
        </w:rPr>
        <w:t>第5章“总体要求”规定了构网型电化学储能电站模型验证和参数辨识的方法、流程和技术的整体要求。</w:t>
      </w:r>
    </w:p>
    <w:p>
      <w:pPr>
        <w:pStyle w:val="11"/>
        <w:numPr>
          <w:ilvl w:val="0"/>
          <w:numId w:val="2"/>
        </w:numPr>
        <w:ind w:firstLineChars="0"/>
        <w:rPr>
          <w:rFonts w:hint="default" w:ascii="Times New Roman"/>
        </w:rPr>
      </w:pPr>
      <w:r>
        <w:rPr>
          <w:rFonts w:hint="eastAsia" w:ascii="Times New Roman"/>
          <w:lang w:val="en-US" w:eastAsia="zh-CN"/>
        </w:rPr>
        <w:t>第6章“测试条件和准备”规定了构网型电化学储能电站现场测试的条件、相关信号输出以及测试设备的技术要求。</w:t>
      </w:r>
    </w:p>
    <w:p>
      <w:pPr>
        <w:pStyle w:val="11"/>
        <w:numPr>
          <w:ilvl w:val="0"/>
          <w:numId w:val="2"/>
        </w:numPr>
        <w:ind w:firstLineChars="0"/>
        <w:rPr>
          <w:rFonts w:hint="default" w:ascii="Times New Roman"/>
        </w:rPr>
      </w:pPr>
      <w:r>
        <w:rPr>
          <w:rFonts w:hint="eastAsia" w:ascii="Times New Roman"/>
          <w:lang w:val="en-US" w:eastAsia="zh-CN"/>
        </w:rPr>
        <w:t>第7章“现场测试”规定了构网型电化学储能电站现场测试内容和测试方法。</w:t>
      </w:r>
    </w:p>
    <w:p>
      <w:pPr>
        <w:pStyle w:val="11"/>
        <w:numPr>
          <w:ilvl w:val="0"/>
          <w:numId w:val="2"/>
        </w:numPr>
        <w:ind w:firstLineChars="0"/>
        <w:rPr>
          <w:rFonts w:hint="default" w:ascii="Times New Roman"/>
        </w:rPr>
      </w:pPr>
      <w:r>
        <w:rPr>
          <w:rFonts w:hint="eastAsia" w:ascii="Times New Roman"/>
          <w:lang w:val="en-US" w:eastAsia="zh-CN"/>
        </w:rPr>
        <w:t>第8章“模型验证和参数辨识”规定了</w:t>
      </w:r>
      <w:r>
        <w:rPr>
          <w:rFonts w:hint="default"/>
        </w:rPr>
        <w:t>以</w:t>
      </w:r>
      <w:r>
        <w:rPr>
          <w:rFonts w:hint="default"/>
          <w:lang w:val="en-US" w:eastAsia="zh-CN"/>
        </w:rPr>
        <w:t>现场</w:t>
      </w:r>
      <w:r>
        <w:rPr>
          <w:rFonts w:hint="default"/>
        </w:rPr>
        <w:t>实测数据为基准</w:t>
      </w:r>
      <w:r>
        <w:rPr>
          <w:rFonts w:hint="eastAsia"/>
          <w:lang w:eastAsia="zh-CN"/>
        </w:rPr>
        <w:t>的</w:t>
      </w:r>
      <w:r>
        <w:rPr>
          <w:rFonts w:hint="eastAsia" w:ascii="Times New Roman"/>
          <w:lang w:val="en-US" w:eastAsia="zh-CN"/>
        </w:rPr>
        <w:t>构网型电化学储能电站</w:t>
      </w:r>
      <w:r>
        <w:rPr>
          <w:rFonts w:hint="eastAsia"/>
          <w:lang w:val="en-US" w:eastAsia="zh-CN"/>
        </w:rPr>
        <w:t>模型验证和参数辨识</w:t>
      </w:r>
      <w:r>
        <w:rPr>
          <w:rFonts w:hint="eastAsia" w:ascii="Times New Roman"/>
          <w:lang w:val="en-US" w:eastAsia="zh-CN"/>
        </w:rPr>
        <w:t>方法以及误差要求。</w:t>
      </w:r>
    </w:p>
    <w:p>
      <w:pPr>
        <w:pStyle w:val="11"/>
        <w:ind w:firstLineChars="0"/>
        <w:rPr>
          <w:rFonts w:hint="default" w:ascii="Times New Roman"/>
        </w:rPr>
      </w:pPr>
      <w:r>
        <w:rPr>
          <w:rFonts w:hint="default" w:ascii="Times New Roman"/>
        </w:rPr>
        <w:t>附录</w:t>
      </w:r>
      <w:r>
        <w:rPr>
          <w:rFonts w:hint="eastAsia" w:ascii="Times New Roman"/>
          <w:lang w:val="en-US" w:eastAsia="zh-CN"/>
        </w:rPr>
        <w:t>对构网型电化学储能电站收资、模型验证误差要求</w:t>
      </w:r>
      <w:r>
        <w:rPr>
          <w:rFonts w:hint="default" w:ascii="Times New Roman"/>
        </w:rPr>
        <w:t>等内容进行了</w:t>
      </w:r>
      <w:r>
        <w:rPr>
          <w:rFonts w:hint="eastAsia" w:ascii="Times New Roman"/>
          <w:lang w:val="en-US" w:eastAsia="zh-CN"/>
        </w:rPr>
        <w:t>详细</w:t>
      </w:r>
      <w:r>
        <w:rPr>
          <w:rFonts w:hint="default" w:ascii="Times New Roman"/>
        </w:rPr>
        <w:t>说明。</w:t>
      </w:r>
    </w:p>
    <w:p>
      <w:pPr>
        <w:pStyle w:val="10"/>
        <w:spacing w:before="312" w:after="312"/>
      </w:pPr>
      <w:bookmarkStart w:id="30" w:name="_Toc513731114"/>
      <w:r>
        <w:rPr>
          <w:rFonts w:hint="default" w:ascii="Times New Roman" w:hAnsi="Times New Roman"/>
          <w:szCs w:val="21"/>
          <w:lang w:eastAsia="zh-CN"/>
        </w:rPr>
        <w:t>5</w:t>
      </w:r>
      <w:r>
        <w:rPr>
          <w:lang w:eastAsia="zh-CN"/>
        </w:rPr>
        <w:t>标准水平</w:t>
      </w:r>
      <w:r>
        <w:t>说明</w:t>
      </w:r>
      <w:bookmarkEnd w:id="30"/>
    </w:p>
    <w:p>
      <w:pPr>
        <w:pStyle w:val="11"/>
        <w:rPr>
          <w:rFonts w:hint="default" w:ascii="Times New Roman"/>
        </w:rPr>
      </w:pPr>
      <w:r>
        <w:rPr>
          <w:rFonts w:hint="default" w:ascii="Times New Roman"/>
        </w:rPr>
        <w:t>现有标准《电化学储能电站建模导则》主要规定了跟网型电化学储能电站电磁暂态、机电暂态和中长期动态仿真的模型建立的技术要求，未涉及构网型技术。本标准主要规定了构网型电化学储能用于电力系统分析的模型验证和参数辨识内容，补充了构网型技术建模的空白，二者互为补充，有助于提升高比例新能源的新型电力系统安全稳定仿真计算。本标准为</w:t>
      </w:r>
      <w:r>
        <w:rPr>
          <w:rFonts w:hint="eastAsia" w:ascii="Times New Roman"/>
          <w:lang w:val="en-US" w:eastAsia="zh-CN"/>
        </w:rPr>
        <w:t>国内外</w:t>
      </w:r>
      <w:r>
        <w:rPr>
          <w:rFonts w:hint="default" w:ascii="Times New Roman"/>
        </w:rPr>
        <w:t>首次制定。</w:t>
      </w:r>
    </w:p>
    <w:p>
      <w:pPr>
        <w:pStyle w:val="10"/>
        <w:spacing w:before="312" w:after="312"/>
        <w:rPr>
          <w:rFonts w:ascii="Times New Roman" w:hAnsi="Times New Roman"/>
          <w:szCs w:val="21"/>
        </w:rPr>
      </w:pPr>
      <w:bookmarkStart w:id="31" w:name="_Toc513731115"/>
      <w:r>
        <w:rPr>
          <w:rFonts w:hint="default" w:ascii="Times New Roman" w:hAnsi="Times New Roman"/>
          <w:szCs w:val="21"/>
          <w:lang w:eastAsia="zh-CN"/>
        </w:rPr>
        <w:t>6</w:t>
      </w:r>
      <w:r>
        <w:rPr>
          <w:rFonts w:hint="default" w:ascii="Times New Roman" w:hAnsi="宋体"/>
          <w:szCs w:val="21"/>
        </w:rPr>
        <w:t>标准实施措施说明</w:t>
      </w:r>
      <w:bookmarkEnd w:id="31"/>
    </w:p>
    <w:p>
      <w:pPr>
        <w:ind w:firstLine="420" w:firstLineChars="200"/>
        <w:rPr>
          <w:rFonts w:hint="default" w:ascii="Times New Roman" w:hAnsi="Times New Roman"/>
          <w:szCs w:val="22"/>
        </w:rPr>
      </w:pPr>
      <w:r>
        <w:rPr>
          <w:rFonts w:hint="eastAsia" w:hAnsi="Calibri"/>
          <w:szCs w:val="22"/>
          <w:lang w:eastAsia="zh-CN"/>
        </w:rPr>
        <w:t>《</w:t>
      </w:r>
      <w:r>
        <w:rPr>
          <w:rFonts w:hint="eastAsia" w:hAnsi="Calibri"/>
          <w:szCs w:val="22"/>
          <w:lang w:val="en-US" w:eastAsia="zh-CN"/>
        </w:rPr>
        <w:t>电化学储能构网型变流器技术规范</w:t>
      </w:r>
      <w:r>
        <w:rPr>
          <w:rFonts w:hint="eastAsia" w:hAnsi="Calibri"/>
          <w:szCs w:val="22"/>
          <w:lang w:eastAsia="zh-CN"/>
        </w:rPr>
        <w:t>》</w:t>
      </w:r>
      <w:r>
        <w:rPr>
          <w:rFonts w:hint="eastAsia" w:hAnsi="Calibri"/>
          <w:szCs w:val="22"/>
          <w:lang w:val="en-US" w:eastAsia="zh-CN"/>
        </w:rPr>
        <w:t>和《构网型变流器通用技术规范》两项推荐性国家标准正在征求意见，</w:t>
      </w:r>
      <w:r>
        <w:rPr>
          <w:rFonts w:hint="default" w:ascii="Times New Roman" w:hAnsi="Calibri"/>
          <w:szCs w:val="22"/>
        </w:rPr>
        <w:t>建议本标准</w:t>
      </w:r>
      <w:r>
        <w:rPr>
          <w:rFonts w:hint="eastAsia" w:hAnsi="Calibri"/>
          <w:szCs w:val="22"/>
          <w:lang w:val="en-US" w:eastAsia="zh-CN"/>
        </w:rPr>
        <w:t>在两项推荐性国标实施后发布，发布后3个月实施</w:t>
      </w:r>
      <w:r>
        <w:rPr>
          <w:rFonts w:hint="default" w:ascii="Times New Roman" w:hAnsi="Calibri"/>
          <w:szCs w:val="2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F2F640"/>
    <w:multiLevelType w:val="singleLevel"/>
    <w:tmpl w:val="F6F2F640"/>
    <w:lvl w:ilvl="0" w:tentative="0">
      <w:start w:val="1"/>
      <w:numFmt w:val="decimal"/>
      <w:suff w:val="nothing"/>
      <w:lvlText w:val="%1）"/>
      <w:lvlJc w:val="left"/>
    </w:lvl>
  </w:abstractNum>
  <w:abstractNum w:abstractNumId="1">
    <w:nsid w:val="1FC91163"/>
    <w:multiLevelType w:val="multilevel"/>
    <w:tmpl w:val="1FC91163"/>
    <w:lvl w:ilvl="0" w:tentative="0">
      <w:start w:val="1"/>
      <w:numFmt w:val="decimal"/>
      <w:pStyle w:val="8"/>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1276"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555E0"/>
    <w:rsid w:val="04D654A5"/>
    <w:rsid w:val="08102CD2"/>
    <w:rsid w:val="08F35DF7"/>
    <w:rsid w:val="0A925539"/>
    <w:rsid w:val="0B3A7474"/>
    <w:rsid w:val="15DA4FC7"/>
    <w:rsid w:val="1925178F"/>
    <w:rsid w:val="1B626C74"/>
    <w:rsid w:val="2AC0049D"/>
    <w:rsid w:val="41A63E7A"/>
    <w:rsid w:val="428C1926"/>
    <w:rsid w:val="5074128F"/>
    <w:rsid w:val="5FBC54CE"/>
    <w:rsid w:val="628A7BC2"/>
    <w:rsid w:val="79910EB3"/>
    <w:rsid w:val="7B316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toc 1"/>
    <w:basedOn w:val="1"/>
    <w:next w:val="1"/>
    <w:qFormat/>
    <w:uiPriority w:val="39"/>
    <w:pPr>
      <w:tabs>
        <w:tab w:val="right" w:leader="dot" w:pos="9241"/>
      </w:tabs>
      <w:spacing w:before="25" w:beforeLines="25" w:after="25" w:afterLines="25"/>
      <w:jc w:val="left"/>
    </w:pPr>
    <w:rPr>
      <w:rFonts w:ascii="宋体"/>
      <w:szCs w:val="21"/>
    </w:rPr>
  </w:style>
  <w:style w:type="character" w:styleId="5">
    <w:name w:val="Hyperlink"/>
    <w:qFormat/>
    <w:uiPriority w:val="99"/>
    <w:rPr>
      <w:color w:val="0000FF"/>
      <w:spacing w:val="0"/>
      <w:w w:val="100"/>
      <w:szCs w:val="21"/>
      <w:u w:val="single"/>
    </w:rPr>
  </w:style>
  <w:style w:type="paragraph" w:customStyle="1" w:styleId="7">
    <w:name w:val="段"/>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8">
    <w:name w:val="章标题"/>
    <w:next w:val="7"/>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9">
    <w:name w:val="目次、标准名称标题"/>
    <w:basedOn w:val="1"/>
    <w:next w:val="7"/>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
    <w:name w:val="样式 标题 1 + 非加粗"/>
    <w:basedOn w:val="2"/>
    <w:uiPriority w:val="0"/>
    <w:pPr>
      <w:spacing w:before="0" w:beforeLines="100" w:after="0" w:afterLines="100" w:line="240" w:lineRule="auto"/>
    </w:pPr>
    <w:rPr>
      <w:rFonts w:ascii="Calibri" w:hAnsi="Calibri" w:eastAsia="黑体" w:cs="Calibri"/>
      <w:b w:val="0"/>
      <w:bCs w:val="0"/>
      <w:sz w:val="21"/>
      <w:szCs w:val="21"/>
    </w:rPr>
  </w:style>
  <w:style w:type="paragraph" w:customStyle="1" w:styleId="11">
    <w:name w:val="List Paragraph"/>
    <w:basedOn w:val="1"/>
    <w:qFormat/>
    <w:uiPriority w:val="99"/>
    <w:pPr>
      <w:ind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2025-12-25T08:26:00Z</dcterms:created>
  <dc:creator>15695</dc:creator>
  <cp:lastModifiedBy>韩志勇</cp:lastModifiedBy>
  <dcterms:modified xsi:type="dcterms:W3CDTF">2026-01-15T12:23:21Z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KSOTemplateDocerSaveRecord">
    <vt:lpwstr>eyJoZGlkIjoiZmZiOTlkNmExMzMwYjk2NzcwNmE3ZGZhYjcxOTcyYTYiLCJ1c2VySWQiOiIzMzA4MzMwMjUifQ==</vt:lpwstr>
  </property>
  <property fmtid="{D5CDD505-2E9C-101B-9397-08002B2CF9AE}" pid="4" name="ICV">
    <vt:lpwstr>52599FDB52F1450A91784D4040F6F2EF_12</vt:lpwstr>
  </property>
</Properties>
</file>