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B75D8D">
      <w:pPr>
        <w:pStyle w:val="5"/>
        <w:jc w:val="left"/>
        <w:rPr>
          <w:rFonts w:ascii="黑体" w:hAnsi="黑体" w:eastAsia="黑体"/>
          <w:b w:val="0"/>
        </w:rPr>
      </w:pPr>
      <w:r>
        <w:rPr>
          <w:rFonts w:ascii="黑体" w:hAnsi="黑体" w:eastAsia="黑体"/>
          <w:b w:val="0"/>
        </w:rPr>
        <w:t>附件</w:t>
      </w:r>
      <w:r>
        <w:rPr>
          <w:rFonts w:hint="eastAsia" w:ascii="黑体" w:hAnsi="黑体" w:eastAsia="黑体"/>
          <w:b w:val="0"/>
        </w:rPr>
        <w:t>8</w:t>
      </w:r>
    </w:p>
    <w:p w14:paraId="5CB96C70">
      <w:pPr>
        <w:jc w:val="center"/>
        <w:rPr>
          <w:rFonts w:ascii="黑体" w:hAnsi="黑体" w:eastAsia="黑体"/>
          <w:bCs/>
          <w:sz w:val="32"/>
          <w:szCs w:val="32"/>
        </w:rPr>
      </w:pPr>
    </w:p>
    <w:p w14:paraId="2AB4CAFA">
      <w:pPr>
        <w:pStyle w:val="11"/>
        <w:ind w:firstLine="0" w:firstLineChars="0"/>
      </w:pPr>
    </w:p>
    <w:p w14:paraId="75E7C1F7">
      <w:pPr>
        <w:pStyle w:val="11"/>
        <w:ind w:firstLine="0" w:firstLineChars="0"/>
      </w:pPr>
    </w:p>
    <w:p w14:paraId="2A4F7671">
      <w:pPr>
        <w:pStyle w:val="11"/>
        <w:ind w:firstLine="0" w:firstLineChars="0"/>
      </w:pPr>
    </w:p>
    <w:p w14:paraId="123E3F71">
      <w:pPr>
        <w:pStyle w:val="11"/>
        <w:ind w:firstLine="0" w:firstLineChars="0"/>
      </w:pPr>
    </w:p>
    <w:p w14:paraId="47DC0243">
      <w:pPr>
        <w:pStyle w:val="11"/>
        <w:ind w:firstLine="0" w:firstLineChars="0"/>
      </w:pPr>
    </w:p>
    <w:p w14:paraId="1E236C19">
      <w:pPr>
        <w:pStyle w:val="11"/>
        <w:ind w:firstLine="0" w:firstLineChars="0"/>
      </w:pPr>
    </w:p>
    <w:p w14:paraId="429A2B66">
      <w:pPr>
        <w:pStyle w:val="11"/>
        <w:ind w:firstLine="0" w:firstLineChars="0"/>
      </w:pPr>
    </w:p>
    <w:p w14:paraId="7857DA92">
      <w:pPr>
        <w:pStyle w:val="11"/>
        <w:ind w:firstLine="0" w:firstLineChars="0"/>
      </w:pPr>
    </w:p>
    <w:p w14:paraId="247BEBF5">
      <w:pPr>
        <w:pStyle w:val="11"/>
        <w:ind w:firstLine="0" w:firstLineChars="0"/>
      </w:pPr>
    </w:p>
    <w:p w14:paraId="160960C0">
      <w:pPr>
        <w:pStyle w:val="11"/>
        <w:ind w:firstLine="0" w:firstLineChars="0"/>
      </w:pPr>
    </w:p>
    <w:p w14:paraId="79BCB66A">
      <w:pPr>
        <w:pStyle w:val="11"/>
        <w:ind w:firstLine="0" w:firstLineChars="0"/>
        <w:jc w:val="center"/>
        <w:rPr>
          <w:rFonts w:ascii="黑体" w:eastAsia="黑体"/>
          <w:sz w:val="44"/>
          <w:szCs w:val="44"/>
        </w:rPr>
      </w:pPr>
      <w:r>
        <w:rPr>
          <w:rFonts w:hint="eastAsia" w:ascii="黑体" w:eastAsia="黑体"/>
          <w:sz w:val="44"/>
          <w:szCs w:val="44"/>
        </w:rPr>
        <w:t>电力电缆隧道工程建设预算项目划分导则</w:t>
      </w:r>
    </w:p>
    <w:p w14:paraId="4DB69CE8">
      <w:pPr>
        <w:pStyle w:val="11"/>
      </w:pPr>
    </w:p>
    <w:p w14:paraId="195399D1">
      <w:pPr>
        <w:pStyle w:val="11"/>
      </w:pPr>
    </w:p>
    <w:p w14:paraId="365FB09E">
      <w:pPr>
        <w:pStyle w:val="12"/>
        <w:numPr>
          <w:ilvl w:val="0"/>
          <w:numId w:val="0"/>
        </w:numPr>
        <w:jc w:val="center"/>
        <w:rPr>
          <w:sz w:val="28"/>
          <w:szCs w:val="28"/>
        </w:rPr>
      </w:pPr>
      <w:bookmarkStart w:id="0" w:name="_Toc298937333"/>
      <w:bookmarkStart w:id="1" w:name="_Toc298937368"/>
      <w:bookmarkStart w:id="2" w:name="_Toc298937430"/>
      <w:bookmarkStart w:id="3" w:name="_Toc298937560"/>
      <w:bookmarkStart w:id="4" w:name="_Toc309993200"/>
      <w:bookmarkStart w:id="5" w:name="_Toc304828086"/>
      <w:bookmarkStart w:id="6" w:name="_Toc298938794"/>
      <w:bookmarkStart w:id="7" w:name="_Toc309996019"/>
      <w:bookmarkStart w:id="8" w:name="_Toc309994571"/>
      <w:bookmarkStart w:id="9" w:name="_Toc304825093"/>
      <w:bookmarkStart w:id="10" w:name="_Toc304402675"/>
      <w:bookmarkStart w:id="11" w:name="_Toc318613715"/>
      <w:bookmarkStart w:id="12" w:name="_Toc310002657"/>
      <w:bookmarkStart w:id="13" w:name="_Toc320020914"/>
      <w:bookmarkStart w:id="14" w:name="_Toc304824981"/>
      <w:bookmarkStart w:id="15" w:name="_Toc309997060"/>
      <w:bookmarkStart w:id="16" w:name="_Toc309995492"/>
      <w:bookmarkStart w:id="17" w:name="_Toc309995410"/>
      <w:bookmarkStart w:id="18" w:name="_Toc298938646"/>
      <w:bookmarkStart w:id="19" w:name="_Toc304825020"/>
      <w:bookmarkStart w:id="20" w:name="_Toc309995598"/>
      <w:bookmarkStart w:id="21" w:name="_Toc298937473"/>
      <w:bookmarkStart w:id="22" w:name="_Toc298937620"/>
      <w:r>
        <w:rPr>
          <w:rFonts w:hint="eastAsia"/>
          <w:sz w:val="28"/>
          <w:szCs w:val="28"/>
        </w:rPr>
        <w:t>编 制 说</w:t>
      </w:r>
      <w:bookmarkEnd w:id="0"/>
      <w:bookmarkEnd w:id="1"/>
      <w:r>
        <w:rPr>
          <w:rFonts w:hint="eastAsia"/>
          <w:sz w:val="28"/>
          <w:szCs w:val="28"/>
        </w:rPr>
        <w:t> 明</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4D9180DB">
      <w:pPr>
        <w:pStyle w:val="11"/>
        <w:ind w:firstLine="560"/>
        <w:jc w:val="center"/>
        <w:rPr>
          <w:rFonts w:ascii="黑体" w:eastAsia="黑体"/>
          <w:sz w:val="28"/>
          <w:szCs w:val="28"/>
        </w:rPr>
      </w:pPr>
    </w:p>
    <w:p w14:paraId="4702A78F">
      <w:pPr>
        <w:pStyle w:val="11"/>
        <w:ind w:firstLine="560"/>
        <w:jc w:val="center"/>
        <w:rPr>
          <w:rFonts w:ascii="黑体" w:eastAsia="黑体"/>
          <w:sz w:val="28"/>
          <w:szCs w:val="28"/>
        </w:rPr>
      </w:pPr>
    </w:p>
    <w:p w14:paraId="23938571">
      <w:pPr>
        <w:pStyle w:val="11"/>
        <w:sectPr>
          <w:headerReference r:id="rId3" w:type="default"/>
          <w:headerReference r:id="rId4" w:type="even"/>
          <w:pgSz w:w="11906" w:h="16838"/>
          <w:pgMar w:top="567" w:right="1134" w:bottom="1134" w:left="1417" w:header="1418" w:footer="1134" w:gutter="0"/>
          <w:cols w:space="720" w:num="1"/>
          <w:formProt w:val="0"/>
          <w:docGrid w:type="lines" w:linePitch="312" w:charSpace="0"/>
        </w:sectPr>
      </w:pPr>
    </w:p>
    <w:p w14:paraId="39F8F60F">
      <w:pPr>
        <w:pStyle w:val="13"/>
      </w:pPr>
      <w:bookmarkStart w:id="23" w:name="_Toc309992160"/>
      <w:bookmarkStart w:id="24" w:name="_Toc513731021"/>
      <w:bookmarkStart w:id="25" w:name="_Toc513731109"/>
      <w:r>
        <w:rPr>
          <w:rFonts w:hint="eastAsia"/>
        </w:rPr>
        <w:t>目次</w:t>
      </w:r>
      <w:bookmarkEnd w:id="23"/>
      <w:bookmarkEnd w:id="24"/>
      <w:bookmarkEnd w:id="25"/>
    </w:p>
    <w:p w14:paraId="511D7D37">
      <w:pPr>
        <w:pStyle w:val="4"/>
        <w:spacing w:before="78" w:after="78"/>
        <w:rPr>
          <w:rFonts w:ascii="Calibri" w:hAnsi="Calibri"/>
          <w:szCs w:val="22"/>
        </w:rPr>
      </w:pPr>
      <w:r>
        <w:rPr>
          <w:rFonts w:hAnsi="宋体"/>
        </w:rPr>
        <w:fldChar w:fldCharType="begin"/>
      </w:r>
      <w:r>
        <w:rPr>
          <w:rFonts w:hAnsi="宋体"/>
        </w:rPr>
        <w:instrText xml:space="preserve"> </w:instrText>
      </w:r>
      <w:r>
        <w:rPr>
          <w:rFonts w:hint="eastAsia" w:hAnsi="宋体"/>
        </w:rPr>
        <w:instrText xml:space="preserve">TOC \o "1-1" \h \z \u</w:instrText>
      </w:r>
      <w:r>
        <w:rPr>
          <w:rFonts w:hAnsi="宋体"/>
        </w:rPr>
        <w:instrText xml:space="preserve"> </w:instrText>
      </w:r>
      <w:r>
        <w:rPr>
          <w:rFonts w:hAnsi="宋体"/>
        </w:rPr>
        <w:fldChar w:fldCharType="separate"/>
      </w:r>
    </w:p>
    <w:p w14:paraId="101A248B">
      <w:pPr>
        <w:pStyle w:val="4"/>
        <w:spacing w:before="78" w:after="78"/>
        <w:rPr>
          <w:rFonts w:ascii="Calibri" w:hAnsi="Calibri"/>
          <w:szCs w:val="22"/>
        </w:rPr>
      </w:pPr>
      <w:r>
        <w:fldChar w:fldCharType="begin"/>
      </w:r>
      <w:r>
        <w:instrText xml:space="preserve"> HYPERLINK \l "_Toc513731110" </w:instrText>
      </w:r>
      <w:r>
        <w:fldChar w:fldCharType="separate"/>
      </w:r>
      <w:r>
        <w:rPr>
          <w:rStyle w:val="10"/>
          <w:rFonts w:hAnsi="宋体"/>
        </w:rPr>
        <w:t xml:space="preserve">1 </w:t>
      </w:r>
      <w:r>
        <w:rPr>
          <w:rStyle w:val="10"/>
          <w:rFonts w:hint="eastAsia" w:hAnsi="宋体"/>
        </w:rPr>
        <w:t>编制背景</w:t>
      </w:r>
      <w:r>
        <w:tab/>
      </w:r>
      <w:r>
        <w:fldChar w:fldCharType="begin"/>
      </w:r>
      <w:r>
        <w:instrText xml:space="preserve"> PAGEREF _Toc513731110 \h </w:instrText>
      </w:r>
      <w:r>
        <w:fldChar w:fldCharType="separate"/>
      </w:r>
      <w:r>
        <w:t>1</w:t>
      </w:r>
      <w:r>
        <w:fldChar w:fldCharType="end"/>
      </w:r>
      <w:r>
        <w:fldChar w:fldCharType="end"/>
      </w:r>
    </w:p>
    <w:p w14:paraId="16BAB7A8">
      <w:pPr>
        <w:pStyle w:val="4"/>
        <w:spacing w:before="78" w:after="78"/>
        <w:rPr>
          <w:rFonts w:ascii="Calibri" w:hAnsi="Calibri"/>
          <w:szCs w:val="22"/>
        </w:rPr>
      </w:pPr>
      <w:r>
        <w:fldChar w:fldCharType="begin"/>
      </w:r>
      <w:r>
        <w:instrText xml:space="preserve"> HYPERLINK \l "_Toc513731111" </w:instrText>
      </w:r>
      <w:r>
        <w:fldChar w:fldCharType="separate"/>
      </w:r>
      <w:r>
        <w:rPr>
          <w:rStyle w:val="10"/>
          <w:rFonts w:hAnsi="宋体"/>
        </w:rPr>
        <w:t xml:space="preserve">2 </w:t>
      </w:r>
      <w:r>
        <w:rPr>
          <w:rStyle w:val="10"/>
          <w:rFonts w:hint="eastAsia" w:hAnsi="宋体"/>
        </w:rPr>
        <w:t>编制主要原则</w:t>
      </w:r>
      <w:r>
        <w:tab/>
      </w:r>
      <w:r>
        <w:fldChar w:fldCharType="begin"/>
      </w:r>
      <w:r>
        <w:instrText xml:space="preserve"> PAGEREF _Toc513731111 \h </w:instrText>
      </w:r>
      <w:r>
        <w:fldChar w:fldCharType="separate"/>
      </w:r>
      <w:r>
        <w:t>1</w:t>
      </w:r>
      <w:r>
        <w:fldChar w:fldCharType="end"/>
      </w:r>
      <w:r>
        <w:fldChar w:fldCharType="end"/>
      </w:r>
    </w:p>
    <w:p w14:paraId="6BDDF187">
      <w:pPr>
        <w:pStyle w:val="4"/>
        <w:spacing w:before="78" w:after="78"/>
        <w:rPr>
          <w:rFonts w:ascii="Calibri" w:hAnsi="Calibri"/>
          <w:szCs w:val="22"/>
        </w:rPr>
      </w:pPr>
      <w:r>
        <w:fldChar w:fldCharType="begin"/>
      </w:r>
      <w:r>
        <w:instrText xml:space="preserve"> HYPERLINK \l "_Toc513731112" </w:instrText>
      </w:r>
      <w:r>
        <w:fldChar w:fldCharType="separate"/>
      </w:r>
      <w:r>
        <w:rPr>
          <w:rStyle w:val="10"/>
          <w:rFonts w:hAnsi="宋体"/>
        </w:rPr>
        <w:t xml:space="preserve">3 </w:t>
      </w:r>
      <w:r>
        <w:rPr>
          <w:rStyle w:val="10"/>
          <w:rFonts w:hint="eastAsia" w:hAnsi="宋体"/>
        </w:rPr>
        <w:t>主要工作过程</w:t>
      </w:r>
      <w:r>
        <w:tab/>
      </w:r>
      <w:r>
        <w:fldChar w:fldCharType="begin"/>
      </w:r>
      <w:r>
        <w:instrText xml:space="preserve"> PAGEREF _Toc513731112 \h </w:instrText>
      </w:r>
      <w:r>
        <w:fldChar w:fldCharType="separate"/>
      </w:r>
      <w:r>
        <w:t>2</w:t>
      </w:r>
      <w:r>
        <w:fldChar w:fldCharType="end"/>
      </w:r>
      <w:r>
        <w:fldChar w:fldCharType="end"/>
      </w:r>
    </w:p>
    <w:p w14:paraId="1D03BDB5">
      <w:pPr>
        <w:pStyle w:val="4"/>
        <w:spacing w:before="78" w:after="78"/>
        <w:rPr>
          <w:rFonts w:ascii="Calibri" w:hAnsi="Calibri"/>
          <w:szCs w:val="22"/>
        </w:rPr>
      </w:pPr>
      <w:r>
        <w:fldChar w:fldCharType="begin"/>
      </w:r>
      <w:r>
        <w:instrText xml:space="preserve"> HYPERLINK \l "_Toc513731113" </w:instrText>
      </w:r>
      <w:r>
        <w:fldChar w:fldCharType="separate"/>
      </w:r>
      <w:r>
        <w:rPr>
          <w:rStyle w:val="10"/>
          <w:rFonts w:hAnsi="宋体"/>
        </w:rPr>
        <w:t>4</w:t>
      </w:r>
      <w:r>
        <w:rPr>
          <w:rStyle w:val="10"/>
        </w:rPr>
        <w:t xml:space="preserve"> </w:t>
      </w:r>
      <w:r>
        <w:rPr>
          <w:rStyle w:val="10"/>
          <w:rFonts w:hint="eastAsia"/>
        </w:rPr>
        <w:t>标准结构和内容说明</w:t>
      </w:r>
      <w:r>
        <w:tab/>
      </w:r>
      <w:r>
        <w:fldChar w:fldCharType="begin"/>
      </w:r>
      <w:r>
        <w:instrText xml:space="preserve"> PAGEREF _Toc513731113 \h </w:instrText>
      </w:r>
      <w:r>
        <w:fldChar w:fldCharType="separate"/>
      </w:r>
      <w:r>
        <w:t>2</w:t>
      </w:r>
      <w:r>
        <w:fldChar w:fldCharType="end"/>
      </w:r>
      <w:r>
        <w:fldChar w:fldCharType="end"/>
      </w:r>
    </w:p>
    <w:p w14:paraId="3036427D">
      <w:pPr>
        <w:pStyle w:val="4"/>
        <w:spacing w:before="78" w:after="78"/>
        <w:rPr>
          <w:rFonts w:ascii="Calibri" w:hAnsi="Calibri"/>
          <w:szCs w:val="22"/>
        </w:rPr>
      </w:pPr>
      <w:r>
        <w:fldChar w:fldCharType="begin"/>
      </w:r>
      <w:r>
        <w:instrText xml:space="preserve"> HYPERLINK \l "_Toc513731114" </w:instrText>
      </w:r>
      <w:r>
        <w:fldChar w:fldCharType="separate"/>
      </w:r>
      <w:r>
        <w:rPr>
          <w:rStyle w:val="10"/>
          <w:rFonts w:hAnsi="宋体"/>
        </w:rPr>
        <w:t>5</w:t>
      </w:r>
      <w:r>
        <w:rPr>
          <w:rStyle w:val="10"/>
          <w:rFonts w:hint="eastAsia"/>
        </w:rPr>
        <w:t>相关标准对比说明</w:t>
      </w:r>
      <w:r>
        <w:rPr>
          <w:rStyle w:val="10"/>
        </w:rPr>
        <w:tab/>
      </w:r>
      <w:r>
        <w:fldChar w:fldCharType="begin"/>
      </w:r>
      <w:r>
        <w:rPr>
          <w:rStyle w:val="10"/>
        </w:rPr>
        <w:instrText xml:space="preserve"> PAGEREF _Toc513731114 \h </w:instrText>
      </w:r>
      <w:r>
        <w:fldChar w:fldCharType="separate"/>
      </w:r>
      <w:r>
        <w:rPr>
          <w:rStyle w:val="10"/>
        </w:rPr>
        <w:t>3</w:t>
      </w:r>
      <w:r>
        <w:fldChar w:fldCharType="end"/>
      </w:r>
      <w:r>
        <w:fldChar w:fldCharType="end"/>
      </w:r>
    </w:p>
    <w:p w14:paraId="715B8767">
      <w:pPr>
        <w:pStyle w:val="4"/>
        <w:spacing w:before="78" w:after="78"/>
        <w:rPr>
          <w:rFonts w:ascii="Calibri" w:hAnsi="Calibri"/>
          <w:szCs w:val="22"/>
        </w:rPr>
      </w:pPr>
      <w:r>
        <w:fldChar w:fldCharType="begin"/>
      </w:r>
      <w:r>
        <w:instrText xml:space="preserve"> HYPERLINK \l "_Toc513731115" </w:instrText>
      </w:r>
      <w:r>
        <w:fldChar w:fldCharType="separate"/>
      </w:r>
      <w:r>
        <w:rPr>
          <w:rStyle w:val="10"/>
          <w:rFonts w:hAnsi="宋体"/>
        </w:rPr>
        <w:t>6</w:t>
      </w:r>
      <w:r>
        <w:rPr>
          <w:rStyle w:val="10"/>
          <w:rFonts w:hint="eastAsia" w:hAnsi="宋体"/>
        </w:rPr>
        <w:t>标准实施措施说明</w:t>
      </w:r>
      <w:r>
        <w:tab/>
      </w:r>
      <w:r>
        <w:fldChar w:fldCharType="begin"/>
      </w:r>
      <w:r>
        <w:instrText xml:space="preserve"> PAGEREF _Toc513731115 \h </w:instrText>
      </w:r>
      <w:r>
        <w:fldChar w:fldCharType="separate"/>
      </w:r>
      <w:r>
        <w:t>3</w:t>
      </w:r>
      <w:r>
        <w:fldChar w:fldCharType="end"/>
      </w:r>
      <w:r>
        <w:fldChar w:fldCharType="end"/>
      </w:r>
    </w:p>
    <w:p w14:paraId="0A8A8810">
      <w:pPr>
        <w:pStyle w:val="11"/>
        <w:rPr>
          <w:rFonts w:hAnsi="宋体"/>
          <w:szCs w:val="21"/>
        </w:rPr>
      </w:pPr>
      <w:r>
        <w:rPr>
          <w:rFonts w:hAnsi="宋体"/>
          <w:szCs w:val="21"/>
        </w:rPr>
        <w:fldChar w:fldCharType="end"/>
      </w:r>
    </w:p>
    <w:p w14:paraId="54D7AD36">
      <w:pPr>
        <w:pStyle w:val="11"/>
        <w:rPr>
          <w:rFonts w:hAnsi="宋体"/>
          <w:szCs w:val="21"/>
        </w:rPr>
      </w:pPr>
    </w:p>
    <w:p w14:paraId="7E52B155">
      <w:pPr>
        <w:pStyle w:val="11"/>
        <w:rPr>
          <w:rFonts w:hAnsi="宋体"/>
          <w:szCs w:val="21"/>
        </w:rPr>
      </w:pPr>
    </w:p>
    <w:p w14:paraId="61E08031">
      <w:pPr>
        <w:pStyle w:val="11"/>
        <w:rPr>
          <w:rFonts w:hAnsi="宋体"/>
          <w:szCs w:val="21"/>
        </w:rPr>
      </w:pPr>
    </w:p>
    <w:p w14:paraId="1378C039">
      <w:pPr>
        <w:pStyle w:val="11"/>
        <w:rPr>
          <w:rFonts w:hAnsi="宋体"/>
          <w:szCs w:val="21"/>
        </w:rPr>
        <w:sectPr>
          <w:headerReference r:id="rId5" w:type="default"/>
          <w:footerReference r:id="rId6" w:type="default"/>
          <w:pgSz w:w="11906" w:h="16838"/>
          <w:pgMar w:top="567" w:right="1134" w:bottom="1134" w:left="1417" w:header="1418" w:footer="1134" w:gutter="0"/>
          <w:pgNumType w:fmt="decimal" w:start="1"/>
          <w:cols w:space="720" w:num="1"/>
          <w:formProt w:val="0"/>
          <w:docGrid w:type="lines" w:linePitch="312" w:charSpace="0"/>
        </w:sectPr>
      </w:pPr>
    </w:p>
    <w:p w14:paraId="3F24091F">
      <w:pPr>
        <w:pStyle w:val="15"/>
        <w:spacing w:before="312" w:after="312"/>
        <w:rPr>
          <w:rFonts w:ascii="宋体" w:hAnsi="宋体"/>
          <w:szCs w:val="21"/>
        </w:rPr>
      </w:pPr>
      <w:bookmarkStart w:id="26" w:name="_Toc513731110"/>
      <w:r>
        <w:rPr>
          <w:rFonts w:hint="eastAsia" w:ascii="宋体" w:hAnsi="宋体"/>
          <w:szCs w:val="21"/>
        </w:rPr>
        <w:t>1 编制背景</w:t>
      </w:r>
      <w:bookmarkEnd w:id="26"/>
    </w:p>
    <w:p w14:paraId="44F71017">
      <w:pPr>
        <w:pStyle w:val="11"/>
        <w:rPr>
          <w:rFonts w:hint="eastAsia"/>
          <w:highlight w:val="none"/>
        </w:rPr>
      </w:pPr>
      <w:r>
        <w:rPr>
          <w:rFonts w:hint="eastAsia" w:ascii="Calibri" w:hAnsi="Calibri" w:eastAsia="宋体" w:cs="Times New Roman"/>
          <w:kern w:val="2"/>
          <w:sz w:val="21"/>
          <w:szCs w:val="22"/>
          <w:highlight w:val="none"/>
          <w:lang w:val="en-US" w:eastAsia="zh-CN" w:bidi="ar"/>
          <w:woUserID w:val="1"/>
        </w:rPr>
        <w:t>本标准是根据《中国电机工程学会关于印发“中国电机工程学会</w:t>
      </w:r>
      <w:r>
        <w:rPr>
          <w:rFonts w:hint="default" w:ascii="Calibri" w:hAnsi="Calibri" w:eastAsia="宋体" w:cs="Times New Roman"/>
          <w:kern w:val="2"/>
          <w:sz w:val="21"/>
          <w:szCs w:val="22"/>
          <w:highlight w:val="none"/>
          <w:lang w:val="en-US" w:eastAsia="zh-CN" w:bidi="ar"/>
          <w:woUserID w:val="1"/>
        </w:rPr>
        <w:t>2025</w:t>
      </w:r>
      <w:r>
        <w:rPr>
          <w:rFonts w:hint="eastAsia" w:ascii="Calibri" w:hAnsi="Calibri" w:eastAsia="宋体" w:cs="Times New Roman"/>
          <w:kern w:val="2"/>
          <w:sz w:val="21"/>
          <w:szCs w:val="22"/>
          <w:highlight w:val="none"/>
          <w:lang w:val="en-US" w:eastAsia="zh-CN" w:bidi="ar"/>
          <w:woUserID w:val="1"/>
        </w:rPr>
        <w:t>年标准计划（第二批）”的通知》（电机咨〔</w:t>
      </w:r>
      <w:r>
        <w:rPr>
          <w:rFonts w:hint="default" w:ascii="Calibri" w:hAnsi="Calibri" w:eastAsia="宋体" w:cs="Times New Roman"/>
          <w:kern w:val="2"/>
          <w:sz w:val="21"/>
          <w:szCs w:val="22"/>
          <w:highlight w:val="none"/>
          <w:lang w:val="en-US" w:eastAsia="zh-CN" w:bidi="ar"/>
          <w:woUserID w:val="1"/>
        </w:rPr>
        <w:t>2025</w:t>
      </w:r>
      <w:r>
        <w:rPr>
          <w:rFonts w:hint="eastAsia" w:ascii="Calibri" w:hAnsi="Calibri" w:eastAsia="宋体" w:cs="Times New Roman"/>
          <w:kern w:val="2"/>
          <w:sz w:val="21"/>
          <w:szCs w:val="22"/>
          <w:highlight w:val="none"/>
          <w:lang w:val="en-US" w:eastAsia="zh-CN" w:bidi="ar"/>
          <w:woUserID w:val="1"/>
        </w:rPr>
        <w:t>〕</w:t>
      </w:r>
      <w:r>
        <w:rPr>
          <w:rFonts w:hint="default" w:ascii="Calibri" w:hAnsi="Calibri" w:eastAsia="宋体" w:cs="Times New Roman"/>
          <w:kern w:val="2"/>
          <w:sz w:val="21"/>
          <w:szCs w:val="22"/>
          <w:highlight w:val="none"/>
          <w:lang w:val="en-US" w:eastAsia="zh-CN" w:bidi="ar"/>
          <w:woUserID w:val="1"/>
        </w:rPr>
        <w:t xml:space="preserve">738 </w:t>
      </w:r>
      <w:r>
        <w:rPr>
          <w:rFonts w:hint="eastAsia" w:ascii="Calibri" w:hAnsi="Calibri" w:eastAsia="宋体" w:cs="Times New Roman"/>
          <w:kern w:val="2"/>
          <w:sz w:val="21"/>
          <w:szCs w:val="22"/>
          <w:highlight w:val="none"/>
          <w:lang w:val="en-US" w:eastAsia="zh-CN" w:bidi="ar"/>
          <w:woUserID w:val="1"/>
        </w:rPr>
        <w:t>号）下达的制定任务，项目序号</w:t>
      </w:r>
      <w:r>
        <w:rPr>
          <w:rFonts w:hint="default" w:ascii="Calibri" w:hAnsi="Calibri" w:eastAsia="宋体" w:cs="Times New Roman"/>
          <w:kern w:val="2"/>
          <w:sz w:val="21"/>
          <w:szCs w:val="22"/>
          <w:highlight w:val="none"/>
          <w:lang w:val="en-US" w:eastAsia="zh-CN" w:bidi="ar"/>
          <w:woUserID w:val="1"/>
        </w:rPr>
        <w:t>26</w:t>
      </w:r>
      <w:r>
        <w:rPr>
          <w:rFonts w:hint="eastAsia" w:ascii="Calibri" w:hAnsi="Calibri" w:eastAsia="宋体" w:cs="Times New Roman"/>
          <w:kern w:val="2"/>
          <w:sz w:val="21"/>
          <w:szCs w:val="22"/>
          <w:highlight w:val="none"/>
          <w:lang w:val="en-US" w:eastAsia="zh-CN" w:bidi="ar"/>
          <w:woUserID w:val="1"/>
        </w:rPr>
        <w:t>，对“电力电缆隧道工程建设预算项目划分导则”进行制定的。由广东电网有限责任公司广州供电局负责主编，电力规划总院有限公司、广州电力设计院有限公司参编。</w:t>
      </w:r>
    </w:p>
    <w:p w14:paraId="3A1449BC">
      <w:pPr>
        <w:pStyle w:val="11"/>
        <w:rPr>
          <w:rFonts w:hint="eastAsia"/>
        </w:rPr>
      </w:pPr>
      <w:r>
        <w:rPr>
          <w:rFonts w:hint="eastAsia"/>
          <w:highlight w:val="none"/>
        </w:rPr>
        <w:t>目前行业内尚没有电力电缆隧道工程的建设预算项目划分标准，《电网工程建设预算编制与计算规定》中是整个电缆输电线路工程的通用划分，电缆隧道仅为其中一个条目，未对电力电缆隧道工程进一步划分细项。电力电缆隧道工程编制投资估算、概（预）算时均参考等各地市政、轨道交通等其他行业的划分，与电力电缆隧道工程的典型施工工艺存在不适用、不适应的情况，导致电力电缆隧道工程在造价管控中争议较多。本标准拟填补行业标准空白，统一电力电缆隧道工程的项目划分依据，提升造价管理的规范性与科学性，推动电力电缆隧道工程建设预算标准化、规范化。</w:t>
      </w:r>
      <w:r>
        <w:rPr>
          <w:rFonts w:hint="eastAsia"/>
        </w:rPr>
        <w:br w:type="textWrapping"/>
      </w:r>
    </w:p>
    <w:p w14:paraId="1EC1D036">
      <w:pPr>
        <w:pStyle w:val="15"/>
        <w:spacing w:before="312" w:after="312"/>
        <w:rPr>
          <w:rFonts w:ascii="宋体" w:hAnsi="宋体"/>
          <w:szCs w:val="21"/>
        </w:rPr>
      </w:pPr>
      <w:bookmarkStart w:id="27" w:name="_Toc513731111"/>
      <w:r>
        <w:rPr>
          <w:rFonts w:hint="eastAsia" w:ascii="宋体" w:hAnsi="宋体"/>
          <w:szCs w:val="21"/>
        </w:rPr>
        <w:t>2 编制主要原则</w:t>
      </w:r>
      <w:bookmarkEnd w:id="27"/>
    </w:p>
    <w:p w14:paraId="063CD37B">
      <w:pPr>
        <w:pStyle w:val="16"/>
        <w:numPr>
          <w:ilvl w:val="0"/>
          <w:numId w:val="0"/>
        </w:numPr>
        <w:spacing w:before="156" w:beforeLines="50" w:after="156" w:afterLines="50"/>
      </w:pPr>
      <w:r>
        <w:rPr>
          <w:rFonts w:hint="eastAsia"/>
        </w:rPr>
        <w:t>2.1 统一性与专业性相结合</w:t>
      </w:r>
    </w:p>
    <w:p w14:paraId="5C4CEE06">
      <w:pPr>
        <w:pStyle w:val="16"/>
        <w:numPr>
          <w:ilvl w:val="0"/>
          <w:numId w:val="0"/>
        </w:numPr>
        <w:spacing w:before="156" w:beforeLines="50" w:after="156" w:afterLines="50"/>
      </w:pPr>
      <w:r>
        <w:rPr>
          <w:rFonts w:hint="eastAsia"/>
        </w:rPr>
        <w:t>2.1.1 填补行业空白，统一划分依据</w:t>
      </w:r>
    </w:p>
    <w:p w14:paraId="7D6BE848">
      <w:pPr>
        <w:pStyle w:val="11"/>
      </w:pPr>
      <w:r>
        <w:rPr>
          <w:rFonts w:hint="eastAsia"/>
        </w:rPr>
        <w:t>本标准作为电力行业内首个专门针对电力电缆隧道工程建设预算项目划分的指导性文件，首要原则是解决当前行业标准缺失、各方参照依据不一的现状。通过制定统一的项目划分规则，规范电力电缆隧道工程在投资估算、概预算编制等阶段的计价口径，为全行业提供一套标准化的作业基础，从源头上减少因项目划分不一致而引发的造价争议。</w:t>
      </w:r>
    </w:p>
    <w:p w14:paraId="1078F778">
      <w:pPr>
        <w:pStyle w:val="16"/>
        <w:numPr>
          <w:ilvl w:val="0"/>
          <w:numId w:val="0"/>
        </w:numPr>
        <w:spacing w:before="156" w:beforeLines="50" w:after="156" w:afterLines="50"/>
      </w:pPr>
      <w:r>
        <w:rPr>
          <w:rFonts w:hint="eastAsia"/>
        </w:rPr>
        <w:t>2.1.2 突出电力行业特点，体现专业需求</w:t>
      </w:r>
    </w:p>
    <w:p w14:paraId="1094EC13">
      <w:pPr>
        <w:pStyle w:val="11"/>
      </w:pPr>
      <w:r>
        <w:rPr>
          <w:rFonts w:hint="eastAsia"/>
        </w:rPr>
        <w:t>在借鉴市政、轨道交通等相关行业成熟经验的基础上，本标准充分考虑了电力电缆隧道在功能、设计、施工及运维等方面的特殊要求。例如，项目划分体系不仅涵盖了隧道本体的土建工程，还针对电力系统</w:t>
      </w:r>
      <w:r>
        <w:rPr>
          <w:rFonts w:hint="eastAsia"/>
          <w:lang w:val="en-US" w:eastAsia="zh-CN"/>
        </w:rPr>
        <w:t>专用</w:t>
      </w:r>
      <w:r>
        <w:rPr>
          <w:rFonts w:hint="eastAsia"/>
        </w:rPr>
        <w:t>的附属设施，如智能巡检机器人系统、环境与设备监控系统、结构健康监测系统等，设置了专门的划分项目，确保预算编制能够全面、准确地反映电力专业需求。</w:t>
      </w:r>
    </w:p>
    <w:p w14:paraId="178C8848">
      <w:pPr>
        <w:pStyle w:val="16"/>
        <w:numPr>
          <w:ilvl w:val="0"/>
          <w:numId w:val="0"/>
        </w:numPr>
        <w:spacing w:before="156" w:beforeLines="50" w:after="156" w:afterLines="50"/>
        <w:rPr>
          <w:rFonts w:hint="eastAsia"/>
        </w:rPr>
      </w:pPr>
      <w:r>
        <w:rPr>
          <w:rFonts w:hint="eastAsia"/>
        </w:rPr>
        <w:t>2.2 系统性与实用性相结合</w:t>
      </w:r>
    </w:p>
    <w:p w14:paraId="085B2E22">
      <w:pPr>
        <w:pStyle w:val="16"/>
        <w:numPr>
          <w:ilvl w:val="0"/>
          <w:numId w:val="0"/>
        </w:numPr>
        <w:spacing w:before="156" w:beforeLines="50" w:after="156" w:afterLines="50"/>
      </w:pPr>
      <w:r>
        <w:rPr>
          <w:rFonts w:hint="eastAsia"/>
        </w:rPr>
        <w:t>2.</w:t>
      </w:r>
      <w:r>
        <w:rPr>
          <w:rFonts w:hint="eastAsia"/>
          <w:lang w:val="en-US" w:eastAsia="zh-CN"/>
        </w:rPr>
        <w:t>2</w:t>
      </w:r>
      <w:r>
        <w:rPr>
          <w:rFonts w:hint="eastAsia"/>
        </w:rPr>
        <w:t>.1 系统构建项目体系，全面覆盖施工工艺</w:t>
      </w:r>
    </w:p>
    <w:p w14:paraId="631CB5BE">
      <w:pPr>
        <w:pStyle w:val="11"/>
        <w:rPr>
          <w:rFonts w:hint="eastAsia"/>
        </w:rPr>
      </w:pPr>
      <w:r>
        <w:rPr>
          <w:rFonts w:hint="eastAsia"/>
        </w:rPr>
        <w:t>本标准致力于构建一个系统、完整的项目划分框架。该框架全面覆盖了当前电力电缆隧道工程中应用的各类主流施工工法，包括工作井、明挖法、顶管法、盾构法、矿山法等，并对每种工法下的主要工序进行了结构化拆解。通过建立“工艺-工序-项目”的多层级映射体系，确保了项目划分的全面性和逻辑性，能够适应不同地质条件和设计方案下的复杂工程场景。</w:t>
      </w:r>
    </w:p>
    <w:p w14:paraId="2DFF5930">
      <w:pPr>
        <w:pStyle w:val="16"/>
        <w:numPr>
          <w:ilvl w:val="0"/>
          <w:numId w:val="0"/>
        </w:numPr>
        <w:spacing w:before="156" w:beforeLines="50" w:after="156" w:afterLines="50"/>
      </w:pPr>
      <w:r>
        <w:rPr>
          <w:rFonts w:hint="eastAsia"/>
        </w:rPr>
        <w:t>2.</w:t>
      </w:r>
      <w:r>
        <w:rPr>
          <w:rFonts w:hint="eastAsia"/>
          <w:lang w:val="en-US" w:eastAsia="zh-CN"/>
        </w:rPr>
        <w:t>2</w:t>
      </w:r>
      <w:r>
        <w:rPr>
          <w:rFonts w:hint="eastAsia"/>
        </w:rPr>
        <w:t>.</w:t>
      </w:r>
      <w:r>
        <w:rPr>
          <w:rFonts w:hint="eastAsia"/>
          <w:lang w:val="en-US" w:eastAsia="zh-CN"/>
        </w:rPr>
        <w:t>2</w:t>
      </w:r>
      <w:r>
        <w:rPr>
          <w:rFonts w:hint="eastAsia"/>
        </w:rPr>
        <w:t xml:space="preserve"> 结构清晰规范，易于执行操作</w:t>
      </w:r>
    </w:p>
    <w:p w14:paraId="01A0746C">
      <w:pPr>
        <w:pStyle w:val="11"/>
        <w:rPr>
          <w:rFonts w:hint="eastAsia"/>
        </w:rPr>
      </w:pPr>
      <w:r>
        <w:rPr>
          <w:rFonts w:hint="eastAsia"/>
        </w:rPr>
        <w:t>为保证标准在实际工作中的可操作性，项目划分采用了“单项工程—单位工程—分部工程”三级分级管控模式。各级次划分清晰、层次分明，并对项目名称的规范填写提出了明确要求，禁止任意简化或篡改。附录中以表格形式提供了详细的《电力电缆隧道工程建设预算项目划分表》，直观展示了各项目的划分内容、范围说明及单位，便于使用者快速查询和应用。</w:t>
      </w:r>
      <w:r>
        <w:rPr>
          <w:rFonts w:hint="eastAsia"/>
        </w:rPr>
        <w:br w:type="textWrapping"/>
      </w:r>
    </w:p>
    <w:p w14:paraId="304C27F6">
      <w:pPr>
        <w:pStyle w:val="15"/>
        <w:spacing w:before="312" w:after="312"/>
        <w:rPr>
          <w:rFonts w:hint="eastAsia" w:ascii="宋体" w:hAnsi="宋体" w:eastAsia="黑体"/>
          <w:szCs w:val="21"/>
          <w:lang w:eastAsia="zh"/>
          <w:woUserID w:val="1"/>
        </w:rPr>
      </w:pPr>
      <w:bookmarkStart w:id="28" w:name="_Toc513731112"/>
      <w:r>
        <w:rPr>
          <w:rFonts w:hint="eastAsia" w:ascii="宋体" w:hAnsi="宋体"/>
          <w:szCs w:val="21"/>
        </w:rPr>
        <w:t>3 主要工作过程</w:t>
      </w:r>
      <w:bookmarkEnd w:id="28"/>
    </w:p>
    <w:p w14:paraId="6D46A9DC">
      <w:pPr>
        <w:pStyle w:val="11"/>
        <w:rPr>
          <w:rFonts w:hint="eastAsia"/>
          <w:strike w:val="0"/>
          <w:dstrike w:val="0"/>
          <w:highlight w:val="none"/>
          <w:lang w:val="en-US" w:eastAsia="zh-CN"/>
        </w:rPr>
      </w:pPr>
      <w:r>
        <w:rPr>
          <w:rFonts w:hint="eastAsia"/>
          <w:strike w:val="0"/>
          <w:dstrike w:val="0"/>
          <w:highlight w:val="none"/>
          <w:lang w:val="en-US" w:eastAsia="zh-CN"/>
        </w:rPr>
        <w:t>本标准的编制工作严格遵循中国电机工程学会的标准化工作程序，历经前期研究、草案编制等多个阶段，具体过程如下：</w:t>
      </w:r>
    </w:p>
    <w:p w14:paraId="430555C6">
      <w:pPr>
        <w:pStyle w:val="11"/>
        <w:numPr>
          <w:ilvl w:val="0"/>
          <w:numId w:val="3"/>
        </w:numPr>
        <w:ind w:left="0" w:leftChars="0" w:firstLine="420" w:firstLineChars="0"/>
        <w:rPr>
          <w:rFonts w:hint="eastAsia"/>
          <w:strike w:val="0"/>
          <w:dstrike w:val="0"/>
          <w:highlight w:val="none"/>
          <w:lang w:val="en-US" w:eastAsia="zh-CN"/>
        </w:rPr>
      </w:pPr>
      <w:r>
        <w:rPr>
          <w:rFonts w:hint="eastAsia"/>
          <w:strike w:val="0"/>
          <w:dstrike w:val="0"/>
          <w:highlight w:val="none"/>
          <w:lang w:val="en-US" w:eastAsia="zh-CN"/>
        </w:rPr>
        <w:t>前期准备阶段：由广东电网有限责任公司广州供电局牵头，联合电力规划总院有限公司、广州电力设计院有限公司等单位，于2025年6月正式成立了标准编制工作组，明确了工作目标、成员分工及总体计划，为标准的顺利编制奠定了组织基础。</w:t>
      </w:r>
    </w:p>
    <w:p w14:paraId="227F192F">
      <w:pPr>
        <w:pStyle w:val="11"/>
        <w:numPr>
          <w:ilvl w:val="0"/>
          <w:numId w:val="3"/>
        </w:numPr>
        <w:ind w:left="0" w:leftChars="0" w:firstLine="420" w:firstLineChars="0"/>
        <w:rPr>
          <w:rFonts w:hint="default"/>
          <w:strike w:val="0"/>
          <w:dstrike w:val="0"/>
          <w:highlight w:val="none"/>
          <w:lang w:val="en-US" w:eastAsia="zh-CN"/>
        </w:rPr>
      </w:pPr>
      <w:r>
        <w:rPr>
          <w:rFonts w:hint="default"/>
          <w:strike w:val="0"/>
          <w:dstrike w:val="0"/>
          <w:highlight w:val="none"/>
          <w:lang w:val="en-US" w:eastAsia="zh-CN"/>
        </w:rPr>
        <w:t>调研与分析阶段</w:t>
      </w:r>
      <w:r>
        <w:rPr>
          <w:rFonts w:hint="eastAsia"/>
          <w:strike w:val="0"/>
          <w:dstrike w:val="0"/>
          <w:highlight w:val="none"/>
          <w:lang w:val="en-US" w:eastAsia="zh-CN"/>
        </w:rPr>
        <w:t>：</w:t>
      </w:r>
      <w:r>
        <w:rPr>
          <w:rFonts w:hint="default"/>
          <w:strike w:val="0"/>
          <w:dstrike w:val="0"/>
          <w:highlight w:val="none"/>
          <w:lang w:val="en-US" w:eastAsia="zh-CN"/>
        </w:rPr>
        <w:t>为深入掌握电力电缆隧道工程造价管理的现状与痛点，工作组于</w:t>
      </w:r>
      <w:r>
        <w:rPr>
          <w:rFonts w:hint="eastAsia"/>
          <w:strike w:val="0"/>
          <w:dstrike w:val="0"/>
          <w:highlight w:val="none"/>
          <w:lang w:val="en-US" w:eastAsia="zh-CN"/>
        </w:rPr>
        <w:t>2025</w:t>
      </w:r>
      <w:r>
        <w:rPr>
          <w:rFonts w:hint="default"/>
          <w:strike w:val="0"/>
          <w:dstrike w:val="0"/>
          <w:highlight w:val="none"/>
          <w:lang w:val="en-US" w:eastAsia="zh-CN"/>
        </w:rPr>
        <w:t>年</w:t>
      </w:r>
      <w:r>
        <w:rPr>
          <w:rFonts w:hint="eastAsia"/>
          <w:strike w:val="0"/>
          <w:dstrike w:val="0"/>
          <w:highlight w:val="none"/>
          <w:lang w:val="en-US" w:eastAsia="zh-CN"/>
        </w:rPr>
        <w:t>11</w:t>
      </w:r>
      <w:r>
        <w:rPr>
          <w:rFonts w:hint="default"/>
          <w:strike w:val="0"/>
          <w:dstrike w:val="0"/>
          <w:highlight w:val="none"/>
          <w:lang w:val="en-US" w:eastAsia="zh-CN"/>
        </w:rPr>
        <w:t>月先后赴中国能源建设集团湖南省电力设计院有限公司、中国电建集团福建省电力勘测设计院有限公司等单位开展了专题调研。通过座谈交流与资料分析，系统梳理了当前电力电缆隧道工程技经业务的开展情况，重点剖析了市政、轨道交通等行业定额在电力专业工程中的适用性、差异性及存在问题，为标准编制收集了翔实的一手资料。</w:t>
      </w:r>
    </w:p>
    <w:p w14:paraId="0305FC68">
      <w:pPr>
        <w:pStyle w:val="11"/>
        <w:numPr>
          <w:ilvl w:val="0"/>
          <w:numId w:val="3"/>
        </w:numPr>
        <w:ind w:left="0" w:leftChars="0" w:firstLine="420" w:firstLineChars="0"/>
        <w:rPr>
          <w:rFonts w:hint="default"/>
          <w:strike w:val="0"/>
          <w:dstrike w:val="0"/>
          <w:highlight w:val="none"/>
          <w:lang w:val="en-US" w:eastAsia="zh-CN"/>
        </w:rPr>
      </w:pPr>
      <w:r>
        <w:rPr>
          <w:rFonts w:hint="default"/>
          <w:strike w:val="0"/>
          <w:dstrike w:val="0"/>
          <w:highlight w:val="none"/>
          <w:lang w:val="en-US" w:eastAsia="zh-CN"/>
        </w:rPr>
        <w:t>草案起草阶段</w:t>
      </w:r>
      <w:r>
        <w:rPr>
          <w:rFonts w:hint="eastAsia"/>
          <w:strike w:val="0"/>
          <w:dstrike w:val="0"/>
          <w:highlight w:val="none"/>
          <w:lang w:val="en-US" w:eastAsia="zh-CN"/>
        </w:rPr>
        <w:t>：充分调研分析后，工作组全面进入标准草案的实质性起草工作。结合前期研究成果及对多个典型工程案例的实证分析，工作组系统构建了项目划分的总体框架和层级结构，对各类施工工法下的项目构成进行了详细梳理与界定，最终于2025年11月完成了《电力电缆隧道工程建设预算项目划分导则》（草案初稿）的编写。</w:t>
      </w:r>
    </w:p>
    <w:p w14:paraId="1010882E">
      <w:pPr>
        <w:pStyle w:val="11"/>
        <w:numPr>
          <w:ilvl w:val="0"/>
          <w:numId w:val="3"/>
        </w:numPr>
        <w:ind w:left="0" w:leftChars="0" w:firstLine="420" w:firstLineChars="0"/>
        <w:rPr>
          <w:rFonts w:hint="default"/>
          <w:lang w:val="en-US" w:eastAsia="zh-CN"/>
        </w:rPr>
      </w:pPr>
      <w:r>
        <w:rPr>
          <w:rFonts w:hint="eastAsia"/>
          <w:strike w:val="0"/>
          <w:dstrike w:val="0"/>
          <w:highlight w:val="none"/>
          <w:lang w:val="en-US" w:eastAsia="zh-CN"/>
        </w:rPr>
        <w:t>立项</w:t>
      </w:r>
      <w:r>
        <w:rPr>
          <w:rFonts w:hint="default"/>
          <w:strike w:val="0"/>
          <w:dstrike w:val="0"/>
          <w:highlight w:val="none"/>
          <w:lang w:val="en-US" w:eastAsia="zh-CN"/>
        </w:rPr>
        <w:t>评审阶段</w:t>
      </w:r>
      <w:r>
        <w:rPr>
          <w:rFonts w:hint="eastAsia"/>
          <w:strike w:val="0"/>
          <w:dstrike w:val="0"/>
          <w:highlight w:val="none"/>
          <w:lang w:val="en-US" w:eastAsia="zh-CN"/>
        </w:rPr>
        <w:t>：在充分调研和论证的基础上，工作组编制完成了《电力电缆隧道工程建设预算项目划分导则（草案）》。2025年11月，中国电机工程学会电力工程经济专委会组织召开了团体标准立项评审会，与会专家对标准编制的必要性、技术路线、研</w:t>
      </w:r>
      <w:bookmarkStart w:id="32" w:name="_GoBack"/>
      <w:bookmarkEnd w:id="32"/>
      <w:r>
        <w:rPr>
          <w:rFonts w:hint="eastAsia"/>
          <w:strike w:val="0"/>
          <w:dstrike w:val="0"/>
          <w:highlight w:val="none"/>
          <w:lang w:val="en-US" w:eastAsia="zh-CN"/>
        </w:rPr>
        <w:t>究内容及预期成果给予了充分肯定，并提出了建设性意见。会后，工作组根据专家意见对《电力电缆隧道工程建设预算项目划分导则（草案）》进行了修改完善。</w:t>
      </w:r>
      <w:r>
        <w:rPr>
          <w:rFonts w:hint="default"/>
          <w:strike w:val="0"/>
          <w:dstrike w:val="0"/>
          <w:lang w:val="en-US" w:eastAsia="zh-CN"/>
        </w:rPr>
        <w:br w:type="textWrapping"/>
      </w:r>
    </w:p>
    <w:p w14:paraId="1F43C5A2">
      <w:pPr>
        <w:pStyle w:val="15"/>
        <w:spacing w:before="312" w:after="312"/>
      </w:pPr>
      <w:bookmarkStart w:id="29" w:name="_Toc513731113"/>
      <w:r>
        <w:rPr>
          <w:rFonts w:hint="eastAsia" w:ascii="宋体" w:hAnsi="宋体"/>
          <w:szCs w:val="21"/>
        </w:rPr>
        <w:t>4</w:t>
      </w:r>
      <w:r>
        <w:rPr>
          <w:rFonts w:hint="eastAsia"/>
        </w:rPr>
        <w:t xml:space="preserve"> 标准结构和内容说明</w:t>
      </w:r>
      <w:bookmarkEnd w:id="29"/>
    </w:p>
    <w:p w14:paraId="25CB26D5">
      <w:pPr>
        <w:pStyle w:val="17"/>
        <w:ind w:firstLineChars="0"/>
        <w:rPr>
          <w:rFonts w:hint="eastAsia"/>
        </w:rPr>
      </w:pPr>
      <w:r>
        <w:rPr>
          <w:rFonts w:hint="eastAsia"/>
        </w:rPr>
        <w:t>本标准旨在为电力电缆隧道工程的建设预算编制提供统一、规范的项目划分依据。标准主体结构包括范围、规范性引用文件、术语和定义、总体原则、电力电缆隧道工程建设预算项目划分以及一个资料性附录。</w:t>
      </w:r>
    </w:p>
    <w:p w14:paraId="003CC23B">
      <w:pPr>
        <w:pStyle w:val="11"/>
        <w:numPr>
          <w:ilvl w:val="0"/>
          <w:numId w:val="4"/>
        </w:numPr>
        <w:ind w:left="0" w:leftChars="0" w:firstLine="420" w:firstLineChars="0"/>
        <w:rPr>
          <w:rFonts w:hint="eastAsia"/>
          <w:lang w:val="en-US" w:eastAsia="zh-CN"/>
        </w:rPr>
      </w:pPr>
      <w:r>
        <w:rPr>
          <w:rFonts w:hint="eastAsia"/>
          <w:lang w:val="en-US" w:eastAsia="zh-CN"/>
        </w:rPr>
        <w:t>范围、规范性引用文件、术语和定义：明确了本标准的适用范围为新建、改建及扩建的电力电缆隧道工程，列出了编制所依据的GB/T 50875、DL/T 5476等关键标准，并对“工作井”、“盾构法”、“综合监控”等17个核心术语进行了准确界定，为正确理解和使用本标准奠定了基础。</w:t>
      </w:r>
    </w:p>
    <w:p w14:paraId="3D659CB9">
      <w:pPr>
        <w:pStyle w:val="11"/>
        <w:numPr>
          <w:ilvl w:val="0"/>
          <w:numId w:val="4"/>
        </w:numPr>
        <w:ind w:left="0" w:leftChars="0" w:firstLine="420" w:firstLineChars="0"/>
        <w:rPr>
          <w:rFonts w:hint="default"/>
          <w:lang w:val="en-US" w:eastAsia="zh-CN"/>
        </w:rPr>
      </w:pPr>
      <w:r>
        <w:rPr>
          <w:rFonts w:hint="default"/>
          <w:lang w:val="en-US" w:eastAsia="zh-CN"/>
        </w:rPr>
        <w:t>总体原则：规定了项目划分应遵循的四项基本原则，包括项目设置的符合性、分级管控的层次性、项目名称的规范性以及增列项目的有序性。这些原则确保了标准在应用过程中的严肃性和一致性。</w:t>
      </w:r>
    </w:p>
    <w:p w14:paraId="543859A0">
      <w:pPr>
        <w:pStyle w:val="11"/>
        <w:numPr>
          <w:ilvl w:val="0"/>
          <w:numId w:val="4"/>
        </w:numPr>
        <w:ind w:left="0" w:leftChars="0" w:firstLine="420" w:firstLineChars="0"/>
        <w:rPr>
          <w:rFonts w:hint="default"/>
          <w:lang w:val="en-US" w:eastAsia="zh-CN"/>
        </w:rPr>
      </w:pPr>
      <w:r>
        <w:rPr>
          <w:rFonts w:hint="default"/>
          <w:lang w:val="en-US" w:eastAsia="zh-CN"/>
        </w:rPr>
        <w:t>电力电缆隧道工程建设预算项目划分：此为本标准的核心章节。该章节将电力电缆隧道工程划分为“隧道建筑本体”和“隧道建筑辅助工程”两大单项工程。其中，“隧道建筑本体”根据施工工艺进一步细分为工作井及出入口、沉井、明挖法、顶管法、盾构法、矿山法等单位工程，并对各单位工程下的分部工程（如围护结构、土石方、内部结构等）进行了详细规定。“隧道建筑辅助工程”主要涵盖了隧道附属设施，包括暖通、给排水、消防、综合监控等八个系统。这一划分体系逻辑清晰，全面反映了电力电缆隧道工程的完整构成。</w:t>
      </w:r>
    </w:p>
    <w:p w14:paraId="5CA60A56">
      <w:pPr>
        <w:pStyle w:val="11"/>
        <w:numPr>
          <w:ilvl w:val="0"/>
          <w:numId w:val="4"/>
        </w:numPr>
        <w:ind w:left="0" w:leftChars="0" w:firstLine="420" w:firstLineChars="0"/>
      </w:pPr>
      <w:r>
        <w:rPr>
          <w:rFonts w:hint="default"/>
          <w:lang w:val="en-US" w:eastAsia="zh-CN"/>
        </w:rPr>
        <w:t>附录A 电力电缆隧道工程建设预算项目划分表：作为对正文的补充和具象化展示，本附录以表格形式详细列出了三级项目划分体系下的所有项目。表格内容包括序号、项目名称、单位、主要内容及范围说明、技术经济指标单位等，为使用者提供了直观、详尽的操作指引。</w:t>
      </w:r>
      <w:r>
        <w:rPr>
          <w:rFonts w:hint="default"/>
          <w:lang w:val="en-US" w:eastAsia="zh-CN"/>
        </w:rPr>
        <w:br w:type="textWrapping"/>
      </w:r>
    </w:p>
    <w:p w14:paraId="733F7F5F">
      <w:pPr>
        <w:pStyle w:val="15"/>
        <w:spacing w:before="312" w:after="312"/>
        <w:rPr>
          <w:rFonts w:hint="eastAsia"/>
        </w:rPr>
      </w:pPr>
      <w:bookmarkStart w:id="30" w:name="_Toc513731114"/>
      <w:r>
        <w:rPr>
          <w:rFonts w:hint="eastAsia" w:ascii="宋体" w:hAnsi="宋体"/>
          <w:szCs w:val="21"/>
        </w:rPr>
        <w:t>5相关</w:t>
      </w:r>
      <w:r>
        <w:rPr>
          <w:rFonts w:hint="eastAsia"/>
        </w:rPr>
        <w:t>标准对比说明</w:t>
      </w:r>
      <w:bookmarkEnd w:id="30"/>
    </w:p>
    <w:p w14:paraId="6D738773">
      <w:pPr>
        <w:pStyle w:val="16"/>
        <w:numPr>
          <w:ilvl w:val="0"/>
          <w:numId w:val="0"/>
        </w:numPr>
        <w:spacing w:before="156" w:beforeLines="50" w:after="156" w:afterLines="50"/>
        <w:rPr>
          <w:rFonts w:hint="default"/>
        </w:rPr>
      </w:pPr>
      <w:r>
        <w:rPr>
          <w:rFonts w:hint="eastAsia"/>
          <w:lang w:val="en-US" w:eastAsia="zh-CN"/>
        </w:rPr>
        <w:t>5</w:t>
      </w:r>
      <w:r>
        <w:rPr>
          <w:rFonts w:hint="eastAsia"/>
        </w:rPr>
        <w:t>.1 与国内</w:t>
      </w:r>
      <w:r>
        <w:rPr>
          <w:rFonts w:hint="eastAsia"/>
          <w:lang w:val="en-US" w:eastAsia="zh-CN"/>
        </w:rPr>
        <w:t>行业</w:t>
      </w:r>
      <w:r>
        <w:rPr>
          <w:rFonts w:hint="eastAsia"/>
        </w:rPr>
        <w:t>标准的比较</w:t>
      </w:r>
    </w:p>
    <w:p w14:paraId="52568EB5">
      <w:pPr>
        <w:pStyle w:val="11"/>
        <w:numPr>
          <w:ilvl w:val="0"/>
          <w:numId w:val="5"/>
        </w:numPr>
        <w:ind w:left="0" w:leftChars="0" w:firstLine="420" w:firstLineChars="0"/>
        <w:rPr>
          <w:rFonts w:hint="eastAsia"/>
          <w:lang w:val="en-US" w:eastAsia="zh-CN"/>
        </w:rPr>
      </w:pPr>
      <w:r>
        <w:rPr>
          <w:rFonts w:hint="eastAsia"/>
          <w:lang w:val="en-US" w:eastAsia="zh-CN"/>
        </w:rPr>
        <w:t>与《电网工程建设预算编制与计算规定》及《DL/T 5476—2021 电缆输电线路工程建设预算项目划分导则》比较</w:t>
      </w:r>
    </w:p>
    <w:p w14:paraId="293B1F94">
      <w:pPr>
        <w:pStyle w:val="11"/>
        <w:numPr>
          <w:ilvl w:val="0"/>
          <w:numId w:val="6"/>
        </w:numPr>
        <w:ind w:left="1260" w:leftChars="0" w:hanging="420" w:firstLineChars="0"/>
        <w:rPr>
          <w:rFonts w:hint="eastAsia"/>
          <w:lang w:val="en-US" w:eastAsia="zh-CN"/>
        </w:rPr>
      </w:pPr>
      <w:r>
        <w:rPr>
          <w:rFonts w:hint="eastAsia"/>
          <w:lang w:val="en-US" w:eastAsia="zh-CN"/>
        </w:rPr>
        <w:t>现行行业标准主要针对传统电缆沟、排管等敷设方式，对结构复杂、技术多样的电力电缆隧道工程仅作简单项目条目，未针对电力电缆隧道工程单独设置专属分部分项框架。</w:t>
      </w:r>
    </w:p>
    <w:p w14:paraId="6EBCE84E">
      <w:pPr>
        <w:pStyle w:val="11"/>
        <w:numPr>
          <w:ilvl w:val="0"/>
          <w:numId w:val="6"/>
        </w:numPr>
        <w:ind w:left="1260" w:leftChars="0" w:hanging="420" w:firstLineChars="0"/>
        <w:rPr>
          <w:rFonts w:hint="eastAsia"/>
          <w:lang w:val="en-US" w:eastAsia="zh-CN"/>
        </w:rPr>
      </w:pPr>
      <w:r>
        <w:rPr>
          <w:rFonts w:hint="eastAsia"/>
          <w:lang w:val="en-US" w:eastAsia="zh-CN"/>
        </w:rPr>
        <w:t>本标准针对上述问题优化适配：作为电网行业标准的重要补充与深化，首次在电力行业内系统性构建电缆隧道工程专属分部分项划分体系，补充完善隧道主体、智能运维等专属子目，明确对应计量规则，填补电网工程计价体系中电缆隧道分部分项划分的空白，与现行电网行业标准形成“总”与“分”的补充关系。</w:t>
      </w:r>
    </w:p>
    <w:p w14:paraId="0949494A">
      <w:pPr>
        <w:pStyle w:val="11"/>
        <w:numPr>
          <w:ilvl w:val="0"/>
          <w:numId w:val="5"/>
        </w:numPr>
        <w:ind w:left="0" w:leftChars="0" w:firstLine="420" w:firstLineChars="0"/>
        <w:rPr>
          <w:rFonts w:hint="eastAsia"/>
          <w:lang w:val="en-US" w:eastAsia="zh-CN"/>
        </w:rPr>
      </w:pPr>
      <w:r>
        <w:rPr>
          <w:rFonts w:hint="eastAsia"/>
          <w:lang w:val="en-US" w:eastAsia="zh-CN"/>
        </w:rPr>
        <w:t>与铁路行业标准比较</w:t>
      </w:r>
    </w:p>
    <w:p w14:paraId="27D6A6F1">
      <w:pPr>
        <w:pStyle w:val="11"/>
        <w:numPr>
          <w:ilvl w:val="0"/>
          <w:numId w:val="6"/>
        </w:numPr>
        <w:ind w:left="1260" w:leftChars="0" w:hanging="420" w:firstLineChars="0"/>
        <w:rPr>
          <w:rFonts w:hint="eastAsia"/>
          <w:lang w:val="en-US" w:eastAsia="zh-CN"/>
        </w:rPr>
      </w:pPr>
      <w:r>
        <w:rPr>
          <w:rFonts w:hint="eastAsia"/>
          <w:lang w:val="en-US" w:eastAsia="zh-CN"/>
        </w:rPr>
        <w:t>铁路行业标准以线路功能、轨道结构、行车安全为核心导向，项目划分侧重路基、桥涵、隧道、轨道、四电等专业模块，与电力电缆隧道以电力输送、安全防护、智能运维为核心的工程特性差异显著</w:t>
      </w:r>
    </w:p>
    <w:p w14:paraId="5BB99014">
      <w:pPr>
        <w:pStyle w:val="16"/>
        <w:numPr>
          <w:ilvl w:val="0"/>
          <w:numId w:val="0"/>
        </w:numPr>
        <w:spacing w:before="156" w:beforeLines="50" w:after="156" w:afterLines="50"/>
        <w:rPr>
          <w:rFonts w:hint="eastAsia"/>
          <w:strike w:val="0"/>
          <w:dstrike w:val="0"/>
          <w:highlight w:val="none"/>
        </w:rPr>
      </w:pPr>
      <w:r>
        <w:rPr>
          <w:rFonts w:hint="eastAsia"/>
          <w:strike w:val="0"/>
          <w:dstrike w:val="0"/>
          <w:highlight w:val="none"/>
          <w:lang w:val="en-US" w:eastAsia="zh-CN"/>
        </w:rPr>
        <w:t>5</w:t>
      </w:r>
      <w:r>
        <w:rPr>
          <w:rFonts w:hint="eastAsia"/>
          <w:strike w:val="0"/>
          <w:dstrike w:val="0"/>
          <w:highlight w:val="none"/>
        </w:rPr>
        <w:t>.</w:t>
      </w:r>
      <w:r>
        <w:rPr>
          <w:rFonts w:hint="eastAsia"/>
          <w:strike w:val="0"/>
          <w:dstrike w:val="0"/>
          <w:highlight w:val="none"/>
          <w:lang w:val="en-US" w:eastAsia="zh-CN"/>
        </w:rPr>
        <w:t>2</w:t>
      </w:r>
      <w:r>
        <w:rPr>
          <w:rFonts w:hint="eastAsia"/>
          <w:strike w:val="0"/>
          <w:dstrike w:val="0"/>
          <w:highlight w:val="none"/>
        </w:rPr>
        <w:t xml:space="preserve"> 与国内省市标准与其他相关标准的比较</w:t>
      </w:r>
    </w:p>
    <w:p w14:paraId="79F178CE">
      <w:pPr>
        <w:pStyle w:val="11"/>
        <w:numPr>
          <w:ilvl w:val="0"/>
          <w:numId w:val="7"/>
        </w:numPr>
        <w:ind w:left="0" w:leftChars="0" w:firstLine="420" w:firstLineChars="0"/>
      </w:pPr>
      <w:r>
        <w:rPr>
          <w:rFonts w:hint="eastAsia"/>
          <w:lang w:val="en-US" w:eastAsia="zh-CN"/>
        </w:rPr>
        <w:t>涉及广东、河北、江苏、上海、北京、浙江、湖南、福建等省市的地方定额体系，其分部分项划分主要基于通用市政、房建工程框架设置，未针对电力电缆隧道工程单独构建专属分部分项体系。</w:t>
      </w:r>
    </w:p>
    <w:p w14:paraId="501893E5">
      <w:pPr>
        <w:pStyle w:val="11"/>
        <w:numPr>
          <w:ilvl w:val="0"/>
          <w:numId w:val="7"/>
        </w:numPr>
        <w:ind w:left="0" w:leftChars="0" w:firstLine="420" w:firstLineChars="0"/>
      </w:pPr>
      <w:r>
        <w:rPr>
          <w:rFonts w:hint="eastAsia"/>
          <w:lang w:val="en-US" w:eastAsia="zh-CN"/>
        </w:rPr>
        <w:t>地方定额分部分项划分多以工程结构、通用工序为核心，普遍设置土石方工程、砌筑工程、混凝土及钢筋混凝土工程、装饰装修工程等通用分部，分项子目也以通用构件、常规施工内容为主，缺乏电力电缆隧道专属的分部及分项设置。</w:t>
      </w:r>
    </w:p>
    <w:p w14:paraId="3A6C7EF5">
      <w:pPr>
        <w:pStyle w:val="15"/>
        <w:spacing w:before="312" w:after="312"/>
        <w:rPr>
          <w:rFonts w:ascii="宋体" w:hAnsi="宋体"/>
          <w:szCs w:val="21"/>
        </w:rPr>
      </w:pPr>
      <w:bookmarkStart w:id="31" w:name="_Toc513731115"/>
      <w:r>
        <w:rPr>
          <w:rFonts w:hint="eastAsia" w:ascii="宋体" w:hAnsi="宋体"/>
          <w:szCs w:val="21"/>
        </w:rPr>
        <w:t>6标准实施措施说明</w:t>
      </w:r>
      <w:bookmarkEnd w:id="31"/>
    </w:p>
    <w:p w14:paraId="2B322C02">
      <w:pPr>
        <w:pStyle w:val="17"/>
        <w:ind w:firstLineChars="0"/>
        <w:rPr>
          <w:rFonts w:hint="eastAsia"/>
        </w:rPr>
      </w:pPr>
      <w:r>
        <w:rPr>
          <w:rFonts w:hint="eastAsia"/>
        </w:rPr>
        <w:t>为确保本标准发布后能够得到有效贯彻和执行，切实发挥其规范工程造价管理的预期作用，提出以下实施措施建议：</w:t>
      </w:r>
    </w:p>
    <w:p w14:paraId="0F816465">
      <w:pPr>
        <w:pStyle w:val="11"/>
        <w:numPr>
          <w:ilvl w:val="0"/>
          <w:numId w:val="8"/>
        </w:numPr>
        <w:ind w:left="0" w:leftChars="0" w:firstLine="420" w:firstLineChars="0"/>
        <w:rPr>
          <w:rFonts w:hint="eastAsia"/>
          <w:color w:val="auto"/>
          <w:highlight w:val="none"/>
          <w:lang w:val="en-US" w:eastAsia="zh-CN"/>
        </w:rPr>
      </w:pPr>
      <w:r>
        <w:rPr>
          <w:rFonts w:hint="default"/>
          <w:color w:val="auto"/>
          <w:highlight w:val="none"/>
          <w:lang w:eastAsia="zh-CN"/>
        </w:rPr>
        <w:t>导则</w:t>
      </w:r>
      <w:r>
        <w:rPr>
          <w:rFonts w:hint="eastAsia"/>
          <w:color w:val="auto"/>
          <w:highlight w:val="none"/>
          <w:lang w:val="en-US" w:eastAsia="zh-CN"/>
        </w:rPr>
        <w:t>宣贯：标准发布后，建议由中国电机工程学会及主编单位牵头，组织面向电力行业内各设计单位、建设单位、施工企业、造价咨询机构的专项宣贯。通过对标准条文的详细解读、典型案例的剖析，帮助相关人员准确理解和掌握本标准的划分原则与具体要求，确保标准在应用层面得到统一执行。</w:t>
      </w:r>
    </w:p>
    <w:p w14:paraId="176521F3">
      <w:pPr>
        <w:pStyle w:val="11"/>
        <w:numPr>
          <w:ilvl w:val="0"/>
          <w:numId w:val="8"/>
        </w:numPr>
        <w:ind w:left="0" w:leftChars="0" w:firstLine="420" w:firstLineChars="0"/>
        <w:rPr>
          <w:rFonts w:hint="default"/>
          <w:lang w:val="en-US" w:eastAsia="zh-CN"/>
        </w:rPr>
      </w:pPr>
      <w:r>
        <w:rPr>
          <w:rFonts w:hint="default"/>
          <w:color w:val="auto"/>
          <w:highlight w:val="none"/>
          <w:lang w:val="en-US" w:eastAsia="zh-CN"/>
        </w:rPr>
        <w:t>配套文件修订与衔接：建议推动相关主管部门，在后续修订《电网工程建设预算编制与计算规定》及配套的工程量清单计价规范</w:t>
      </w:r>
      <w:r>
        <w:rPr>
          <w:rFonts w:hint="default"/>
          <w:lang w:val="en-US" w:eastAsia="zh-CN"/>
        </w:rPr>
        <w:t>时，将本导则的核心内容纳入其中，或建立明确的引用和衔接机制。同时，鼓励基于本标准开展补充定额的编制研究，解决新工艺、新设施的计价依据缺失问题，形成“项目划分—清单编制—定额计价”的完整管理闭环。</w:t>
      </w:r>
    </w:p>
    <w:p w14:paraId="77240B79">
      <w:pPr>
        <w:pStyle w:val="11"/>
        <w:numPr>
          <w:ilvl w:val="0"/>
          <w:numId w:val="8"/>
        </w:numPr>
        <w:ind w:left="0" w:leftChars="0" w:firstLine="420" w:firstLineChars="0"/>
        <w:rPr>
          <w:rFonts w:hint="default"/>
          <w:lang w:val="en-US" w:eastAsia="zh-CN"/>
        </w:rPr>
      </w:pPr>
      <w:r>
        <w:rPr>
          <w:rFonts w:hint="default"/>
          <w:lang w:val="en-US" w:eastAsia="zh-CN"/>
        </w:rPr>
        <w:t>实施效果跟踪与反馈：建立标准实施效果的跟踪与反馈机制。通过定期收集标准在实际项目应用中遇到的问题和意见，评估其适用性和有效性。可委托电力工程经济专业委员会或相关研究机构，定期开展实施情况调研，为标准后续的修订和完善积累实践依据，确保其与技术发展和市场变化保持同步。</w:t>
      </w:r>
    </w:p>
    <w:p w14:paraId="2BBA70F3">
      <w:pPr>
        <w:pStyle w:val="11"/>
        <w:numPr>
          <w:ilvl w:val="0"/>
          <w:numId w:val="8"/>
        </w:numPr>
        <w:ind w:left="0" w:leftChars="0" w:firstLine="420" w:firstLineChars="0"/>
        <w:rPr>
          <w:rFonts w:hint="default"/>
          <w:lang w:val="en-US" w:eastAsia="zh-CN"/>
        </w:rPr>
      </w:pPr>
      <w:r>
        <w:rPr>
          <w:rFonts w:hint="default"/>
          <w:lang w:val="en-US" w:eastAsia="zh-CN"/>
        </w:rPr>
        <w:t>信息化平台支撑：鼓励和引导相关软件开发商，依据本标准更新或开发工程造价管理软件。将本导则的项目划分体系内嵌至概预算编制、清单计价等信息化平台中，通过技术手段固化标准的应用，提高预算编制的效率和规范性，降低人为差错。</w:t>
      </w:r>
    </w:p>
    <w:p w14:paraId="04FD4BAB">
      <w:pPr>
        <w:pStyle w:val="11"/>
        <w:tabs>
          <w:tab w:val="clear" w:pos="4201"/>
          <w:tab w:val="clear" w:pos="9298"/>
        </w:tabs>
        <w:spacing w:line="360" w:lineRule="auto"/>
        <w:ind w:left="0" w:leftChars="0" w:firstLine="0" w:firstLineChars="0"/>
        <w:jc w:val="left"/>
        <w:rPr>
          <w:rFonts w:ascii="黑体" w:hAnsi="黑体" w:eastAsia="黑体"/>
          <w:b w:val="0"/>
        </w:rPr>
        <w:sectPr>
          <w:footerReference r:id="rId7" w:type="default"/>
          <w:pgSz w:w="11906" w:h="16838"/>
          <w:pgMar w:top="1440" w:right="1797" w:bottom="1418" w:left="1797" w:header="851" w:footer="992" w:gutter="0"/>
          <w:pgNumType w:fmt="decimal" w:start="1"/>
          <w:cols w:space="720" w:num="1"/>
          <w:docGrid w:type="lines" w:linePitch="312" w:charSpace="0"/>
        </w:sectPr>
      </w:pPr>
    </w:p>
    <w:p w14:paraId="5B3139C0"/>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044A7">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8F0FE">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14:paraId="2DFBB366">
                          <w:pPr>
                            <w:pStyle w:val="3"/>
                          </w:pPr>
                          <w:r>
                            <w:fldChar w:fldCharType="begin"/>
                          </w:r>
                          <w:r>
                            <w:instrText xml:space="preserve"> PAGE  \* MERGEFORMAT </w:instrText>
                          </w:r>
                          <w:r>
                            <w:fldChar w:fldCharType="separate"/>
                          </w:r>
                          <w:r>
                            <w:t>33</w:t>
                          </w:r>
                          <w:r>
                            <w:fldChar w:fldCharType="end"/>
                          </w:r>
                        </w:p>
                      </w:txbxContent>
                    </wps:txbx>
                    <wps:bodyPr rot="0" vert="horz" wrap="none" lIns="0" tIns="0" rIns="0" bIns="0" anchor="t" anchorCtr="0" upright="1">
                      <a:spAutoFit/>
                    </wps:bodyPr>
                  </wps:wsp>
                </a:graphicData>
              </a:graphic>
            </wp:anchor>
          </w:drawing>
        </mc:Choice>
        <mc:Fallback>
          <w:pict>
            <v:shape id="文本框 5"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Bi6WFNAAAAADAQAADwAAAAAAAAABACAAAAAiAAAAZHJzL2Rv&#10;d25yZXYueG1sUEsBAhQAFAAAAAgAh07iQDkldagJAgAAAgQAAA4AAAAAAAAAAQAgAAAAHwEAAGRy&#10;cy9lMm9Eb2MueG1sUEsFBgAAAAAGAAYAWQEAAJoFAAAAAA==&#10;">
              <v:fill on="f" focussize="0,0"/>
              <v:stroke on="f"/>
              <v:imagedata o:title=""/>
              <o:lock v:ext="edit" aspectratio="f"/>
              <v:textbox inset="0mm,0mm,0mm,0mm" style="mso-fit-shape-to-text:t;">
                <w:txbxContent>
                  <w:p w14:paraId="2DFBB366">
                    <w:pPr>
                      <w:pStyle w:val="3"/>
                    </w:pPr>
                    <w:r>
                      <w:fldChar w:fldCharType="begin"/>
                    </w:r>
                    <w:r>
                      <w:instrText xml:space="preserve"> PAGE  \* MERGEFORMAT </w:instrText>
                    </w:r>
                    <w:r>
                      <w:fldChar w:fldCharType="separate"/>
                    </w:r>
                    <w:r>
                      <w:t>33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7537C">
    <w:pPr>
      <w:pStyle w:val="18"/>
      <w:wordWrap w:val="0"/>
      <w:rPr>
        <w:rFonts w:hint="default" w:eastAsia="黑体"/>
        <w:lang w:val="en-US" w:eastAsia="zh-CN"/>
      </w:rPr>
    </w:pPr>
    <w:r>
      <w:rPr>
        <w:rFonts w:hint="eastAsia"/>
      </w:rPr>
      <w:t>T</w:t>
    </w:r>
    <w:r>
      <w:t>/</w:t>
    </w:r>
    <w:r>
      <w:rPr>
        <w:rFonts w:hint="eastAsia"/>
      </w:rPr>
      <w:t>CSEE</w:t>
    </w:r>
    <w:r>
      <w:rPr>
        <w:rFonts w:hint="eastAsia" w:hAnsi="黑体"/>
      </w:rPr>
      <w:t xml:space="preserve"> XXXX-</w:t>
    </w:r>
    <w:r>
      <w:rPr>
        <w:rFonts w:hint="eastAsia" w:hAnsi="黑体"/>
        <w:lang w:val="en-US" w:eastAsia="zh-CN"/>
      </w:rPr>
      <w:t>2026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F98CD">
    <w:pPr>
      <w:pStyle w:val="18"/>
      <w:spacing w:before="120" w:after="120"/>
      <w:jc w:val="both"/>
    </w:pPr>
    <w:r>
      <w:t>Q/</w:t>
    </w:r>
    <w:r>
      <w:rPr>
        <w:rFonts w:hint="eastAsia"/>
      </w:rPr>
      <w:t>GDW</w:t>
    </w:r>
    <w:r>
      <w:rPr>
        <w:rFonts w:hint="eastAsia" w:hAnsi="宋体"/>
      </w:rPr>
      <w:t xml:space="preserve"> </w:t>
    </w:r>
    <w:r>
      <w:rPr>
        <w:rFonts w:hint="eastAsia" w:hAnsi="黑体"/>
      </w:rPr>
      <w:t>XX-XXX</w:t>
    </w:r>
    <w:r>
      <w:rPr>
        <w:rFonts w:hAnsi="黑体"/>
      </w:rPr>
      <w:t>—</w:t>
    </w:r>
    <w:r>
      <w:rPr>
        <w:rFonts w:hint="eastAsia" w:hAnsi="黑体"/>
      </w:rPr>
      <w:t>2012-1XXXX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84A54">
    <w:pPr>
      <w:pStyle w:val="18"/>
      <w:wordWrap w:val="0"/>
      <w:spacing w:before="120"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32A8FC"/>
    <w:multiLevelType w:val="singleLevel"/>
    <w:tmpl w:val="8A32A8FC"/>
    <w:lvl w:ilvl="0" w:tentative="0">
      <w:start w:val="1"/>
      <w:numFmt w:val="decimal"/>
      <w:suff w:val="space"/>
      <w:lvlText w:val="(%1)"/>
      <w:lvlJc w:val="left"/>
      <w:pPr>
        <w:ind w:left="0" w:firstLine="420"/>
      </w:pPr>
    </w:lvl>
  </w:abstractNum>
  <w:abstractNum w:abstractNumId="1">
    <w:nsid w:val="9835770F"/>
    <w:multiLevelType w:val="singleLevel"/>
    <w:tmpl w:val="9835770F"/>
    <w:lvl w:ilvl="0" w:tentative="0">
      <w:start w:val="1"/>
      <w:numFmt w:val="decimal"/>
      <w:suff w:val="space"/>
      <w:lvlText w:val="(%1)"/>
      <w:lvlJc w:val="left"/>
      <w:pPr>
        <w:ind w:left="0" w:firstLine="420"/>
      </w:pPr>
    </w:lvl>
  </w:abstractNum>
  <w:abstractNum w:abstractNumId="2">
    <w:nsid w:val="F583F20C"/>
    <w:multiLevelType w:val="multilevel"/>
    <w:tmpl w:val="F583F20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3">
    <w:nsid w:val="045A7AB5"/>
    <w:multiLevelType w:val="multilevel"/>
    <w:tmpl w:val="045A7AB5"/>
    <w:lvl w:ilvl="0" w:tentative="0">
      <w:start w:val="1"/>
      <w:numFmt w:val="decimal"/>
      <w:suff w:val="space"/>
      <w:lvlText w:val="(%1)"/>
      <w:lvlJc w:val="left"/>
      <w:pPr>
        <w:ind w:left="0" w:firstLine="420"/>
      </w:pPr>
    </w:lvl>
    <w:lvl w:ilvl="1" w:tentative="0">
      <w:start w:val="1"/>
      <w:numFmt w:val="decimalEnclosedCircleChinese"/>
      <w:lvlText w:val="%2"/>
      <w:lvlJc w:val="left"/>
      <w:pPr>
        <w:tabs>
          <w:tab w:val="left" w:pos="840"/>
        </w:tabs>
        <w:ind w:left="1260" w:leftChars="0" w:hanging="420" w:firstLineChars="0"/>
      </w:pPr>
      <w:rPr>
        <w:rFonts w:hint="default"/>
      </w:rPr>
    </w:lvl>
    <w:lvl w:ilvl="2" w:tentative="0">
      <w:start w:val="1"/>
      <w:numFmt w:val="decimal"/>
      <w:lvlText w:val="%3)"/>
      <w:lvlJc w:val="left"/>
      <w:pPr>
        <w:tabs>
          <w:tab w:val="left" w:pos="1260"/>
        </w:tabs>
        <w:ind w:left="1680" w:leftChars="0" w:hanging="420" w:firstLineChars="0"/>
      </w:pPr>
      <w:rPr>
        <w:rFonts w:hint="default"/>
      </w:rPr>
    </w:lvl>
    <w:lvl w:ilvl="3" w:tentative="0">
      <w:start w:val="1"/>
      <w:numFmt w:val="lowerLetter"/>
      <w:lvlText w:val="%4."/>
      <w:lvlJc w:val="left"/>
      <w:pPr>
        <w:tabs>
          <w:tab w:val="left" w:pos="1680"/>
        </w:tabs>
        <w:ind w:left="2100" w:leftChars="0" w:hanging="420" w:firstLineChars="0"/>
      </w:pPr>
      <w:rPr>
        <w:rFonts w:hint="default"/>
      </w:rPr>
    </w:lvl>
    <w:lvl w:ilvl="4" w:tentative="0">
      <w:start w:val="1"/>
      <w:numFmt w:val="lowerLetter"/>
      <w:lvlText w:val="%5)"/>
      <w:lvlJc w:val="left"/>
      <w:pPr>
        <w:tabs>
          <w:tab w:val="left" w:pos="2100"/>
        </w:tabs>
        <w:ind w:left="2520" w:leftChars="0" w:hanging="420" w:firstLineChars="0"/>
      </w:pPr>
      <w:rPr>
        <w:rFonts w:hint="default"/>
      </w:rPr>
    </w:lvl>
    <w:lvl w:ilvl="5" w:tentative="0">
      <w:start w:val="1"/>
      <w:numFmt w:val="lowerRoman"/>
      <w:lvlText w:val="%6."/>
      <w:lvlJc w:val="left"/>
      <w:pPr>
        <w:tabs>
          <w:tab w:val="left" w:pos="2520"/>
        </w:tabs>
        <w:ind w:left="2940" w:leftChars="0" w:hanging="420" w:firstLineChars="0"/>
      </w:pPr>
      <w:rPr>
        <w:rFonts w:hint="default"/>
      </w:rPr>
    </w:lvl>
    <w:lvl w:ilvl="6" w:tentative="0">
      <w:start w:val="1"/>
      <w:numFmt w:val="lowerRoman"/>
      <w:lvlText w:val="%7)"/>
      <w:lvlJc w:val="left"/>
      <w:pPr>
        <w:tabs>
          <w:tab w:val="left" w:pos="2940"/>
        </w:tabs>
        <w:ind w:left="3360" w:leftChars="0" w:hanging="420" w:firstLineChars="0"/>
      </w:pPr>
      <w:rPr>
        <w:rFonts w:hint="default"/>
      </w:rPr>
    </w:lvl>
    <w:lvl w:ilvl="7" w:tentative="0">
      <w:start w:val="1"/>
      <w:numFmt w:val="lowerLetter"/>
      <w:lvlText w:val="%8."/>
      <w:lvlJc w:val="left"/>
      <w:pPr>
        <w:tabs>
          <w:tab w:val="left" w:pos="3360"/>
        </w:tabs>
        <w:ind w:left="3780" w:leftChars="0" w:hanging="420" w:firstLineChars="0"/>
      </w:pPr>
      <w:rPr>
        <w:rFonts w:hint="default"/>
      </w:rPr>
    </w:lvl>
    <w:lvl w:ilvl="8" w:tentative="0">
      <w:start w:val="1"/>
      <w:numFmt w:val="lowerLetter"/>
      <w:lvlText w:val="%9)"/>
      <w:lvlJc w:val="left"/>
      <w:pPr>
        <w:tabs>
          <w:tab w:val="left" w:pos="3780"/>
        </w:tabs>
        <w:ind w:left="4200" w:leftChars="0" w:hanging="420" w:firstLineChars="0"/>
      </w:pPr>
      <w:rPr>
        <w:rFonts w:hint="default"/>
      </w:rPr>
    </w:lvl>
  </w:abstractNum>
  <w:abstractNum w:abstractNumId="4">
    <w:nsid w:val="1D36CF53"/>
    <w:multiLevelType w:val="singleLevel"/>
    <w:tmpl w:val="1D36CF53"/>
    <w:lvl w:ilvl="0" w:tentative="0">
      <w:start w:val="1"/>
      <w:numFmt w:val="decimal"/>
      <w:suff w:val="space"/>
      <w:lvlText w:val="(%1)"/>
      <w:lvlJc w:val="left"/>
      <w:pPr>
        <w:ind w:left="0" w:firstLine="420"/>
      </w:pPr>
    </w:lvl>
  </w:abstractNum>
  <w:abstractNum w:abstractNumId="5">
    <w:nsid w:val="1FC91163"/>
    <w:multiLevelType w:val="multilevel"/>
    <w:tmpl w:val="1FC91163"/>
    <w:lvl w:ilvl="0" w:tentative="0">
      <w:start w:val="1"/>
      <w:numFmt w:val="decimal"/>
      <w:pStyle w:val="12"/>
      <w:suff w:val="nothing"/>
      <w:lvlText w:val="%1　"/>
      <w:lvlJc w:val="left"/>
      <w:pPr>
        <w:ind w:left="426" w:firstLine="0"/>
      </w:pPr>
      <w:rPr>
        <w:rFonts w:hint="eastAsia" w:ascii="黑体" w:hAnsi="Times New Roman" w:eastAsia="黑体"/>
        <w:b w:val="0"/>
        <w:i w:val="0"/>
        <w:sz w:val="21"/>
        <w:szCs w:val="21"/>
      </w:rPr>
    </w:lvl>
    <w:lvl w:ilvl="1" w:tentative="0">
      <w:start w:val="1"/>
      <w:numFmt w:val="decimal"/>
      <w:suff w:val="nothing"/>
      <w:lvlText w:val="%1.%2　"/>
      <w:lvlJc w:val="left"/>
      <w:pPr>
        <w:ind w:left="142"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suff w:val="nothing"/>
      <w:lvlText w:val="%1.%2.%3　"/>
      <w:lvlJc w:val="left"/>
      <w:pPr>
        <w:ind w:left="568"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657D3FBC"/>
    <w:multiLevelType w:val="multilevel"/>
    <w:tmpl w:val="657D3FBC"/>
    <w:lvl w:ilvl="0" w:tentative="0">
      <w:start w:val="1"/>
      <w:numFmt w:val="upperLetter"/>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6"/>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7C6A9D9F"/>
    <w:multiLevelType w:val="multilevel"/>
    <w:tmpl w:val="7C6A9D9F"/>
    <w:lvl w:ilvl="0" w:tentative="0">
      <w:start w:val="1"/>
      <w:numFmt w:val="decimal"/>
      <w:suff w:val="space"/>
      <w:lvlText w:val="(%1)"/>
      <w:lvlJc w:val="left"/>
      <w:pPr>
        <w:ind w:left="0" w:firstLine="420"/>
      </w:pPr>
    </w:lvl>
    <w:lvl w:ilvl="1" w:tentative="0">
      <w:start w:val="1"/>
      <w:numFmt w:val="decimalEnclosedCircleChinese"/>
      <w:lvlText w:val="%2"/>
      <w:lvlJc w:val="left"/>
      <w:pPr>
        <w:tabs>
          <w:tab w:val="left" w:pos="840"/>
        </w:tabs>
        <w:ind w:left="1260" w:leftChars="0" w:hanging="420" w:firstLineChars="0"/>
      </w:pPr>
      <w:rPr>
        <w:rFonts w:hint="default"/>
      </w:rPr>
    </w:lvl>
    <w:lvl w:ilvl="2" w:tentative="0">
      <w:start w:val="1"/>
      <w:numFmt w:val="decimal"/>
      <w:lvlText w:val="%3)"/>
      <w:lvlJc w:val="left"/>
      <w:pPr>
        <w:tabs>
          <w:tab w:val="left" w:pos="1260"/>
        </w:tabs>
        <w:ind w:left="1680" w:leftChars="0" w:hanging="420" w:firstLineChars="0"/>
      </w:pPr>
      <w:rPr>
        <w:rFonts w:hint="default"/>
      </w:rPr>
    </w:lvl>
    <w:lvl w:ilvl="3" w:tentative="0">
      <w:start w:val="1"/>
      <w:numFmt w:val="lowerLetter"/>
      <w:lvlText w:val="%4."/>
      <w:lvlJc w:val="left"/>
      <w:pPr>
        <w:tabs>
          <w:tab w:val="left" w:pos="1680"/>
        </w:tabs>
        <w:ind w:left="2100" w:leftChars="0" w:hanging="420" w:firstLineChars="0"/>
      </w:pPr>
      <w:rPr>
        <w:rFonts w:hint="default"/>
      </w:rPr>
    </w:lvl>
    <w:lvl w:ilvl="4" w:tentative="0">
      <w:start w:val="1"/>
      <w:numFmt w:val="lowerLetter"/>
      <w:lvlText w:val="%5)"/>
      <w:lvlJc w:val="left"/>
      <w:pPr>
        <w:tabs>
          <w:tab w:val="left" w:pos="2100"/>
        </w:tabs>
        <w:ind w:left="2520" w:leftChars="0" w:hanging="420" w:firstLineChars="0"/>
      </w:pPr>
      <w:rPr>
        <w:rFonts w:hint="default"/>
      </w:rPr>
    </w:lvl>
    <w:lvl w:ilvl="5" w:tentative="0">
      <w:start w:val="1"/>
      <w:numFmt w:val="lowerRoman"/>
      <w:lvlText w:val="%6."/>
      <w:lvlJc w:val="left"/>
      <w:pPr>
        <w:tabs>
          <w:tab w:val="left" w:pos="2520"/>
        </w:tabs>
        <w:ind w:left="2940" w:leftChars="0" w:hanging="420" w:firstLineChars="0"/>
      </w:pPr>
      <w:rPr>
        <w:rFonts w:hint="default"/>
      </w:rPr>
    </w:lvl>
    <w:lvl w:ilvl="6" w:tentative="0">
      <w:start w:val="1"/>
      <w:numFmt w:val="lowerRoman"/>
      <w:lvlText w:val="%7)"/>
      <w:lvlJc w:val="left"/>
      <w:pPr>
        <w:tabs>
          <w:tab w:val="left" w:pos="2940"/>
        </w:tabs>
        <w:ind w:left="3360" w:leftChars="0" w:hanging="420" w:firstLineChars="0"/>
      </w:pPr>
      <w:rPr>
        <w:rFonts w:hint="default"/>
      </w:rPr>
    </w:lvl>
    <w:lvl w:ilvl="7" w:tentative="0">
      <w:start w:val="1"/>
      <w:numFmt w:val="lowerLetter"/>
      <w:lvlText w:val="%8."/>
      <w:lvlJc w:val="left"/>
      <w:pPr>
        <w:tabs>
          <w:tab w:val="left" w:pos="3360"/>
        </w:tabs>
        <w:ind w:left="3780" w:leftChars="0" w:hanging="420" w:firstLineChars="0"/>
      </w:pPr>
      <w:rPr>
        <w:rFonts w:hint="default"/>
      </w:rPr>
    </w:lvl>
    <w:lvl w:ilvl="8" w:tentative="0">
      <w:start w:val="1"/>
      <w:numFmt w:val="lowerLetter"/>
      <w:lvlText w:val="%9)"/>
      <w:lvlJc w:val="left"/>
      <w:pPr>
        <w:tabs>
          <w:tab w:val="left" w:pos="3780"/>
        </w:tabs>
        <w:ind w:left="4200" w:leftChars="0" w:hanging="420" w:firstLineChars="0"/>
      </w:pPr>
      <w:rPr>
        <w:rFonts w:hint="default"/>
      </w:rPr>
    </w:lvl>
  </w:abstractNum>
  <w:num w:numId="1">
    <w:abstractNumId w:val="5"/>
  </w:num>
  <w:num w:numId="2">
    <w:abstractNumId w:val="6"/>
  </w:num>
  <w:num w:numId="3">
    <w:abstractNumId w:val="4"/>
  </w:num>
  <w:num w:numId="4">
    <w:abstractNumId w:val="1"/>
  </w:num>
  <w:num w:numId="5">
    <w:abstractNumId w:val="3"/>
  </w:num>
  <w:num w:numId="6">
    <w:abstractNumId w:val="2"/>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29556B"/>
    <w:rsid w:val="0F1E3C83"/>
    <w:rsid w:val="1B7E2D74"/>
    <w:rsid w:val="2229556B"/>
    <w:rsid w:val="362A1560"/>
    <w:rsid w:val="5199B384"/>
    <w:rsid w:val="55045B0C"/>
    <w:rsid w:val="721B4BCD"/>
    <w:rsid w:val="7561323F"/>
    <w:rsid w:val="E5DF157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rFonts w:ascii="Times New Roman" w:hAnsi="Times New Roman"/>
      <w:b/>
      <w:bCs/>
      <w:kern w:val="44"/>
      <w:sz w:val="44"/>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kern w:val="0"/>
      <w:sz w:val="18"/>
      <w:szCs w:val="18"/>
    </w:rPr>
  </w:style>
  <w:style w:type="paragraph" w:styleId="4">
    <w:name w:val="toc 1"/>
    <w:basedOn w:val="1"/>
    <w:next w:val="1"/>
    <w:qFormat/>
    <w:uiPriority w:val="39"/>
    <w:pPr>
      <w:tabs>
        <w:tab w:val="right" w:leader="dot" w:pos="9241"/>
      </w:tabs>
      <w:spacing w:before="25" w:beforeLines="25" w:after="25" w:afterLines="25"/>
      <w:jc w:val="left"/>
    </w:pPr>
    <w:rPr>
      <w:rFonts w:ascii="宋体" w:hAnsi="Times New Roman"/>
      <w:szCs w:val="21"/>
    </w:rPr>
  </w:style>
  <w:style w:type="paragraph" w:styleId="5">
    <w:name w:val="Title"/>
    <w:basedOn w:val="1"/>
    <w:next w:val="1"/>
    <w:qFormat/>
    <w:uiPriority w:val="0"/>
    <w:pPr>
      <w:spacing w:before="240" w:after="60"/>
      <w:jc w:val="center"/>
      <w:outlineLvl w:val="0"/>
    </w:pPr>
    <w:rPr>
      <w:rFonts w:ascii="Cambria" w:hAnsi="Cambria"/>
      <w:b/>
      <w:bCs/>
      <w:sz w:val="32"/>
      <w:szCs w:val="32"/>
    </w:rPr>
  </w:style>
  <w:style w:type="character" w:styleId="8">
    <w:name w:val="Strong"/>
    <w:basedOn w:val="7"/>
    <w:qFormat/>
    <w:uiPriority w:val="0"/>
    <w:rPr>
      <w:b/>
    </w:rPr>
  </w:style>
  <w:style w:type="character" w:styleId="9">
    <w:name w:val="page number"/>
    <w:qFormat/>
    <w:uiPriority w:val="0"/>
    <w:rPr>
      <w:rFonts w:ascii="Times New Roman" w:hAnsi="Times New Roman" w:eastAsia="宋体"/>
      <w:sz w:val="18"/>
    </w:rPr>
  </w:style>
  <w:style w:type="character" w:styleId="10">
    <w:name w:val="Hyperlink"/>
    <w:qFormat/>
    <w:uiPriority w:val="99"/>
    <w:rPr>
      <w:rFonts w:cs="Times New Roman"/>
      <w:color w:val="0563C1"/>
      <w:u w:val="single"/>
    </w:rPr>
  </w:style>
  <w:style w:type="paragraph" w:customStyle="1" w:styleId="11">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2">
    <w:name w:val="章标题"/>
    <w:next w:val="11"/>
    <w:qFormat/>
    <w:uiPriority w:val="0"/>
    <w:pPr>
      <w:numPr>
        <w:ilvl w:val="0"/>
        <w:numId w:val="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13">
    <w:name w:val="目次、标准名称标题"/>
    <w:basedOn w:val="14"/>
    <w:next w:val="11"/>
    <w:qFormat/>
    <w:uiPriority w:val="0"/>
    <w:pPr>
      <w:keepNext/>
      <w:pageBreakBefore/>
      <w:spacing w:line="460" w:lineRule="exact"/>
    </w:pPr>
  </w:style>
  <w:style w:type="paragraph" w:customStyle="1" w:styleId="14">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5">
    <w:name w:val="样式 标题 1 + 非加粗"/>
    <w:basedOn w:val="2"/>
    <w:qFormat/>
    <w:uiPriority w:val="0"/>
    <w:pPr>
      <w:spacing w:before="100" w:beforeLines="100" w:after="100" w:afterLines="100" w:line="240" w:lineRule="auto"/>
    </w:pPr>
    <w:rPr>
      <w:rFonts w:eastAsia="黑体"/>
      <w:b w:val="0"/>
      <w:bCs w:val="0"/>
      <w:sz w:val="21"/>
    </w:rPr>
  </w:style>
  <w:style w:type="paragraph" w:customStyle="1" w:styleId="16">
    <w:name w:val="附录章标题"/>
    <w:next w:val="11"/>
    <w:qFormat/>
    <w:uiPriority w:val="0"/>
    <w:pPr>
      <w:numPr>
        <w:ilvl w:val="1"/>
        <w:numId w:val="2"/>
      </w:num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styleId="17">
    <w:name w:val="List Paragraph"/>
    <w:basedOn w:val="1"/>
    <w:qFormat/>
    <w:uiPriority w:val="34"/>
    <w:pPr>
      <w:ind w:firstLine="420" w:firstLineChars="200"/>
    </w:pPr>
  </w:style>
  <w:style w:type="paragraph" w:customStyle="1" w:styleId="18">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19">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4124</Words>
  <Characters>4246</Characters>
  <Lines>0</Lines>
  <Paragraphs>0</Paragraphs>
  <TotalTime>2</TotalTime>
  <ScaleCrop>false</ScaleCrop>
  <LinksUpToDate>false</LinksUpToDate>
  <CharactersWithSpaces>4276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2026-02-03T16:27:00Z</dcterms:created>
  <dc:creator>邝剑潮</dc:creator>
  <cp:lastModifiedBy>邝剑潮</cp:lastModifiedBy>
  <dcterms:modified xsi:type="dcterms:W3CDTF">2026-02-06T03:47:35Z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207338C0178237208CBA81690A21C1BB_43</vt:lpwstr>
  </property>
  <property fmtid="{D5CDD505-2E9C-101B-9397-08002B2CF9AE}" pid="4" name="KSOTemplateDocerSaveRecord">
    <vt:lpwstr>eyJoZGlkIjoiMzEwNTM5NzYwMDRjMzkwZTVkZjY2ODkwMGIxNGU0OTUiLCJ1c2VySWQiOiIxNjg2MTI2NzEwIn0=</vt:lpwstr>
  </property>
</Properties>
</file>