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EDFCE">
      <w:pPr>
        <w:pStyle w:val="6"/>
        <w:jc w:val="left"/>
        <w:rPr>
          <w:rFonts w:hint="default" w:ascii="Times New Roman" w:hAnsi="Times New Roman" w:eastAsia="黑体" w:cs="Times New Roman"/>
          <w:b w:val="0"/>
        </w:rPr>
      </w:pPr>
      <w:bookmarkStart w:id="0" w:name="_Toc24480"/>
      <w:bookmarkStart w:id="1" w:name="_Toc27022"/>
      <w:r>
        <w:rPr>
          <w:rFonts w:hint="default" w:ascii="Times New Roman" w:hAnsi="Times New Roman" w:eastAsia="黑体" w:cs="Times New Roman"/>
          <w:b w:val="0"/>
        </w:rPr>
        <w:t>附件</w:t>
      </w:r>
      <w:r>
        <w:rPr>
          <w:rFonts w:hint="default" w:ascii="Times New Roman" w:hAnsi="Times New Roman" w:eastAsia="黑体" w:cs="Times New Roman"/>
          <w:b w:val="0"/>
        </w:rPr>
        <w:t>8</w:t>
      </w:r>
      <w:bookmarkEnd w:id="0"/>
      <w:bookmarkEnd w:id="1"/>
    </w:p>
    <w:p w14:paraId="607B3C90">
      <w:pPr>
        <w:pStyle w:val="12"/>
        <w:ind w:firstLine="0" w:firstLineChars="0"/>
        <w:rPr>
          <w:rFonts w:hint="default" w:ascii="Times New Roman" w:hAnsi="Times New Roman" w:cs="Times New Roman"/>
        </w:rPr>
      </w:pPr>
    </w:p>
    <w:p w14:paraId="4EA0EAE5">
      <w:pPr>
        <w:pStyle w:val="12"/>
        <w:ind w:firstLine="0" w:firstLineChars="0"/>
        <w:rPr>
          <w:rFonts w:hint="default" w:ascii="Times New Roman" w:hAnsi="Times New Roman" w:cs="Times New Roman"/>
        </w:rPr>
      </w:pPr>
      <w:bookmarkStart w:id="36" w:name="_GoBack"/>
      <w:bookmarkEnd w:id="36"/>
    </w:p>
    <w:p w14:paraId="772BC63F">
      <w:pPr>
        <w:pStyle w:val="12"/>
        <w:ind w:firstLine="0" w:firstLineChars="0"/>
        <w:rPr>
          <w:rFonts w:hint="default" w:ascii="Times New Roman" w:hAnsi="Times New Roman" w:cs="Times New Roman"/>
        </w:rPr>
      </w:pPr>
    </w:p>
    <w:p w14:paraId="13E2E6F0">
      <w:pPr>
        <w:pStyle w:val="12"/>
        <w:ind w:firstLine="0" w:firstLineChars="0"/>
        <w:rPr>
          <w:rFonts w:hint="default" w:ascii="Times New Roman" w:hAnsi="Times New Roman" w:cs="Times New Roman"/>
        </w:rPr>
      </w:pPr>
    </w:p>
    <w:p w14:paraId="7A49173B">
      <w:pPr>
        <w:pStyle w:val="12"/>
        <w:ind w:firstLine="0" w:firstLineChars="0"/>
        <w:rPr>
          <w:rFonts w:hint="default" w:ascii="Times New Roman" w:hAnsi="Times New Roman" w:cs="Times New Roman"/>
        </w:rPr>
      </w:pPr>
    </w:p>
    <w:p w14:paraId="4681FAFD">
      <w:pPr>
        <w:pStyle w:val="12"/>
        <w:ind w:firstLine="0" w:firstLineChars="0"/>
        <w:rPr>
          <w:rFonts w:hint="default" w:ascii="Times New Roman" w:hAnsi="Times New Roman" w:cs="Times New Roman"/>
        </w:rPr>
      </w:pPr>
    </w:p>
    <w:p w14:paraId="2B182C99">
      <w:pPr>
        <w:pStyle w:val="12"/>
        <w:ind w:firstLine="0" w:firstLineChars="0"/>
        <w:rPr>
          <w:rFonts w:hint="default" w:ascii="Times New Roman" w:hAnsi="Times New Roman" w:cs="Times New Roman"/>
        </w:rPr>
      </w:pPr>
    </w:p>
    <w:p w14:paraId="4E89DBF5">
      <w:pPr>
        <w:pStyle w:val="12"/>
        <w:ind w:firstLine="0" w:firstLineChars="0"/>
        <w:rPr>
          <w:rFonts w:hint="default" w:ascii="Times New Roman" w:hAnsi="Times New Roman" w:cs="Times New Roman"/>
        </w:rPr>
      </w:pPr>
    </w:p>
    <w:p w14:paraId="60608982">
      <w:pPr>
        <w:pStyle w:val="12"/>
        <w:ind w:firstLine="0" w:firstLineChars="0"/>
        <w:rPr>
          <w:rFonts w:hint="default" w:ascii="Times New Roman" w:hAnsi="Times New Roman" w:cs="Times New Roman"/>
        </w:rPr>
      </w:pPr>
    </w:p>
    <w:p w14:paraId="25F45B92">
      <w:pPr>
        <w:pStyle w:val="12"/>
        <w:ind w:firstLine="0" w:firstLineChars="0"/>
        <w:rPr>
          <w:rFonts w:hint="default" w:ascii="Times New Roman" w:hAnsi="Times New Roman" w:cs="Times New Roman"/>
        </w:rPr>
      </w:pPr>
    </w:p>
    <w:p w14:paraId="0622AEF1">
      <w:pPr>
        <w:pStyle w:val="12"/>
        <w:ind w:firstLine="0" w:firstLineChars="0"/>
        <w:rPr>
          <w:rFonts w:hint="default" w:ascii="Times New Roman" w:hAnsi="Times New Roman" w:cs="Times New Roman"/>
        </w:rPr>
      </w:pPr>
    </w:p>
    <w:p w14:paraId="0FE352D5">
      <w:pPr>
        <w:pStyle w:val="12"/>
        <w:ind w:firstLine="0" w:firstLineChars="0"/>
        <w:jc w:val="center"/>
        <w:rPr>
          <w:rFonts w:hint="default" w:ascii="Times New Roman" w:hAnsi="Times New Roman" w:eastAsia="黑体" w:cs="Times New Roman"/>
          <w:sz w:val="44"/>
          <w:szCs w:val="44"/>
        </w:rPr>
      </w:pPr>
      <w:bookmarkStart w:id="2" w:name="OLE_LINK6"/>
      <w:r>
        <w:rPr>
          <w:rFonts w:hint="default" w:ascii="Times New Roman" w:hAnsi="Times New Roman" w:eastAsia="黑体" w:cs="Times New Roman"/>
          <w:sz w:val="44"/>
          <w:szCs w:val="44"/>
        </w:rPr>
        <w:t>火电汽轮机组</w:t>
      </w:r>
      <w:r>
        <w:rPr>
          <w:rFonts w:hint="default" w:ascii="Times New Roman" w:hAnsi="Times New Roman" w:eastAsia="黑体" w:cs="Times New Roman"/>
          <w:sz w:val="44"/>
          <w:szCs w:val="44"/>
          <w:lang w:eastAsia="zh-CN"/>
        </w:rPr>
        <w:t>汽阀</w:t>
      </w:r>
      <w:r>
        <w:rPr>
          <w:rFonts w:hint="default" w:ascii="Times New Roman" w:hAnsi="Times New Roman" w:eastAsia="黑体" w:cs="Times New Roman"/>
          <w:sz w:val="44"/>
          <w:szCs w:val="44"/>
        </w:rPr>
        <w:t>全行程活动</w:t>
      </w:r>
    </w:p>
    <w:p w14:paraId="6ADD8A8A">
      <w:pPr>
        <w:pStyle w:val="12"/>
        <w:ind w:firstLine="0" w:firstLineChars="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试验导则</w:t>
      </w:r>
    </w:p>
    <w:bookmarkEnd w:id="2"/>
    <w:p w14:paraId="304356C5">
      <w:pPr>
        <w:pStyle w:val="12"/>
        <w:ind w:firstLine="0" w:firstLineChars="0"/>
        <w:jc w:val="center"/>
        <w:rPr>
          <w:rFonts w:hint="default" w:ascii="Times New Roman" w:hAnsi="Times New Roman" w:eastAsia="黑体" w:cs="Times New Roman"/>
          <w:sz w:val="44"/>
          <w:szCs w:val="44"/>
        </w:rPr>
      </w:pPr>
    </w:p>
    <w:p w14:paraId="305BDA99">
      <w:pPr>
        <w:pStyle w:val="12"/>
        <w:rPr>
          <w:rFonts w:hint="default" w:ascii="Times New Roman" w:hAnsi="Times New Roman" w:cs="Times New Roman"/>
        </w:rPr>
      </w:pPr>
    </w:p>
    <w:p w14:paraId="215D5B8A">
      <w:pPr>
        <w:pStyle w:val="12"/>
        <w:rPr>
          <w:rFonts w:hint="default" w:ascii="Times New Roman" w:hAnsi="Times New Roman" w:cs="Times New Roman"/>
        </w:rPr>
      </w:pPr>
    </w:p>
    <w:p w14:paraId="73190206">
      <w:pPr>
        <w:pStyle w:val="13"/>
        <w:numPr>
          <w:ilvl w:val="0"/>
          <w:numId w:val="0"/>
        </w:numPr>
        <w:jc w:val="center"/>
        <w:rPr>
          <w:rFonts w:hint="default" w:ascii="Times New Roman" w:hAnsi="Times New Roman" w:cs="Times New Roman"/>
          <w:sz w:val="28"/>
          <w:szCs w:val="28"/>
        </w:rPr>
      </w:pPr>
      <w:bookmarkStart w:id="3" w:name="_Toc298937368"/>
      <w:bookmarkStart w:id="4" w:name="_Toc298937333"/>
      <w:bookmarkStart w:id="5" w:name="_Toc304828086"/>
      <w:bookmarkStart w:id="6" w:name="_Toc309995492"/>
      <w:bookmarkStart w:id="7" w:name="_Toc298937430"/>
      <w:bookmarkStart w:id="8" w:name="_Toc309994571"/>
      <w:bookmarkStart w:id="9" w:name="_Toc309996019"/>
      <w:bookmarkStart w:id="10" w:name="_Toc309993200"/>
      <w:bookmarkStart w:id="11" w:name="_Toc310002657"/>
      <w:bookmarkStart w:id="12" w:name="_Toc304824981"/>
      <w:bookmarkStart w:id="13" w:name="_Toc304825093"/>
      <w:bookmarkStart w:id="14" w:name="_Toc309997060"/>
      <w:bookmarkStart w:id="15" w:name="_Toc309995598"/>
      <w:bookmarkStart w:id="16" w:name="_Toc304825020"/>
      <w:bookmarkStart w:id="17" w:name="_Toc309995410"/>
      <w:bookmarkStart w:id="18" w:name="_Toc298937473"/>
      <w:bookmarkStart w:id="19" w:name="_Toc298937620"/>
      <w:bookmarkStart w:id="20" w:name="_Toc318613715"/>
      <w:bookmarkStart w:id="21" w:name="_Toc304402675"/>
      <w:bookmarkStart w:id="22" w:name="_Toc298938646"/>
      <w:bookmarkStart w:id="23" w:name="_Toc320020914"/>
      <w:bookmarkStart w:id="24" w:name="_Toc298937560"/>
      <w:bookmarkStart w:id="25" w:name="_Toc298938794"/>
      <w:r>
        <w:rPr>
          <w:rFonts w:hint="default" w:ascii="Times New Roman" w:hAnsi="Times New Roman" w:cs="Times New Roman"/>
          <w:sz w:val="28"/>
          <w:szCs w:val="28"/>
        </w:rPr>
        <w:t>编 制 说</w:t>
      </w:r>
      <w:bookmarkEnd w:id="3"/>
      <w:bookmarkEnd w:id="4"/>
      <w:r>
        <w:rPr>
          <w:rFonts w:hint="default" w:ascii="Times New Roman" w:hAnsi="Times New Roman" w:cs="Times New Roman"/>
          <w:sz w:val="28"/>
          <w:szCs w:val="28"/>
        </w:rPr>
        <w:t> 明</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B6E94C4">
      <w:pPr>
        <w:pStyle w:val="12"/>
        <w:ind w:firstLine="560"/>
        <w:jc w:val="center"/>
        <w:rPr>
          <w:rFonts w:hint="default" w:ascii="Times New Roman" w:hAnsi="Times New Roman" w:eastAsia="黑体" w:cs="Times New Roman"/>
          <w:sz w:val="28"/>
          <w:szCs w:val="28"/>
        </w:rPr>
      </w:pPr>
    </w:p>
    <w:p w14:paraId="4C12F6E5">
      <w:pPr>
        <w:pStyle w:val="12"/>
        <w:ind w:firstLine="560"/>
        <w:jc w:val="center"/>
        <w:rPr>
          <w:rFonts w:hint="default" w:ascii="Times New Roman" w:hAnsi="Times New Roman" w:eastAsia="黑体" w:cs="Times New Roman"/>
          <w:sz w:val="28"/>
          <w:szCs w:val="28"/>
        </w:rPr>
      </w:pPr>
    </w:p>
    <w:p w14:paraId="6671C06F">
      <w:pPr>
        <w:pStyle w:val="12"/>
        <w:rPr>
          <w:rFonts w:hint="default" w:ascii="Times New Roman" w:hAnsi="Times New Roman" w:cs="Times New Roman"/>
        </w:rPr>
        <w:sectPr>
          <w:headerReference r:id="rId3" w:type="default"/>
          <w:headerReference r:id="rId4" w:type="even"/>
          <w:pgSz w:w="11906" w:h="16838"/>
          <w:pgMar w:top="567" w:right="1134" w:bottom="1134" w:left="1417" w:header="1418" w:footer="1134" w:gutter="0"/>
          <w:cols w:space="720" w:num="1"/>
          <w:formProt w:val="0"/>
          <w:docGrid w:type="lines" w:linePitch="312" w:charSpace="0"/>
        </w:sectPr>
      </w:pPr>
    </w:p>
    <w:p w14:paraId="68E8FE25">
      <w:pPr>
        <w:pStyle w:val="14"/>
        <w:rPr>
          <w:rFonts w:hint="default" w:ascii="Times New Roman" w:hAnsi="Times New Roman" w:cs="Times New Roman"/>
        </w:rPr>
      </w:pPr>
      <w:bookmarkStart w:id="26" w:name="_Toc309992160"/>
      <w:bookmarkStart w:id="27" w:name="_Toc513731109"/>
      <w:bookmarkStart w:id="28" w:name="_Toc513731021"/>
      <w:bookmarkStart w:id="29" w:name="_Toc22557"/>
      <w:r>
        <w:rPr>
          <w:rFonts w:hint="default" w:ascii="Times New Roman" w:hAnsi="Times New Roman" w:cs="Times New Roman"/>
        </w:rPr>
        <w:t>目次</w:t>
      </w:r>
      <w:bookmarkEnd w:id="26"/>
      <w:bookmarkEnd w:id="27"/>
      <w:bookmarkEnd w:id="28"/>
      <w:bookmarkEnd w:id="29"/>
    </w:p>
    <w:p w14:paraId="2DDD8391">
      <w:pPr>
        <w:pStyle w:val="4"/>
        <w:tabs>
          <w:tab w:val="right" w:leader="dot" w:pos="9355"/>
          <w:tab w:val="clear" w:pos="9241"/>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w:instrText>
      </w:r>
      <w:r>
        <w:rPr>
          <w:rFonts w:hint="default" w:ascii="Times New Roman" w:hAnsi="Times New Roman" w:cs="Times New Roman"/>
        </w:rPr>
        <w:instrText xml:space="preserve">TOC \o "1-1" \h \z \u</w:instrText>
      </w:r>
      <w:r>
        <w:rPr>
          <w:rFonts w:hint="default" w:ascii="Times New Roman" w:hAnsi="Times New Roman" w:cs="Times New Roman"/>
        </w:rPr>
        <w:instrText xml:space="preserve"> </w:instrText>
      </w:r>
      <w:r>
        <w:rPr>
          <w:rFonts w:hint="default" w:ascii="Times New Roman" w:hAnsi="Times New Roman" w:cs="Times New Roman"/>
        </w:rPr>
        <w:fldChar w:fldCharType="separate"/>
      </w: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_Toc22557 </w:instrText>
      </w:r>
      <w:r>
        <w:rPr>
          <w:rFonts w:hint="default" w:ascii="Times New Roman" w:hAnsi="Times New Roman" w:cs="Times New Roman"/>
          <w:szCs w:val="21"/>
        </w:rPr>
        <w:fldChar w:fldCharType="separate"/>
      </w:r>
      <w:r>
        <w:rPr>
          <w:rFonts w:hint="default" w:ascii="Times New Roman" w:hAnsi="Times New Roman" w:cs="Times New Roman"/>
        </w:rPr>
        <w:t>目次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_Toc22557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zCs w:val="21"/>
        </w:rPr>
        <w:fldChar w:fldCharType="end"/>
      </w:r>
    </w:p>
    <w:p w14:paraId="28CEFC8F">
      <w:pPr>
        <w:pStyle w:val="4"/>
        <w:tabs>
          <w:tab w:val="right" w:leader="dot" w:pos="9355"/>
          <w:tab w:val="clear" w:pos="9241"/>
        </w:tabs>
        <w:rPr>
          <w:rFonts w:hint="default" w:ascii="Times New Roman" w:hAnsi="Times New Roman" w:cs="Times New Roman"/>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_Toc20679 </w:instrText>
      </w:r>
      <w:r>
        <w:rPr>
          <w:rFonts w:hint="default" w:ascii="Times New Roman" w:hAnsi="Times New Roman" w:cs="Times New Roman"/>
          <w:szCs w:val="21"/>
        </w:rPr>
        <w:fldChar w:fldCharType="separate"/>
      </w:r>
      <w:r>
        <w:rPr>
          <w:rFonts w:hint="default" w:ascii="Times New Roman" w:hAnsi="Times New Roman" w:cs="Times New Roman"/>
          <w:szCs w:val="21"/>
        </w:rPr>
        <w:t>1 编制背景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_Toc20679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zCs w:val="21"/>
        </w:rPr>
        <w:fldChar w:fldCharType="end"/>
      </w:r>
    </w:p>
    <w:p w14:paraId="7C0B8A0D">
      <w:pPr>
        <w:pStyle w:val="4"/>
        <w:tabs>
          <w:tab w:val="right" w:leader="dot" w:pos="9355"/>
          <w:tab w:val="clear" w:pos="9241"/>
        </w:tabs>
        <w:rPr>
          <w:rFonts w:hint="default" w:ascii="Times New Roman" w:hAnsi="Times New Roman" w:cs="Times New Roman"/>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_Toc25139 </w:instrText>
      </w:r>
      <w:r>
        <w:rPr>
          <w:rFonts w:hint="default" w:ascii="Times New Roman" w:hAnsi="Times New Roman" w:cs="Times New Roman"/>
          <w:szCs w:val="21"/>
        </w:rPr>
        <w:fldChar w:fldCharType="separate"/>
      </w:r>
      <w:r>
        <w:rPr>
          <w:rFonts w:hint="default" w:ascii="Times New Roman" w:hAnsi="Times New Roman" w:cs="Times New Roman"/>
          <w:szCs w:val="21"/>
        </w:rPr>
        <w:t>2 编制主要原则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_Toc25139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zCs w:val="21"/>
        </w:rPr>
        <w:fldChar w:fldCharType="end"/>
      </w:r>
    </w:p>
    <w:p w14:paraId="6F738D61">
      <w:pPr>
        <w:pStyle w:val="4"/>
        <w:tabs>
          <w:tab w:val="right" w:leader="dot" w:pos="9355"/>
          <w:tab w:val="clear" w:pos="9241"/>
        </w:tabs>
        <w:rPr>
          <w:rFonts w:hint="default" w:ascii="Times New Roman" w:hAnsi="Times New Roman" w:cs="Times New Roman"/>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_Toc8802 </w:instrText>
      </w:r>
      <w:r>
        <w:rPr>
          <w:rFonts w:hint="default" w:ascii="Times New Roman" w:hAnsi="Times New Roman" w:cs="Times New Roman"/>
          <w:szCs w:val="21"/>
        </w:rPr>
        <w:fldChar w:fldCharType="separate"/>
      </w:r>
      <w:r>
        <w:rPr>
          <w:rFonts w:hint="default" w:ascii="Times New Roman" w:hAnsi="Times New Roman" w:cs="Times New Roman"/>
          <w:szCs w:val="21"/>
        </w:rPr>
        <w:t>3 主要工作过程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_Toc8802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szCs w:val="21"/>
        </w:rPr>
        <w:fldChar w:fldCharType="end"/>
      </w:r>
    </w:p>
    <w:p w14:paraId="16A03E92">
      <w:pPr>
        <w:pStyle w:val="4"/>
        <w:tabs>
          <w:tab w:val="right" w:leader="dot" w:pos="9355"/>
          <w:tab w:val="clear" w:pos="9241"/>
        </w:tabs>
        <w:rPr>
          <w:rFonts w:hint="default" w:ascii="Times New Roman" w:hAnsi="Times New Roman" w:cs="Times New Roman"/>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_Toc4206 </w:instrText>
      </w:r>
      <w:r>
        <w:rPr>
          <w:rFonts w:hint="default" w:ascii="Times New Roman" w:hAnsi="Times New Roman" w:cs="Times New Roman"/>
          <w:szCs w:val="21"/>
        </w:rPr>
        <w:fldChar w:fldCharType="separate"/>
      </w:r>
      <w:r>
        <w:rPr>
          <w:rFonts w:hint="default" w:ascii="Times New Roman" w:hAnsi="Times New Roman" w:cs="Times New Roman"/>
          <w:szCs w:val="21"/>
        </w:rPr>
        <w:t>4</w:t>
      </w:r>
      <w:r>
        <w:rPr>
          <w:rFonts w:hint="default" w:ascii="Times New Roman" w:hAnsi="Times New Roman" w:cs="Times New Roman"/>
        </w:rPr>
        <w:t xml:space="preserve"> 标准结构和内容说明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_Toc4206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szCs w:val="21"/>
        </w:rPr>
        <w:fldChar w:fldCharType="end"/>
      </w:r>
    </w:p>
    <w:p w14:paraId="3DF8FA44">
      <w:pPr>
        <w:pStyle w:val="4"/>
        <w:tabs>
          <w:tab w:val="right" w:leader="dot" w:pos="9355"/>
          <w:tab w:val="clear" w:pos="9241"/>
        </w:tabs>
        <w:rPr>
          <w:rFonts w:hint="default" w:ascii="Times New Roman" w:hAnsi="Times New Roman" w:cs="Times New Roman"/>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_Toc22192 </w:instrText>
      </w:r>
      <w:r>
        <w:rPr>
          <w:rFonts w:hint="default" w:ascii="Times New Roman" w:hAnsi="Times New Roman" w:cs="Times New Roman"/>
          <w:szCs w:val="21"/>
        </w:rPr>
        <w:fldChar w:fldCharType="separate"/>
      </w:r>
      <w:r>
        <w:rPr>
          <w:rFonts w:hint="default" w:ascii="Times New Roman" w:hAnsi="Times New Roman" w:cs="Times New Roman"/>
          <w:szCs w:val="21"/>
        </w:rPr>
        <w:t>5相关</w:t>
      </w:r>
      <w:r>
        <w:rPr>
          <w:rFonts w:hint="default" w:ascii="Times New Roman" w:hAnsi="Times New Roman" w:cs="Times New Roman"/>
        </w:rPr>
        <w:t>标准对比说明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_Toc22192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zCs w:val="21"/>
        </w:rPr>
        <w:fldChar w:fldCharType="end"/>
      </w:r>
    </w:p>
    <w:p w14:paraId="3DEB3632">
      <w:pPr>
        <w:pStyle w:val="4"/>
        <w:tabs>
          <w:tab w:val="right" w:leader="dot" w:pos="9355"/>
          <w:tab w:val="clear" w:pos="9241"/>
        </w:tabs>
        <w:rPr>
          <w:rFonts w:hint="default" w:ascii="Times New Roman" w:hAnsi="Times New Roman" w:cs="Times New Roman"/>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_Toc15916 </w:instrText>
      </w:r>
      <w:r>
        <w:rPr>
          <w:rFonts w:hint="default" w:ascii="Times New Roman" w:hAnsi="Times New Roman" w:cs="Times New Roman"/>
          <w:szCs w:val="21"/>
        </w:rPr>
        <w:fldChar w:fldCharType="separate"/>
      </w:r>
      <w:r>
        <w:rPr>
          <w:rFonts w:hint="default" w:ascii="Times New Roman" w:hAnsi="Times New Roman" w:cs="Times New Roman"/>
          <w:szCs w:val="21"/>
        </w:rPr>
        <w:t>6标准实施措施说明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_Toc15916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zCs w:val="21"/>
        </w:rPr>
        <w:fldChar w:fldCharType="end"/>
      </w:r>
    </w:p>
    <w:p w14:paraId="7128D6A2">
      <w:pPr>
        <w:pStyle w:val="12"/>
        <w:rPr>
          <w:rFonts w:hint="default" w:ascii="Times New Roman" w:hAnsi="Times New Roman" w:cs="Times New Roman"/>
          <w:szCs w:val="21"/>
        </w:rPr>
      </w:pPr>
      <w:r>
        <w:rPr>
          <w:rFonts w:hint="default" w:ascii="Times New Roman" w:hAnsi="Times New Roman" w:cs="Times New Roman"/>
          <w:szCs w:val="21"/>
        </w:rPr>
        <w:fldChar w:fldCharType="end"/>
      </w:r>
    </w:p>
    <w:p w14:paraId="267D5D5D">
      <w:pPr>
        <w:pStyle w:val="12"/>
        <w:rPr>
          <w:rFonts w:hint="default" w:ascii="Times New Roman" w:hAnsi="Times New Roman" w:cs="Times New Roman"/>
          <w:szCs w:val="21"/>
        </w:rPr>
      </w:pPr>
    </w:p>
    <w:p w14:paraId="4B03A277">
      <w:pPr>
        <w:pStyle w:val="12"/>
        <w:rPr>
          <w:rFonts w:hint="default" w:ascii="Times New Roman" w:hAnsi="Times New Roman" w:cs="Times New Roman"/>
          <w:szCs w:val="21"/>
        </w:rPr>
      </w:pPr>
    </w:p>
    <w:p w14:paraId="44C25134">
      <w:pPr>
        <w:pStyle w:val="12"/>
        <w:rPr>
          <w:rFonts w:hint="default" w:ascii="Times New Roman" w:hAnsi="Times New Roman" w:cs="Times New Roman"/>
          <w:szCs w:val="21"/>
        </w:rPr>
      </w:pPr>
    </w:p>
    <w:p w14:paraId="56934834">
      <w:pPr>
        <w:pStyle w:val="12"/>
        <w:rPr>
          <w:rFonts w:hint="default" w:ascii="Times New Roman" w:hAnsi="Times New Roman" w:cs="Times New Roman"/>
          <w:szCs w:val="21"/>
        </w:rPr>
        <w:sectPr>
          <w:headerReference r:id="rId5" w:type="default"/>
          <w:footerReference r:id="rId6" w:type="default"/>
          <w:pgSz w:w="11906" w:h="16838"/>
          <w:pgMar w:top="567" w:right="1134" w:bottom="1134" w:left="1417" w:header="1418" w:footer="1134" w:gutter="0"/>
          <w:pgNumType w:start="1"/>
          <w:cols w:space="720" w:num="1"/>
          <w:formProt w:val="0"/>
          <w:docGrid w:type="lines" w:linePitch="312" w:charSpace="0"/>
        </w:sectPr>
      </w:pPr>
    </w:p>
    <w:p w14:paraId="56D50DFB">
      <w:pPr>
        <w:pStyle w:val="16"/>
        <w:spacing w:before="312" w:after="312"/>
        <w:rPr>
          <w:rFonts w:hint="default" w:ascii="Times New Roman" w:hAnsi="Times New Roman" w:cs="Times New Roman"/>
          <w:szCs w:val="21"/>
        </w:rPr>
      </w:pPr>
      <w:bookmarkStart w:id="30" w:name="_Toc20679"/>
      <w:r>
        <w:rPr>
          <w:rFonts w:hint="default" w:ascii="Times New Roman" w:hAnsi="Times New Roman" w:cs="Times New Roman"/>
          <w:szCs w:val="21"/>
        </w:rPr>
        <w:t>1 编制背景</w:t>
      </w:r>
      <w:bookmarkEnd w:id="30"/>
    </w:p>
    <w:p w14:paraId="18D8195B">
      <w:pPr>
        <w:pStyle w:val="12"/>
        <w:rPr>
          <w:rFonts w:hint="default" w:ascii="Times New Roman" w:hAnsi="Times New Roman" w:eastAsia="宋体" w:cs="Times New Roman"/>
          <w:color w:val="auto"/>
          <w:lang w:eastAsia="zh-CN"/>
        </w:rPr>
      </w:pPr>
      <w:r>
        <w:rPr>
          <w:rFonts w:hint="default" w:ascii="Times New Roman" w:hAnsi="Times New Roman" w:cs="Times New Roman"/>
          <w:color w:val="auto"/>
        </w:rPr>
        <w:t>本标准是根据2025年532号</w:t>
      </w:r>
      <w:r>
        <w:rPr>
          <w:rFonts w:hint="default" w:ascii="Times New Roman" w:hAnsi="Times New Roman" w:cs="Times New Roman"/>
          <w:color w:val="auto"/>
          <w:lang w:val="en-US" w:eastAsia="zh-CN"/>
        </w:rPr>
        <w:t>文</w:t>
      </w:r>
      <w:r>
        <w:rPr>
          <w:rFonts w:hint="default" w:ascii="Times New Roman" w:hAnsi="Times New Roman" w:cs="Times New Roman"/>
          <w:color w:val="auto"/>
        </w:rPr>
        <w:t>中国电机工程学会关于印发“中国电机工程学会2025年标准计划（第一批）”的通知</w:t>
      </w:r>
      <w:r>
        <w:rPr>
          <w:rFonts w:hint="default" w:ascii="Times New Roman" w:hAnsi="Times New Roman" w:cs="Times New Roman"/>
          <w:color w:val="auto"/>
        </w:rPr>
        <w:t>下达</w:t>
      </w:r>
      <w:r>
        <w:rPr>
          <w:rFonts w:hint="default" w:ascii="Times New Roman" w:hAnsi="Times New Roman" w:cs="Times New Roman"/>
          <w:color w:val="auto"/>
        </w:rPr>
        <w:t>的制定</w:t>
      </w:r>
      <w:r>
        <w:rPr>
          <w:rFonts w:hint="default" w:ascii="Times New Roman" w:hAnsi="Times New Roman" w:cs="Times New Roman"/>
          <w:color w:val="auto"/>
        </w:rPr>
        <w:t>任务</w:t>
      </w:r>
      <w:r>
        <w:rPr>
          <w:rFonts w:hint="default" w:ascii="Times New Roman" w:hAnsi="Times New Roman" w:cs="Times New Roman"/>
          <w:color w:val="auto"/>
        </w:rPr>
        <w:t>，项目序号</w:t>
      </w:r>
      <w:r>
        <w:rPr>
          <w:rFonts w:hint="default" w:ascii="Times New Roman" w:hAnsi="Times New Roman" w:cs="Times New Roman"/>
          <w:color w:val="auto"/>
          <w:lang w:val="en-US" w:eastAsia="zh-CN"/>
        </w:rPr>
        <w:t>3</w:t>
      </w:r>
      <w:r>
        <w:rPr>
          <w:rFonts w:hint="default" w:ascii="Times New Roman" w:hAnsi="Times New Roman" w:cs="Times New Roman"/>
          <w:color w:val="auto"/>
        </w:rPr>
        <w:t>对“</w:t>
      </w:r>
      <w:r>
        <w:rPr>
          <w:rFonts w:hint="default" w:ascii="Times New Roman" w:hAnsi="Times New Roman" w:cs="Times New Roman"/>
          <w:color w:val="auto"/>
          <w:lang w:val="en-US" w:eastAsia="zh-CN"/>
        </w:rPr>
        <w:t>火电汽轮机组汽门全行程活动试验导则</w:t>
      </w:r>
      <w:r>
        <w:rPr>
          <w:rFonts w:hint="default" w:ascii="Times New Roman" w:hAnsi="Times New Roman" w:cs="Times New Roman"/>
          <w:color w:val="auto"/>
        </w:rPr>
        <w:t>”进行制定的</w:t>
      </w:r>
      <w:r>
        <w:rPr>
          <w:rFonts w:hint="default" w:ascii="Times New Roman" w:hAnsi="Times New Roman" w:cs="Times New Roman"/>
          <w:color w:val="auto"/>
        </w:rPr>
        <w:t>。</w:t>
      </w:r>
      <w:r>
        <w:rPr>
          <w:rFonts w:hint="default" w:ascii="Times New Roman" w:hAnsi="Times New Roman" w:cs="Times New Roman"/>
          <w:color w:val="auto"/>
        </w:rPr>
        <w:t>由国家能源集团科学技术研究院有限公司负责牵头起草</w:t>
      </w:r>
      <w:r>
        <w:rPr>
          <w:rFonts w:hint="default" w:ascii="Times New Roman" w:hAnsi="Times New Roman" w:cs="Times New Roman"/>
          <w:color w:val="auto"/>
          <w:lang w:eastAsia="zh-CN"/>
        </w:rPr>
        <w:t>。</w:t>
      </w:r>
    </w:p>
    <w:p w14:paraId="09E019B5">
      <w:pPr>
        <w:pStyle w:val="12"/>
        <w:rPr>
          <w:rFonts w:hint="default" w:ascii="Times New Roman" w:hAnsi="Times New Roman" w:cs="Times New Roman"/>
          <w:color w:val="auto"/>
        </w:rPr>
      </w:pPr>
      <w:r>
        <w:rPr>
          <w:rFonts w:hint="default" w:ascii="Times New Roman" w:hAnsi="Times New Roman" w:cs="Times New Roman"/>
          <w:color w:val="auto"/>
          <w:lang w:val="en-US" w:eastAsia="zh-CN"/>
        </w:rPr>
        <w:t>近年来，</w:t>
      </w:r>
      <w:r>
        <w:rPr>
          <w:rFonts w:hint="default" w:ascii="Times New Roman" w:hAnsi="Times New Roman" w:cs="Times New Roman"/>
          <w:color w:val="auto"/>
        </w:rPr>
        <w:t>汽轮机主汽门、调节汽门是控制机组功率和转速的核心部件，其动作灵活性直接关系到机组的安全稳定运行。在长期运行中，汽门因氧化、积盐、结垢等原因易发生卡涩，若在甩负荷等紧急工况下无法快速关闭，将导致汽轮机严重超速，引发灾难性事故。尽管《防止电力生产事故的二十五项重点要求》等反事故措施明确要求定期进行汽门活动试验，但长期以来，行业内缺乏统一、详细、可操作的试验标准。现有相关标准如DL/T 711-2019《汽轮机调节保安系统试验导则》虽提及阀门活动试验，但内容较为原则；DL/T 1055-2021《火力发电厂汽轮机技术监督导则》规定了试验周期，但未明确具体方法、步骤和安全措施。各发电企业试验做法不一，安全风险控制水平参差不齐，亟需制定一部专门针对汽门全行程活动试验的指导性标准，以规范试验行为，统一技术尺度，提升试验的安全性和有效性，从根本上预防因阀门卡涩导致的超速事故，保障电力生产安全。</w:t>
      </w:r>
    </w:p>
    <w:p w14:paraId="683EDA5A">
      <w:pPr>
        <w:pStyle w:val="16"/>
        <w:spacing w:before="312" w:after="312"/>
        <w:rPr>
          <w:rFonts w:hint="default" w:ascii="Times New Roman" w:hAnsi="Times New Roman" w:cs="Times New Roman"/>
          <w:szCs w:val="21"/>
        </w:rPr>
      </w:pPr>
      <w:bookmarkStart w:id="31" w:name="_Toc25139"/>
      <w:r>
        <w:rPr>
          <w:rFonts w:hint="default" w:ascii="Times New Roman" w:hAnsi="Times New Roman" w:cs="Times New Roman"/>
          <w:szCs w:val="21"/>
        </w:rPr>
        <w:t>2 编制主要原则</w:t>
      </w:r>
      <w:bookmarkEnd w:id="31"/>
    </w:p>
    <w:p w14:paraId="1AC8EA42">
      <w:pPr>
        <w:pStyle w:val="17"/>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rPr>
        <w:t>2.1 安全第一，预防为主</w:t>
      </w:r>
    </w:p>
    <w:p w14:paraId="62426D09">
      <w:pPr>
        <w:pStyle w:val="17"/>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rPr>
        <w:t>2.1.1 全过程风险管控</w:t>
      </w:r>
    </w:p>
    <w:p w14:paraId="67DDFF36">
      <w:pPr>
        <w:pStyle w:val="12"/>
        <w:rPr>
          <w:rFonts w:hint="default" w:ascii="Times New Roman" w:hAnsi="Times New Roman" w:cs="Times New Roman"/>
          <w:color w:val="auto"/>
        </w:rPr>
      </w:pPr>
      <w:r>
        <w:rPr>
          <w:rFonts w:hint="default" w:ascii="Times New Roman" w:hAnsi="Times New Roman" w:cs="Times New Roman"/>
          <w:color w:val="auto"/>
        </w:rPr>
        <w:t>本标准编制将试验安全置于首位，遵循“安全第一，预防为主”的方针。标准内容不仅规定了试验操作步骤，更系统性地构建了试验前条件确认、试验中过程监控、异常情况应急处置的全过程安全管控体系。明确了试验必须满足的设备、运行、人员条件，设定了关键参数的监控阈值和紧急中止条件，确保试验在可控、在控状态下进行。</w:t>
      </w:r>
    </w:p>
    <w:p w14:paraId="155E0C47">
      <w:pPr>
        <w:pStyle w:val="17"/>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rPr>
        <w:t>2.1.2 强化本质安全设计</w:t>
      </w:r>
    </w:p>
    <w:p w14:paraId="5803D265">
      <w:pPr>
        <w:pStyle w:val="12"/>
        <w:rPr>
          <w:rFonts w:hint="default" w:ascii="Times New Roman" w:hAnsi="Times New Roman" w:cs="Times New Roman"/>
          <w:color w:val="auto"/>
        </w:rPr>
      </w:pPr>
      <w:r>
        <w:rPr>
          <w:rFonts w:hint="default" w:ascii="Times New Roman" w:hAnsi="Times New Roman" w:cs="Times New Roman"/>
          <w:color w:val="auto"/>
        </w:rPr>
        <w:t>标准条款设计充分考虑了防止误操作和故障扩大。例如，强制规定试验前必须退出AGC和一次调频、明确阀门关闭与开启的严格顺序（先关调门、后关主门；先开主门、后开调门）、要求备用油泵处于联动备用状态等，从操作逻辑和系统配置上筑牢安全防线。</w:t>
      </w:r>
    </w:p>
    <w:p w14:paraId="4D350B43">
      <w:pPr>
        <w:pStyle w:val="17"/>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rPr>
        <w:t>2.2 立足实践，指导性强</w:t>
      </w:r>
    </w:p>
    <w:p w14:paraId="66AA3C8A">
      <w:pPr>
        <w:pStyle w:val="12"/>
        <w:rPr>
          <w:rFonts w:hint="default" w:ascii="Times New Roman" w:hAnsi="Times New Roman" w:cs="Times New Roman"/>
        </w:rPr>
      </w:pPr>
      <w:r>
        <w:rPr>
          <w:rFonts w:hint="default" w:ascii="Times New Roman" w:hAnsi="Times New Roman" w:cs="Times New Roman"/>
        </w:rPr>
        <w:t>标准编制紧密围绕火力发电企业现场实际需求，内容力求具体、明确、可操作。试验步骤、安全措施、报告格式等均来源于行业最佳实践和典型经验反馈，避免原则性、模糊性描述。针对不同机组类型（如全周进汽与部分进汽）、不同阀门结构（如高压主汽门与扑板式中压主汽门）的差异化试验要求进行了明确，增强了标准的现场适用性和指导价值。</w:t>
      </w:r>
    </w:p>
    <w:p w14:paraId="770C5DBF">
      <w:pPr>
        <w:pStyle w:val="17"/>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rPr>
        <w:t>2.3 协调统一，继承发展</w:t>
      </w:r>
    </w:p>
    <w:p w14:paraId="18BC2F0A">
      <w:pPr>
        <w:pStyle w:val="12"/>
        <w:rPr>
          <w:rFonts w:hint="default" w:ascii="Times New Roman" w:hAnsi="Times New Roman" w:cs="Times New Roman"/>
        </w:rPr>
      </w:pPr>
      <w:r>
        <w:rPr>
          <w:rFonts w:hint="default" w:ascii="Times New Roman" w:hAnsi="Times New Roman" w:eastAsia="Segoe UI" w:cs="Times New Roman"/>
          <w:i w:val="0"/>
          <w:iCs w:val="0"/>
          <w:caps w:val="0"/>
          <w:spacing w:val="0"/>
          <w:sz w:val="21"/>
          <w:szCs w:val="21"/>
          <w:shd w:val="clear" w:fill="FFFFFF"/>
        </w:rPr>
        <w:t>本标准严格遵循GB/T 1.1—2020《标准化工作导则》的编写规则，确保结构规范。在技术内容上，与现行有效的国家标准、行业标准，特别是DL/T 1055-2021、DL/T 711-2019、DL/T 338-2010等保持协调一致，对其中已明确的原则（如试验周期）予以继承和细化，对未详尽描述的操作细节、安全要求进行补充和发展，形成一部专项、互补的团体标准</w:t>
      </w:r>
    </w:p>
    <w:p w14:paraId="57CCE672">
      <w:pPr>
        <w:pStyle w:val="16"/>
        <w:spacing w:before="312" w:after="312"/>
        <w:rPr>
          <w:rFonts w:hint="default" w:ascii="Times New Roman" w:hAnsi="Times New Roman" w:cs="Times New Roman"/>
          <w:szCs w:val="21"/>
        </w:rPr>
      </w:pPr>
      <w:bookmarkStart w:id="32" w:name="_Toc8802"/>
      <w:r>
        <w:rPr>
          <w:rFonts w:hint="default" w:ascii="Times New Roman" w:hAnsi="Times New Roman" w:cs="Times New Roman"/>
          <w:szCs w:val="21"/>
        </w:rPr>
        <w:t>3 主要工作过程</w:t>
      </w:r>
      <w:bookmarkEnd w:id="32"/>
    </w:p>
    <w:p w14:paraId="715889DA">
      <w:pPr>
        <w:pStyle w:val="17"/>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lang w:val="en-US" w:eastAsia="zh-CN"/>
        </w:rPr>
        <w:t>3.1</w:t>
      </w:r>
      <w:r>
        <w:rPr>
          <w:rFonts w:hint="default" w:ascii="Times New Roman" w:hAnsi="Times New Roman" w:cs="Times New Roman"/>
        </w:rPr>
        <w:t>前期工作</w:t>
      </w:r>
    </w:p>
    <w:p w14:paraId="219DB3C1">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 xml:space="preserve"> 牵头单位国家能源集团科学技术研究院有限公司联合国家能源集团宁夏电力有限公司、主要汽轮机制造厂（东汽、上汽、哈汽）、发电企业及高校成立了标准编制组。编制组系统调研了行业现状，收集了各类型机组汽门试验的现有做法、技术难点、事故案例及运行数据，分析了相关标准法规，明确了标准的核心框架和技术要点，完成了立项申请和任务书编制。</w:t>
      </w:r>
    </w:p>
    <w:p w14:paraId="33DA7638">
      <w:pPr>
        <w:pStyle w:val="17"/>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lang w:val="en-US" w:eastAsia="zh-CN"/>
        </w:rPr>
        <w:t>3.2</w:t>
      </w:r>
      <w:r>
        <w:rPr>
          <w:rFonts w:hint="default" w:ascii="Times New Roman" w:hAnsi="Times New Roman" w:cs="Times New Roman"/>
        </w:rPr>
        <w:t xml:space="preserve">征求意见稿形成及发送 </w:t>
      </w:r>
    </w:p>
    <w:p w14:paraId="18095E9C">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编制组在调研基础上，起草了标准征求意见稿及其编制说明。于2026年4月，通过中国电机工程学会标准化平台，向发电集团、电网公司、设计院、制造厂、科研院所等40余家相关单位发出了征求意见。</w:t>
      </w:r>
    </w:p>
    <w:p w14:paraId="03E81E9C">
      <w:pPr>
        <w:pStyle w:val="17"/>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lang w:val="en-US" w:eastAsia="zh-CN"/>
        </w:rPr>
        <w:t>3.3</w:t>
      </w:r>
      <w:r>
        <w:rPr>
          <w:rFonts w:hint="default" w:ascii="Times New Roman" w:hAnsi="Times New Roman" w:cs="Times New Roman"/>
        </w:rPr>
        <w:t>意见收集和处理</w:t>
      </w:r>
    </w:p>
    <w:p w14:paraId="63270565">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共收到来自</w:t>
      </w:r>
      <w:r>
        <w:rPr>
          <w:rFonts w:hint="default" w:ascii="Times New Roman" w:hAnsi="Times New Roman" w:cs="Times New Roman"/>
          <w:i w:val="0"/>
          <w:iCs w:val="0"/>
          <w:caps w:val="0"/>
          <w:spacing w:val="0"/>
          <w:sz w:val="21"/>
          <w:szCs w:val="21"/>
          <w:shd w:val="clear" w:fill="FFFFFF"/>
          <w:lang w:val="en-US" w:eastAsia="zh-CN"/>
        </w:rPr>
        <w:t>X</w:t>
      </w:r>
      <w:r>
        <w:rPr>
          <w:rFonts w:hint="default" w:ascii="Times New Roman" w:hAnsi="Times New Roman" w:eastAsia="Segoe UI" w:cs="Times New Roman"/>
          <w:i w:val="0"/>
          <w:iCs w:val="0"/>
          <w:caps w:val="0"/>
          <w:spacing w:val="0"/>
          <w:sz w:val="21"/>
          <w:szCs w:val="21"/>
          <w:shd w:val="clear" w:fill="FFFFFF"/>
        </w:rPr>
        <w:t>家单位的</w:t>
      </w:r>
      <w:r>
        <w:rPr>
          <w:rFonts w:hint="default" w:ascii="Times New Roman" w:hAnsi="Times New Roman" w:cs="Times New Roman"/>
          <w:i w:val="0"/>
          <w:iCs w:val="0"/>
          <w:caps w:val="0"/>
          <w:spacing w:val="0"/>
          <w:sz w:val="21"/>
          <w:szCs w:val="21"/>
          <w:shd w:val="clear" w:fill="FFFFFF"/>
          <w:lang w:val="en-US" w:eastAsia="zh-CN"/>
        </w:rPr>
        <w:t>X</w:t>
      </w:r>
      <w:r>
        <w:rPr>
          <w:rFonts w:hint="default" w:ascii="Times New Roman" w:hAnsi="Times New Roman" w:eastAsia="Segoe UI" w:cs="Times New Roman"/>
          <w:i w:val="0"/>
          <w:iCs w:val="0"/>
          <w:caps w:val="0"/>
          <w:spacing w:val="0"/>
          <w:sz w:val="21"/>
          <w:szCs w:val="21"/>
          <w:shd w:val="clear" w:fill="FFFFFF"/>
        </w:rPr>
        <w:t>余条具体意见。编制组对所有意见进行了逐条梳理、分析和讨论，采纳或部分采纳了涉及试验周期与DL/T 1055统一、安全措施细化、术语定义完善、操作步骤优化等合理化建议约</w:t>
      </w:r>
      <w:r>
        <w:rPr>
          <w:rFonts w:hint="default" w:ascii="Times New Roman" w:hAnsi="Times New Roman" w:cs="Times New Roman"/>
          <w:i w:val="0"/>
          <w:iCs w:val="0"/>
          <w:caps w:val="0"/>
          <w:spacing w:val="0"/>
          <w:sz w:val="21"/>
          <w:szCs w:val="21"/>
          <w:shd w:val="clear" w:fill="FFFFFF"/>
          <w:lang w:val="en-US" w:eastAsia="zh-CN"/>
        </w:rPr>
        <w:t>X</w:t>
      </w:r>
      <w:r>
        <w:rPr>
          <w:rFonts w:hint="default" w:ascii="Times New Roman" w:hAnsi="Times New Roman" w:eastAsia="Segoe UI" w:cs="Times New Roman"/>
          <w:i w:val="0"/>
          <w:iCs w:val="0"/>
          <w:caps w:val="0"/>
          <w:spacing w:val="0"/>
          <w:sz w:val="21"/>
          <w:szCs w:val="21"/>
          <w:shd w:val="clear" w:fill="FFFFFF"/>
        </w:rPr>
        <w:t>条，对未采纳意见均与提出单位进行了沟通并说明了理由。在此基础上，形成了标准送审稿。</w:t>
      </w:r>
    </w:p>
    <w:p w14:paraId="76E1B475">
      <w:pPr>
        <w:pStyle w:val="17"/>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lang w:val="en-US" w:eastAsia="zh-CN"/>
        </w:rPr>
        <w:t>3.4</w:t>
      </w:r>
      <w:r>
        <w:rPr>
          <w:rFonts w:hint="default" w:ascii="Times New Roman" w:hAnsi="Times New Roman" w:cs="Times New Roman"/>
        </w:rPr>
        <w:t>送审稿审查</w:t>
      </w:r>
    </w:p>
    <w:p w14:paraId="66B34A51">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 xml:space="preserve"> 2026年</w:t>
      </w:r>
      <w:r>
        <w:rPr>
          <w:rFonts w:hint="default" w:ascii="Times New Roman" w:hAnsi="Times New Roman" w:cs="Times New Roman"/>
          <w:i w:val="0"/>
          <w:iCs w:val="0"/>
          <w:caps w:val="0"/>
          <w:spacing w:val="0"/>
          <w:sz w:val="21"/>
          <w:szCs w:val="21"/>
          <w:shd w:val="clear" w:fill="FFFFFF"/>
          <w:lang w:val="en-US" w:eastAsia="zh-CN"/>
        </w:rPr>
        <w:t>X</w:t>
      </w:r>
      <w:r>
        <w:rPr>
          <w:rFonts w:hint="default" w:ascii="Times New Roman" w:hAnsi="Times New Roman" w:eastAsia="Segoe UI" w:cs="Times New Roman"/>
          <w:i w:val="0"/>
          <w:iCs w:val="0"/>
          <w:caps w:val="0"/>
          <w:spacing w:val="0"/>
          <w:sz w:val="21"/>
          <w:szCs w:val="21"/>
          <w:shd w:val="clear" w:fill="FFFFFF"/>
        </w:rPr>
        <w:t>月，中国电机工程学会热力发电标准专业委员会组织召开了标准送审稿审查会。与会专家认为标准结构合理、内容全面、可操作性强，一致同意通过审查。编制组根据审查会专家意见进行了最后修改完善。</w:t>
      </w:r>
    </w:p>
    <w:p w14:paraId="795F569E">
      <w:pPr>
        <w:pStyle w:val="17"/>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lang w:val="en-US" w:eastAsia="zh-CN"/>
        </w:rPr>
        <w:t>3.5</w:t>
      </w:r>
      <w:r>
        <w:rPr>
          <w:rFonts w:hint="default" w:ascii="Times New Roman" w:hAnsi="Times New Roman" w:cs="Times New Roman"/>
        </w:rPr>
        <w:t>报批稿形成</w:t>
      </w:r>
    </w:p>
    <w:p w14:paraId="1EB05E33">
      <w:pPr>
        <w:pStyle w:val="12"/>
        <w:rPr>
          <w:rFonts w:hint="default" w:ascii="Times New Roman" w:hAnsi="Times New Roman" w:cs="Times New Roman"/>
          <w:i w:val="0"/>
          <w:iCs w:val="0"/>
          <w:caps w:val="0"/>
          <w:spacing w:val="0"/>
          <w:sz w:val="21"/>
          <w:szCs w:val="21"/>
          <w:shd w:val="clear" w:fill="FFFFFF"/>
          <w:lang w:val="en-US" w:eastAsia="zh-CN"/>
        </w:rPr>
      </w:pPr>
      <w:r>
        <w:rPr>
          <w:rFonts w:hint="default" w:ascii="Times New Roman" w:hAnsi="Times New Roman" w:cs="Times New Roman"/>
          <w:i w:val="0"/>
          <w:iCs w:val="0"/>
          <w:caps w:val="0"/>
          <w:spacing w:val="0"/>
          <w:sz w:val="21"/>
          <w:szCs w:val="21"/>
          <w:shd w:val="clear" w:fill="FFFFFF"/>
          <w:lang w:val="en-US" w:eastAsia="zh-CN"/>
        </w:rPr>
        <w:t>根据审查意见修改后，形成了标准报批稿，连同编制说明等文件一并提交中国电机工程学会，申请批准发布。</w:t>
      </w:r>
    </w:p>
    <w:p w14:paraId="0B44C59F">
      <w:pPr>
        <w:pStyle w:val="16"/>
        <w:spacing w:before="312" w:after="312"/>
        <w:rPr>
          <w:rFonts w:hint="default" w:ascii="Times New Roman" w:hAnsi="Times New Roman" w:cs="Times New Roman"/>
        </w:rPr>
      </w:pPr>
      <w:bookmarkStart w:id="33" w:name="_Toc4206"/>
      <w:r>
        <w:rPr>
          <w:rFonts w:hint="default" w:ascii="Times New Roman" w:hAnsi="Times New Roman" w:cs="Times New Roman"/>
          <w:szCs w:val="21"/>
        </w:rPr>
        <w:t>4</w:t>
      </w:r>
      <w:r>
        <w:rPr>
          <w:rFonts w:hint="default" w:ascii="Times New Roman" w:hAnsi="Times New Roman" w:cs="Times New Roman"/>
        </w:rPr>
        <w:t xml:space="preserve"> 标准结构和内容说明</w:t>
      </w:r>
      <w:bookmarkEnd w:id="33"/>
    </w:p>
    <w:p w14:paraId="509D3E65">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本标准共分为</w:t>
      </w:r>
      <w:r>
        <w:rPr>
          <w:rFonts w:hint="default" w:ascii="Times New Roman" w:hAnsi="Times New Roman" w:cs="Times New Roman"/>
          <w:i w:val="0"/>
          <w:iCs w:val="0"/>
          <w:caps w:val="0"/>
          <w:spacing w:val="0"/>
          <w:sz w:val="21"/>
          <w:szCs w:val="21"/>
          <w:shd w:val="clear" w:fill="FFFFFF"/>
          <w:lang w:val="en-US" w:eastAsia="zh-CN"/>
        </w:rPr>
        <w:t>9</w:t>
      </w:r>
      <w:r>
        <w:rPr>
          <w:rFonts w:hint="default" w:ascii="Times New Roman" w:hAnsi="Times New Roman" w:eastAsia="Segoe UI" w:cs="Times New Roman"/>
          <w:i w:val="0"/>
          <w:iCs w:val="0"/>
          <w:caps w:val="0"/>
          <w:spacing w:val="0"/>
          <w:sz w:val="21"/>
          <w:szCs w:val="21"/>
          <w:shd w:val="clear" w:fill="FFFFFF"/>
        </w:rPr>
        <w:t>章和2个附录。主要内容说明如下：</w:t>
      </w:r>
    </w:p>
    <w:p w14:paraId="72F5A9C7">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第1章 范围： 明确了本标准适用于火电汽轮机（超）高压及中压主汽门、调节汽门、补汽阀的动态全行程活动试验，旨在防止卡涩导致超速。</w:t>
      </w:r>
    </w:p>
    <w:p w14:paraId="76F6714A">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第2章 规范性引用文件： 列出了编制和实施本标准所必需引用的基础标准和专业标准，确保技术依据的权威性和一致性。</w:t>
      </w:r>
    </w:p>
    <w:p w14:paraId="672E4328">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第3章 术语和定义： 对“全行程活动试验”、“松动试验”、“严密性试验”等关键术语进行了明确定义，避免执行中的歧义。</w:t>
      </w:r>
    </w:p>
    <w:p w14:paraId="52261977">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第</w:t>
      </w:r>
      <w:r>
        <w:rPr>
          <w:rFonts w:hint="default" w:ascii="Times New Roman" w:hAnsi="Times New Roman" w:cs="Times New Roman"/>
          <w:i w:val="0"/>
          <w:iCs w:val="0"/>
          <w:caps w:val="0"/>
          <w:spacing w:val="0"/>
          <w:sz w:val="21"/>
          <w:szCs w:val="21"/>
          <w:shd w:val="clear" w:fill="FFFFFF"/>
          <w:lang w:val="en-US" w:eastAsia="zh-CN"/>
        </w:rPr>
        <w:t>4</w:t>
      </w:r>
      <w:r>
        <w:rPr>
          <w:rFonts w:hint="default" w:ascii="Times New Roman" w:hAnsi="Times New Roman" w:eastAsia="Segoe UI" w:cs="Times New Roman"/>
          <w:i w:val="0"/>
          <w:iCs w:val="0"/>
          <w:caps w:val="0"/>
          <w:spacing w:val="0"/>
          <w:sz w:val="21"/>
          <w:szCs w:val="21"/>
          <w:shd w:val="clear" w:fill="FFFFFF"/>
        </w:rPr>
        <w:t xml:space="preserve">章 </w:t>
      </w:r>
      <w:r>
        <w:rPr>
          <w:rFonts w:hint="default" w:ascii="Times New Roman" w:hAnsi="Times New Roman" w:cs="Times New Roman"/>
          <w:i w:val="0"/>
          <w:iCs w:val="0"/>
          <w:caps w:val="0"/>
          <w:spacing w:val="0"/>
          <w:sz w:val="21"/>
          <w:szCs w:val="21"/>
          <w:shd w:val="clear" w:fill="FFFFFF"/>
          <w:lang w:val="en-US" w:eastAsia="zh-CN"/>
        </w:rPr>
        <w:t>符号和缩语</w:t>
      </w:r>
      <w:r>
        <w:rPr>
          <w:rFonts w:hint="default" w:ascii="Times New Roman" w:hAnsi="Times New Roman" w:eastAsia="Segoe UI" w:cs="Times New Roman"/>
          <w:i w:val="0"/>
          <w:iCs w:val="0"/>
          <w:caps w:val="0"/>
          <w:spacing w:val="0"/>
          <w:sz w:val="21"/>
          <w:szCs w:val="21"/>
          <w:shd w:val="clear" w:fill="FFFFFF"/>
        </w:rPr>
        <w:t>： 规定了</w:t>
      </w:r>
      <w:r>
        <w:rPr>
          <w:rFonts w:hint="default" w:ascii="Times New Roman" w:hAnsi="Times New Roman" w:cs="Times New Roman"/>
          <w:i w:val="0"/>
          <w:iCs w:val="0"/>
          <w:caps w:val="0"/>
          <w:spacing w:val="0"/>
          <w:sz w:val="21"/>
          <w:szCs w:val="21"/>
          <w:shd w:val="clear" w:fill="FFFFFF"/>
          <w:lang w:val="en-US" w:eastAsia="zh-CN"/>
        </w:rPr>
        <w:t>常见的缩略词</w:t>
      </w:r>
      <w:r>
        <w:rPr>
          <w:rFonts w:hint="default" w:ascii="Times New Roman" w:hAnsi="Times New Roman" w:eastAsia="Segoe UI" w:cs="Times New Roman"/>
          <w:i w:val="0"/>
          <w:iCs w:val="0"/>
          <w:caps w:val="0"/>
          <w:spacing w:val="0"/>
          <w:sz w:val="21"/>
          <w:szCs w:val="21"/>
          <w:shd w:val="clear" w:fill="FFFFFF"/>
        </w:rPr>
        <w:t>。</w:t>
      </w:r>
    </w:p>
    <w:p w14:paraId="5A3FEE62">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第</w:t>
      </w:r>
      <w:r>
        <w:rPr>
          <w:rFonts w:hint="default" w:ascii="Times New Roman" w:hAnsi="Times New Roman" w:cs="Times New Roman"/>
          <w:i w:val="0"/>
          <w:iCs w:val="0"/>
          <w:caps w:val="0"/>
          <w:spacing w:val="0"/>
          <w:sz w:val="21"/>
          <w:szCs w:val="21"/>
          <w:shd w:val="clear" w:fill="FFFFFF"/>
          <w:lang w:val="en-US" w:eastAsia="zh-CN"/>
        </w:rPr>
        <w:t>5</w:t>
      </w:r>
      <w:r>
        <w:rPr>
          <w:rFonts w:hint="default" w:ascii="Times New Roman" w:hAnsi="Times New Roman" w:eastAsia="Segoe UI" w:cs="Times New Roman"/>
          <w:i w:val="0"/>
          <w:iCs w:val="0"/>
          <w:caps w:val="0"/>
          <w:spacing w:val="0"/>
          <w:sz w:val="21"/>
          <w:szCs w:val="21"/>
          <w:shd w:val="clear" w:fill="FFFFFF"/>
        </w:rPr>
        <w:t>章 总则：规定了试验的基本原则、周期（与DL/T 1055严格统一为“每月一次”）、组织管理要求和总体流程。</w:t>
      </w:r>
    </w:p>
    <w:p w14:paraId="6450D228">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第</w:t>
      </w:r>
      <w:r>
        <w:rPr>
          <w:rFonts w:hint="default" w:ascii="Times New Roman" w:hAnsi="Times New Roman" w:cs="Times New Roman"/>
          <w:i w:val="0"/>
          <w:iCs w:val="0"/>
          <w:caps w:val="0"/>
          <w:spacing w:val="0"/>
          <w:sz w:val="21"/>
          <w:szCs w:val="21"/>
          <w:shd w:val="clear" w:fill="FFFFFF"/>
          <w:lang w:val="en-US" w:eastAsia="zh-CN"/>
        </w:rPr>
        <w:t>6</w:t>
      </w:r>
      <w:r>
        <w:rPr>
          <w:rFonts w:hint="default" w:ascii="Times New Roman" w:hAnsi="Times New Roman" w:eastAsia="Segoe UI" w:cs="Times New Roman"/>
          <w:i w:val="0"/>
          <w:iCs w:val="0"/>
          <w:caps w:val="0"/>
          <w:spacing w:val="0"/>
          <w:sz w:val="21"/>
          <w:szCs w:val="21"/>
          <w:shd w:val="clear" w:fill="FFFFFF"/>
        </w:rPr>
        <w:t>-</w:t>
      </w:r>
      <w:r>
        <w:rPr>
          <w:rFonts w:hint="default" w:ascii="Times New Roman" w:hAnsi="Times New Roman" w:cs="Times New Roman"/>
          <w:i w:val="0"/>
          <w:iCs w:val="0"/>
          <w:caps w:val="0"/>
          <w:spacing w:val="0"/>
          <w:sz w:val="21"/>
          <w:szCs w:val="21"/>
          <w:shd w:val="clear" w:fill="FFFFFF"/>
          <w:lang w:val="en-US" w:eastAsia="zh-CN"/>
        </w:rPr>
        <w:t>8</w:t>
      </w:r>
      <w:r>
        <w:rPr>
          <w:rFonts w:hint="default" w:ascii="Times New Roman" w:hAnsi="Times New Roman" w:eastAsia="Segoe UI" w:cs="Times New Roman"/>
          <w:i w:val="0"/>
          <w:iCs w:val="0"/>
          <w:caps w:val="0"/>
          <w:spacing w:val="0"/>
          <w:sz w:val="21"/>
          <w:szCs w:val="21"/>
          <w:shd w:val="clear" w:fill="FFFFFF"/>
        </w:rPr>
        <w:t xml:space="preserve">章 </w:t>
      </w:r>
      <w:r>
        <w:rPr>
          <w:rFonts w:hint="default" w:ascii="Times New Roman" w:hAnsi="Times New Roman" w:cs="Times New Roman"/>
          <w:i w:val="0"/>
          <w:iCs w:val="0"/>
          <w:caps w:val="0"/>
          <w:spacing w:val="0"/>
          <w:sz w:val="21"/>
          <w:szCs w:val="21"/>
          <w:shd w:val="clear" w:fill="FFFFFF"/>
          <w:lang w:val="en-US" w:eastAsia="zh-CN"/>
        </w:rPr>
        <w:t>试验前的准备工作</w:t>
      </w:r>
      <w:r>
        <w:rPr>
          <w:rFonts w:hint="default" w:ascii="Times New Roman" w:hAnsi="Times New Roman" w:eastAsia="Segoe UI" w:cs="Times New Roman"/>
          <w:i w:val="0"/>
          <w:iCs w:val="0"/>
          <w:caps w:val="0"/>
          <w:spacing w:val="0"/>
          <w:sz w:val="21"/>
          <w:szCs w:val="21"/>
          <w:shd w:val="clear" w:fill="FFFFFF"/>
        </w:rPr>
        <w:t>、步骤与安全措施： 这是标准的核心技术内容。系统规定了试验前必须满足的设备、运行、仪表及人员条件；详细描述了从申请调度许可到试验完成恢复系统的完整操作步骤，特别强调了阀门操作顺序和过程监控。</w:t>
      </w:r>
    </w:p>
    <w:p w14:paraId="212BA75E">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第</w:t>
      </w:r>
      <w:r>
        <w:rPr>
          <w:rFonts w:hint="default" w:ascii="Times New Roman" w:hAnsi="Times New Roman" w:cs="Times New Roman"/>
          <w:i w:val="0"/>
          <w:iCs w:val="0"/>
          <w:caps w:val="0"/>
          <w:spacing w:val="0"/>
          <w:sz w:val="21"/>
          <w:szCs w:val="21"/>
          <w:shd w:val="clear" w:fill="FFFFFF"/>
          <w:lang w:val="en-US" w:eastAsia="zh-CN"/>
        </w:rPr>
        <w:t>9</w:t>
      </w:r>
      <w:r>
        <w:rPr>
          <w:rFonts w:hint="default" w:ascii="Times New Roman" w:hAnsi="Times New Roman" w:eastAsia="Segoe UI" w:cs="Times New Roman"/>
          <w:i w:val="0"/>
          <w:iCs w:val="0"/>
          <w:caps w:val="0"/>
          <w:spacing w:val="0"/>
          <w:sz w:val="21"/>
          <w:szCs w:val="21"/>
          <w:shd w:val="clear" w:fill="FFFFFF"/>
        </w:rPr>
        <w:t>章 试验报告： 规定了试验记录和报告应包含的内容，确保试验过程可追溯、结果可评估。</w:t>
      </w:r>
    </w:p>
    <w:p w14:paraId="1B3AC65C">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附录A和B： 提供了试验周期与内容的对照表、试验确认卡等实用性工具，方便现场执行。</w:t>
      </w:r>
    </w:p>
    <w:p w14:paraId="43566C08">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主要条款的确定均基于行业调研、专家研讨和现有标准，部分关键安全操作顺序（如阀门关闭顺序）参考了DL/T 711的成熟规定。对于征求意见中关于试验负荷区间、油质指标等具体参数，编制组结合多数电厂实践和制造厂建议，给出了推荐范围，并允许企业根据自身规程细化。</w:t>
      </w:r>
    </w:p>
    <w:p w14:paraId="2DF2E228">
      <w:pPr>
        <w:pStyle w:val="12"/>
        <w:rPr>
          <w:rFonts w:hint="default" w:ascii="Times New Roman" w:hAnsi="Times New Roman" w:cs="Times New Roman"/>
        </w:rPr>
      </w:pPr>
    </w:p>
    <w:p w14:paraId="38797E17">
      <w:pPr>
        <w:pStyle w:val="16"/>
        <w:spacing w:before="312" w:after="312"/>
        <w:rPr>
          <w:rFonts w:hint="default" w:ascii="Times New Roman" w:hAnsi="Times New Roman" w:cs="Times New Roman"/>
        </w:rPr>
      </w:pPr>
      <w:bookmarkStart w:id="34" w:name="_Toc22192"/>
      <w:r>
        <w:rPr>
          <w:rFonts w:hint="default" w:ascii="Times New Roman" w:hAnsi="Times New Roman" w:cs="Times New Roman"/>
          <w:szCs w:val="21"/>
        </w:rPr>
        <w:t>5相关</w:t>
      </w:r>
      <w:r>
        <w:rPr>
          <w:rFonts w:hint="default" w:ascii="Times New Roman" w:hAnsi="Times New Roman" w:cs="Times New Roman"/>
        </w:rPr>
        <w:t>标准对比说明</w:t>
      </w:r>
      <w:bookmarkEnd w:id="34"/>
    </w:p>
    <w:p w14:paraId="3142C376">
      <w:pPr>
        <w:pStyle w:val="17"/>
        <w:numPr>
          <w:ilvl w:val="0"/>
          <w:numId w:val="0"/>
        </w:numPr>
        <w:spacing w:before="156" w:beforeLines="50" w:after="156" w:afterLines="50"/>
        <w:rPr>
          <w:rFonts w:hint="default" w:ascii="Times New Roman" w:hAnsi="Times New Roman" w:cs="Times New Roman"/>
        </w:rPr>
      </w:pPr>
      <w:r>
        <w:rPr>
          <w:rFonts w:hint="default" w:ascii="Times New Roman" w:hAnsi="Times New Roman" w:cs="Times New Roman"/>
          <w:lang w:val="en-US" w:eastAsia="zh-CN"/>
        </w:rPr>
        <w:t>5.1</w:t>
      </w:r>
      <w:r>
        <w:rPr>
          <w:rFonts w:hint="default" w:ascii="Times New Roman" w:hAnsi="Times New Roman" w:cs="Times New Roman"/>
        </w:rPr>
        <w:t xml:space="preserve">与国内标准比较 </w:t>
      </w:r>
    </w:p>
    <w:p w14:paraId="445920F6">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DL/T 1055-2021《火力发电厂汽轮机技术监督导则》： 本标准完全采纳其关于汽门活动试验周期的规定（每月），并对其“试验项目及要求”部分进行了极大细化和扩展，提供了从准备到报告的全套操作方法，是对DL/T 1055相关要求的具体落实和有力支撑。</w:t>
      </w:r>
    </w:p>
    <w:p w14:paraId="6633D43B">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DL/T 711-2019《汽轮机调节保安系统试验导则》： 本标准与其协调互补。DL/T 711主要涵盖调节保安系统的性能验收试验（如静态特性、动态特性），其“阀门活动试验”章节侧重原则。本标准则专注于“全行程活动试验”这一日常维护性试验，内容更详尽，操作指导性更强，特别是在带负荷试验的安全管控方面做了大量补充。</w:t>
      </w:r>
    </w:p>
    <w:p w14:paraId="073F6B90">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DL/T 996《火力发电厂汽轮机电液控制系统技术条件》等： 这些标准规定了DEH系统应具备阀门试验功能。本标准则具体规定了如何使用该功能进行安全、规范的试验，是应用层面的标准。</w:t>
      </w:r>
    </w:p>
    <w:p w14:paraId="0948AA7B">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结论： 本标准是国内首部专门针对火电汽轮机汽门全行程活动试验的团体标准，填补了该领域操作性标准的空白，与现有标准体系形成有效互补，无冲突之处。</w:t>
      </w:r>
    </w:p>
    <w:p w14:paraId="241338F9">
      <w:pPr>
        <w:pStyle w:val="17"/>
        <w:numPr>
          <w:ilvl w:val="0"/>
          <w:numId w:val="0"/>
        </w:numPr>
        <w:spacing w:before="156" w:beforeLines="50" w:after="156" w:afterLines="50"/>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cs="Times New Roman"/>
          <w:lang w:val="en-US" w:eastAsia="zh-CN"/>
        </w:rPr>
        <w:t>5.2</w:t>
      </w:r>
      <w:r>
        <w:rPr>
          <w:rFonts w:hint="default" w:ascii="Times New Roman" w:hAnsi="Times New Roman" w:cs="Times New Roman"/>
        </w:rPr>
        <w:t>与</w:t>
      </w:r>
      <w:r>
        <w:rPr>
          <w:rFonts w:hint="default" w:ascii="Times New Roman" w:hAnsi="Times New Roman" w:eastAsia="黑体" w:cs="Times New Roman"/>
          <w:kern w:val="21"/>
          <w:sz w:val="21"/>
          <w:lang w:val="en-US" w:eastAsia="zh-CN" w:bidi="ar-SA"/>
        </w:rPr>
        <w:t>国际标准比较</w:t>
      </w:r>
    </w:p>
    <w:p w14:paraId="73766594">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经查询，国际标准化组织（ISO）、国际电工委员会（IEC）等暂无专门针对汽轮机汽门定期活动试验的独立标准。相关要求通常散见于汽轮机运行维护导则或制造厂说明书。本标准的内容深度和系统性具有先进性。</w:t>
      </w:r>
    </w:p>
    <w:p w14:paraId="513C7974">
      <w:pPr>
        <w:pStyle w:val="16"/>
        <w:spacing w:before="312" w:after="312"/>
        <w:rPr>
          <w:rFonts w:hint="default" w:ascii="Times New Roman" w:hAnsi="Times New Roman" w:cs="Times New Roman"/>
          <w:szCs w:val="21"/>
        </w:rPr>
      </w:pPr>
      <w:bookmarkStart w:id="35" w:name="_Toc15916"/>
      <w:r>
        <w:rPr>
          <w:rFonts w:hint="default" w:ascii="Times New Roman" w:hAnsi="Times New Roman" w:cs="Times New Roman"/>
          <w:szCs w:val="21"/>
        </w:rPr>
        <w:t>6标准实施措施说明</w:t>
      </w:r>
      <w:bookmarkEnd w:id="35"/>
    </w:p>
    <w:p w14:paraId="244E6043">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eastAsia="Segoe UI" w:cs="Times New Roman"/>
          <w:i w:val="0"/>
          <w:iCs w:val="0"/>
          <w:caps w:val="0"/>
          <w:spacing w:val="0"/>
          <w:sz w:val="21"/>
          <w:szCs w:val="21"/>
          <w:shd w:val="clear" w:fill="FFFFFF"/>
        </w:rPr>
        <w:t>为保障本标准有效实施，建议采取以下措施：</w:t>
      </w:r>
    </w:p>
    <w:p w14:paraId="45792C29">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cs="Times New Roman"/>
          <w:i w:val="0"/>
          <w:iCs w:val="0"/>
          <w:caps w:val="0"/>
          <w:spacing w:val="0"/>
          <w:sz w:val="21"/>
          <w:szCs w:val="21"/>
          <w:shd w:val="clear" w:fill="FFFFFF"/>
          <w:lang w:eastAsia="zh-CN"/>
        </w:rPr>
        <w:t>（</w:t>
      </w:r>
      <w:r>
        <w:rPr>
          <w:rFonts w:hint="default" w:ascii="Times New Roman" w:hAnsi="Times New Roman" w:cs="Times New Roman"/>
          <w:i w:val="0"/>
          <w:iCs w:val="0"/>
          <w:caps w:val="0"/>
          <w:spacing w:val="0"/>
          <w:sz w:val="21"/>
          <w:szCs w:val="21"/>
          <w:shd w:val="clear" w:fill="FFFFFF"/>
          <w:lang w:val="en-US" w:eastAsia="zh-CN"/>
        </w:rPr>
        <w:t>1</w:t>
      </w:r>
      <w:r>
        <w:rPr>
          <w:rFonts w:hint="default" w:ascii="Times New Roman" w:hAnsi="Times New Roman" w:cs="Times New Roman"/>
          <w:i w:val="0"/>
          <w:iCs w:val="0"/>
          <w:caps w:val="0"/>
          <w:spacing w:val="0"/>
          <w:sz w:val="21"/>
          <w:szCs w:val="21"/>
          <w:shd w:val="clear" w:fill="FFFFFF"/>
          <w:lang w:eastAsia="zh-CN"/>
        </w:rPr>
        <w:t>）</w:t>
      </w:r>
      <w:r>
        <w:rPr>
          <w:rFonts w:hint="default" w:ascii="Times New Roman" w:hAnsi="Times New Roman" w:eastAsia="Segoe UI" w:cs="Times New Roman"/>
          <w:i w:val="0"/>
          <w:iCs w:val="0"/>
          <w:caps w:val="0"/>
          <w:spacing w:val="0"/>
          <w:sz w:val="21"/>
          <w:szCs w:val="21"/>
          <w:shd w:val="clear" w:fill="FFFFFF"/>
        </w:rPr>
        <w:t>宣传与培训： 标准发布后，通过中国电机工程学会、各发电集团等渠道进行宣贯，组织专题培训，使相关技术管理人员和一线作业人员准确理解标准条款和要求。</w:t>
      </w:r>
    </w:p>
    <w:p w14:paraId="4EC1B878">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cs="Times New Roman"/>
          <w:i w:val="0"/>
          <w:iCs w:val="0"/>
          <w:caps w:val="0"/>
          <w:spacing w:val="0"/>
          <w:sz w:val="21"/>
          <w:szCs w:val="21"/>
          <w:shd w:val="clear" w:fill="FFFFFF"/>
          <w:lang w:eastAsia="zh-CN"/>
        </w:rPr>
        <w:t>（</w:t>
      </w:r>
      <w:r>
        <w:rPr>
          <w:rFonts w:hint="default" w:ascii="Times New Roman" w:hAnsi="Times New Roman" w:cs="Times New Roman"/>
          <w:i w:val="0"/>
          <w:iCs w:val="0"/>
          <w:caps w:val="0"/>
          <w:spacing w:val="0"/>
          <w:sz w:val="21"/>
          <w:szCs w:val="21"/>
          <w:shd w:val="clear" w:fill="FFFFFF"/>
          <w:lang w:val="en-US" w:eastAsia="zh-CN"/>
        </w:rPr>
        <w:t>2</w:t>
      </w:r>
      <w:r>
        <w:rPr>
          <w:rFonts w:hint="default" w:ascii="Times New Roman" w:hAnsi="Times New Roman" w:cs="Times New Roman"/>
          <w:i w:val="0"/>
          <w:iCs w:val="0"/>
          <w:caps w:val="0"/>
          <w:spacing w:val="0"/>
          <w:sz w:val="21"/>
          <w:szCs w:val="21"/>
          <w:shd w:val="clear" w:fill="FFFFFF"/>
          <w:lang w:eastAsia="zh-CN"/>
        </w:rPr>
        <w:t>）</w:t>
      </w:r>
      <w:r>
        <w:rPr>
          <w:rFonts w:hint="default" w:ascii="Times New Roman" w:hAnsi="Times New Roman" w:eastAsia="Segoe UI" w:cs="Times New Roman"/>
          <w:i w:val="0"/>
          <w:iCs w:val="0"/>
          <w:caps w:val="0"/>
          <w:spacing w:val="0"/>
          <w:sz w:val="21"/>
          <w:szCs w:val="21"/>
          <w:shd w:val="clear" w:fill="FFFFFF"/>
        </w:rPr>
        <w:t>纳入规程体系： 建议各火力发电企业将本标准作为重要技术依据，修订和完善本企业的《汽轮机运行规程》和《检修规程》中关于汽门活动试验的相关章节。</w:t>
      </w:r>
    </w:p>
    <w:p w14:paraId="59FCFB38">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cs="Times New Roman"/>
          <w:i w:val="0"/>
          <w:iCs w:val="0"/>
          <w:caps w:val="0"/>
          <w:spacing w:val="0"/>
          <w:sz w:val="21"/>
          <w:szCs w:val="21"/>
          <w:shd w:val="clear" w:fill="FFFFFF"/>
          <w:lang w:eastAsia="zh-CN"/>
        </w:rPr>
        <w:t>（</w:t>
      </w:r>
      <w:r>
        <w:rPr>
          <w:rFonts w:hint="default" w:ascii="Times New Roman" w:hAnsi="Times New Roman" w:cs="Times New Roman"/>
          <w:i w:val="0"/>
          <w:iCs w:val="0"/>
          <w:caps w:val="0"/>
          <w:spacing w:val="0"/>
          <w:sz w:val="21"/>
          <w:szCs w:val="21"/>
          <w:shd w:val="clear" w:fill="FFFFFF"/>
          <w:lang w:val="en-US" w:eastAsia="zh-CN"/>
        </w:rPr>
        <w:t>3</w:t>
      </w:r>
      <w:r>
        <w:rPr>
          <w:rFonts w:hint="default" w:ascii="Times New Roman" w:hAnsi="Times New Roman" w:cs="Times New Roman"/>
          <w:i w:val="0"/>
          <w:iCs w:val="0"/>
          <w:caps w:val="0"/>
          <w:spacing w:val="0"/>
          <w:sz w:val="21"/>
          <w:szCs w:val="21"/>
          <w:shd w:val="clear" w:fill="FFFFFF"/>
          <w:lang w:eastAsia="zh-CN"/>
        </w:rPr>
        <w:t>）</w:t>
      </w:r>
      <w:r>
        <w:rPr>
          <w:rFonts w:hint="default" w:ascii="Times New Roman" w:hAnsi="Times New Roman" w:eastAsia="Segoe UI" w:cs="Times New Roman"/>
          <w:i w:val="0"/>
          <w:iCs w:val="0"/>
          <w:caps w:val="0"/>
          <w:spacing w:val="0"/>
          <w:sz w:val="21"/>
          <w:szCs w:val="21"/>
          <w:shd w:val="clear" w:fill="FFFFFF"/>
        </w:rPr>
        <w:t>结合技术监督执行： 各级电力技术监督机构可将本标准作为汽轮机技术监督（特别是调节保安系统监督）的重要检查依据，推动标准在现场的严格执行。</w:t>
      </w:r>
    </w:p>
    <w:p w14:paraId="7871914D">
      <w:pPr>
        <w:pStyle w:val="12"/>
        <w:rPr>
          <w:rFonts w:hint="default" w:ascii="Times New Roman" w:hAnsi="Times New Roman" w:eastAsia="Segoe UI" w:cs="Times New Roman"/>
          <w:i w:val="0"/>
          <w:iCs w:val="0"/>
          <w:caps w:val="0"/>
          <w:spacing w:val="0"/>
          <w:sz w:val="21"/>
          <w:szCs w:val="21"/>
          <w:shd w:val="clear" w:fill="FFFFFF"/>
        </w:rPr>
      </w:pPr>
      <w:r>
        <w:rPr>
          <w:rFonts w:hint="default" w:ascii="Times New Roman" w:hAnsi="Times New Roman" w:cs="Times New Roman"/>
          <w:i w:val="0"/>
          <w:iCs w:val="0"/>
          <w:caps w:val="0"/>
          <w:spacing w:val="0"/>
          <w:sz w:val="21"/>
          <w:szCs w:val="21"/>
          <w:shd w:val="clear" w:fill="FFFFFF"/>
          <w:lang w:eastAsia="zh-CN"/>
        </w:rPr>
        <w:t>（</w:t>
      </w:r>
      <w:r>
        <w:rPr>
          <w:rFonts w:hint="default" w:ascii="Times New Roman" w:hAnsi="Times New Roman" w:cs="Times New Roman"/>
          <w:i w:val="0"/>
          <w:iCs w:val="0"/>
          <w:caps w:val="0"/>
          <w:spacing w:val="0"/>
          <w:sz w:val="21"/>
          <w:szCs w:val="21"/>
          <w:shd w:val="clear" w:fill="FFFFFF"/>
          <w:lang w:val="en-US" w:eastAsia="zh-CN"/>
        </w:rPr>
        <w:t>4</w:t>
      </w:r>
      <w:r>
        <w:rPr>
          <w:rFonts w:hint="default" w:ascii="Times New Roman" w:hAnsi="Times New Roman" w:cs="Times New Roman"/>
          <w:i w:val="0"/>
          <w:iCs w:val="0"/>
          <w:caps w:val="0"/>
          <w:spacing w:val="0"/>
          <w:sz w:val="21"/>
          <w:szCs w:val="21"/>
          <w:shd w:val="clear" w:fill="FFFFFF"/>
          <w:lang w:eastAsia="zh-CN"/>
        </w:rPr>
        <w:t>）</w:t>
      </w:r>
      <w:r>
        <w:rPr>
          <w:rFonts w:hint="default" w:ascii="Times New Roman" w:hAnsi="Times New Roman" w:eastAsia="Segoe UI" w:cs="Times New Roman"/>
          <w:i w:val="0"/>
          <w:iCs w:val="0"/>
          <w:caps w:val="0"/>
          <w:spacing w:val="0"/>
          <w:sz w:val="21"/>
          <w:szCs w:val="21"/>
          <w:shd w:val="clear" w:fill="FFFFFF"/>
        </w:rPr>
        <w:t>反馈与完善： 建立标准实施反馈机制，鼓励使用单位在实践中提出问题与建议，为标准未来的修订和完善积累实践经验。</w:t>
      </w:r>
    </w:p>
    <w:p w14:paraId="760A0064">
      <w:pPr>
        <w:rPr>
          <w:rFonts w:hint="default" w:ascii="Times New Roman" w:hAnsi="Times New Roman" w:cs="Times New Roman"/>
        </w:rPr>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08BF8">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D90F4">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32FCC4">
                          <w:pPr>
                            <w:pStyle w:val="3"/>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032FCC4">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2AF8">
    <w:pPr>
      <w:pStyle w:val="19"/>
      <w:wordWrap w:val="0"/>
      <w:rPr>
        <w:rFonts w:hint="eastAsia"/>
      </w:rPr>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A908">
    <w:pPr>
      <w:pStyle w:val="19"/>
      <w:spacing w:before="120" w:after="120"/>
      <w:jc w:val="both"/>
      <w:rPr>
        <w:rFonts w:hint="eastAsia"/>
      </w:rPr>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A198">
    <w:pPr>
      <w:pStyle w:val="19"/>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3"/>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24CE5"/>
    <w:rsid w:val="18E4567E"/>
    <w:rsid w:val="4CDF11EB"/>
    <w:rsid w:val="52E54374"/>
    <w:rsid w:val="676B79FB"/>
    <w:rsid w:val="76724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4">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character" w:styleId="9">
    <w:name w:val="Strong"/>
    <w:basedOn w:val="8"/>
    <w:qFormat/>
    <w:uiPriority w:val="0"/>
    <w:rPr>
      <w:b/>
    </w:rPr>
  </w:style>
  <w:style w:type="character" w:styleId="10">
    <w:name w:val="page number"/>
    <w:qFormat/>
    <w:uiPriority w:val="0"/>
    <w:rPr>
      <w:rFonts w:ascii="Times New Roman" w:hAnsi="Times New Roman" w:eastAsia="宋体"/>
      <w:sz w:val="18"/>
    </w:rPr>
  </w:style>
  <w:style w:type="character" w:styleId="11">
    <w:name w:val="Hyperlink"/>
    <w:unhideWhenUsed/>
    <w:qFormat/>
    <w:uiPriority w:val="99"/>
    <w:rPr>
      <w:color w:val="0000FF"/>
      <w:u w:val="single"/>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章标题"/>
    <w:next w:val="1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4">
    <w:name w:val="目次、标准名称标题"/>
    <w:basedOn w:val="15"/>
    <w:next w:val="12"/>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1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
    <w:name w:val="样式 标题 1 + 非加粗"/>
    <w:basedOn w:val="2"/>
    <w:qFormat/>
    <w:uiPriority w:val="0"/>
    <w:pPr>
      <w:spacing w:before="100" w:beforeLines="100" w:after="100" w:afterLines="100" w:line="240" w:lineRule="auto"/>
    </w:pPr>
    <w:rPr>
      <w:rFonts w:eastAsia="黑体"/>
      <w:b w:val="0"/>
      <w:bCs w:val="0"/>
      <w:sz w:val="21"/>
    </w:rPr>
  </w:style>
  <w:style w:type="paragraph" w:customStyle="1" w:styleId="17">
    <w:name w:val="附录章标题"/>
    <w:next w:val="12"/>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18">
    <w:name w:val="List Paragraph"/>
    <w:basedOn w:val="1"/>
    <w:qFormat/>
    <w:uiPriority w:val="34"/>
    <w:pPr>
      <w:ind w:firstLine="420" w:firstLineChars="200"/>
    </w:pPr>
    <w:rPr>
      <w:rFonts w:ascii="Calibri" w:hAnsi="Calibri" w:eastAsia="宋体" w:cs="Times New Roman"/>
      <w:szCs w:val="22"/>
    </w:rPr>
  </w:style>
  <w:style w:type="paragraph" w:customStyle="1" w:styleId="1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2026-03-06T06:41:00Z</dcterms:created>
  <dc:creator>柳磊01</dc:creator>
  <cp:lastModifiedBy>柳磊01</cp:lastModifiedBy>
  <dcterms:modified xsi:type="dcterms:W3CDTF">2026-03-06T07:22:42Z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87E3F8DBA0024B21A50DEC5A2A676228_11</vt:lpwstr>
  </property>
</Properties>
</file>