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45461">
      <w:pPr>
        <w:pStyle w:val="18"/>
        <w:jc w:val="left"/>
        <w:rPr>
          <w:rFonts w:ascii="黑体" w:hAnsi="黑体" w:eastAsia="黑体"/>
          <w:b w:val="0"/>
        </w:rPr>
      </w:pPr>
      <w:r>
        <w:rPr>
          <w:rFonts w:ascii="黑体" w:hAnsi="黑体" w:eastAsia="黑体"/>
          <w:b w:val="0"/>
        </w:rPr>
        <w:t>附件</w:t>
      </w:r>
      <w:r>
        <w:rPr>
          <w:rFonts w:hint="eastAsia" w:ascii="黑体" w:hAnsi="黑体" w:eastAsia="黑体"/>
          <w:b w:val="0"/>
        </w:rPr>
        <w:t>8</w:t>
      </w:r>
    </w:p>
    <w:p w14:paraId="34662601">
      <w:pPr>
        <w:jc w:val="center"/>
        <w:rPr>
          <w:rFonts w:ascii="黑体" w:hAnsi="黑体" w:eastAsia="黑体"/>
          <w:bCs/>
          <w:sz w:val="32"/>
          <w:szCs w:val="32"/>
        </w:rPr>
      </w:pPr>
      <w:r>
        <w:rPr>
          <w:rFonts w:hint="eastAsia" w:ascii="黑体" w:hAnsi="黑体" w:eastAsia="黑体"/>
          <w:bCs/>
          <w:sz w:val="32"/>
          <w:szCs w:val="32"/>
        </w:rPr>
        <w:t>编制说明（格式）</w:t>
      </w:r>
    </w:p>
    <w:p w14:paraId="3289DA9D">
      <w:pPr>
        <w:pStyle w:val="34"/>
        <w:ind w:firstLine="0" w:firstLineChars="0"/>
      </w:pPr>
    </w:p>
    <w:p w14:paraId="1CFE5460">
      <w:pPr>
        <w:pStyle w:val="34"/>
        <w:ind w:firstLine="0" w:firstLineChars="0"/>
      </w:pPr>
    </w:p>
    <w:p w14:paraId="3D6F7BA2">
      <w:pPr>
        <w:pStyle w:val="34"/>
        <w:ind w:firstLine="0" w:firstLineChars="0"/>
      </w:pPr>
    </w:p>
    <w:p w14:paraId="4333DC4E">
      <w:pPr>
        <w:pStyle w:val="34"/>
        <w:ind w:firstLine="0" w:firstLineChars="0"/>
      </w:pPr>
    </w:p>
    <w:p w14:paraId="2642BFCB">
      <w:pPr>
        <w:pStyle w:val="34"/>
        <w:ind w:firstLine="0" w:firstLineChars="0"/>
      </w:pPr>
    </w:p>
    <w:p w14:paraId="13B24074">
      <w:pPr>
        <w:pStyle w:val="34"/>
        <w:ind w:firstLine="0" w:firstLineChars="0"/>
      </w:pPr>
    </w:p>
    <w:p w14:paraId="423EFBA8">
      <w:pPr>
        <w:pStyle w:val="34"/>
        <w:ind w:firstLine="0" w:firstLineChars="0"/>
      </w:pPr>
    </w:p>
    <w:p w14:paraId="3E136058">
      <w:pPr>
        <w:pStyle w:val="34"/>
        <w:ind w:firstLine="0" w:firstLineChars="0"/>
      </w:pPr>
    </w:p>
    <w:p w14:paraId="7CCA9206">
      <w:pPr>
        <w:pStyle w:val="34"/>
        <w:ind w:firstLine="0" w:firstLineChars="0"/>
      </w:pPr>
    </w:p>
    <w:p w14:paraId="745F289C">
      <w:pPr>
        <w:pStyle w:val="34"/>
        <w:ind w:firstLine="0" w:firstLineChars="0"/>
      </w:pPr>
    </w:p>
    <w:p w14:paraId="4B8687EB">
      <w:pPr>
        <w:pStyle w:val="34"/>
        <w:ind w:firstLine="0" w:firstLineChars="0"/>
        <w:jc w:val="center"/>
        <w:rPr>
          <w:rFonts w:hint="eastAsia" w:ascii="黑体" w:eastAsia="黑体"/>
          <w:sz w:val="44"/>
          <w:szCs w:val="44"/>
        </w:rPr>
      </w:pPr>
      <w:r>
        <w:rPr>
          <w:rFonts w:hint="eastAsia" w:ascii="黑体" w:eastAsia="黑体"/>
          <w:sz w:val="44"/>
          <w:szCs w:val="44"/>
        </w:rPr>
        <w:t>分布式</w:t>
      </w:r>
      <w:r>
        <w:rPr>
          <w:rFonts w:hint="eastAsia" w:ascii="黑体" w:eastAsia="黑体"/>
          <w:sz w:val="44"/>
          <w:szCs w:val="44"/>
          <w:lang w:val="en-US" w:eastAsia="zh-CN"/>
        </w:rPr>
        <w:t>光伏</w:t>
      </w:r>
      <w:r>
        <w:rPr>
          <w:rFonts w:hint="eastAsia" w:ascii="黑体" w:eastAsia="黑体"/>
          <w:sz w:val="44"/>
          <w:szCs w:val="44"/>
        </w:rPr>
        <w:t>与</w:t>
      </w:r>
      <w:r>
        <w:rPr>
          <w:rFonts w:hint="eastAsia" w:ascii="黑体" w:eastAsia="黑体"/>
          <w:sz w:val="44"/>
          <w:szCs w:val="44"/>
          <w:lang w:val="en-US" w:eastAsia="zh-CN"/>
        </w:rPr>
        <w:t>新型电力负荷管理系统</w:t>
      </w:r>
      <w:r>
        <w:rPr>
          <w:rFonts w:hint="eastAsia" w:ascii="黑体" w:eastAsia="黑体"/>
          <w:sz w:val="44"/>
          <w:szCs w:val="44"/>
        </w:rPr>
        <w:t>信息交互</w:t>
      </w:r>
    </w:p>
    <w:p w14:paraId="32DB879A">
      <w:pPr>
        <w:pStyle w:val="34"/>
        <w:ind w:firstLine="0" w:firstLineChars="0"/>
        <w:jc w:val="center"/>
        <w:rPr>
          <w:rFonts w:ascii="黑体" w:eastAsia="黑体"/>
          <w:sz w:val="44"/>
          <w:szCs w:val="44"/>
        </w:rPr>
      </w:pPr>
      <w:r>
        <w:rPr>
          <w:rFonts w:hint="eastAsia" w:ascii="黑体" w:eastAsia="黑体"/>
          <w:sz w:val="44"/>
          <w:szCs w:val="44"/>
        </w:rPr>
        <w:t>技术规范</w:t>
      </w:r>
    </w:p>
    <w:p w14:paraId="48042BF2">
      <w:pPr>
        <w:pStyle w:val="34"/>
      </w:pPr>
    </w:p>
    <w:p w14:paraId="33BC381B">
      <w:pPr>
        <w:pStyle w:val="34"/>
      </w:pPr>
    </w:p>
    <w:p w14:paraId="020D908B">
      <w:pPr>
        <w:pStyle w:val="33"/>
        <w:numPr>
          <w:ilvl w:val="0"/>
          <w:numId w:val="0"/>
        </w:numPr>
        <w:jc w:val="center"/>
        <w:rPr>
          <w:sz w:val="28"/>
          <w:szCs w:val="28"/>
        </w:rPr>
      </w:pPr>
      <w:bookmarkStart w:id="0" w:name="_Toc298937333"/>
      <w:bookmarkStart w:id="1" w:name="_Toc298937368"/>
      <w:bookmarkStart w:id="2" w:name="_Toc298937620"/>
      <w:bookmarkStart w:id="3" w:name="_Toc298937430"/>
      <w:bookmarkStart w:id="4" w:name="_Toc298938794"/>
      <w:bookmarkStart w:id="5" w:name="_Toc298938646"/>
      <w:bookmarkStart w:id="6" w:name="_Toc298937473"/>
      <w:bookmarkStart w:id="7" w:name="_Toc310002657"/>
      <w:bookmarkStart w:id="8" w:name="_Toc309994571"/>
      <w:bookmarkStart w:id="9" w:name="_Toc304825020"/>
      <w:bookmarkStart w:id="10" w:name="_Toc309993200"/>
      <w:bookmarkStart w:id="11" w:name="_Toc309996019"/>
      <w:bookmarkStart w:id="12" w:name="_Toc309995598"/>
      <w:bookmarkStart w:id="13" w:name="_Toc318613715"/>
      <w:bookmarkStart w:id="14" w:name="_Toc309997060"/>
      <w:bookmarkStart w:id="15" w:name="_Toc309995492"/>
      <w:bookmarkStart w:id="16" w:name="_Toc320020914"/>
      <w:bookmarkStart w:id="17" w:name="_Toc309995410"/>
      <w:bookmarkStart w:id="18" w:name="_Toc304828086"/>
      <w:bookmarkStart w:id="19" w:name="_Toc304402675"/>
      <w:bookmarkStart w:id="20" w:name="_Toc298937560"/>
      <w:bookmarkStart w:id="21" w:name="_Toc304824981"/>
      <w:bookmarkStart w:id="22" w:name="_Toc304825093"/>
      <w:r>
        <w:rPr>
          <w:rFonts w:hint="eastAsia"/>
          <w:sz w:val="28"/>
          <w:szCs w:val="28"/>
        </w:rPr>
        <w:t>编 制 说</w:t>
      </w:r>
      <w:bookmarkEnd w:id="0"/>
      <w:bookmarkEnd w:id="1"/>
      <w:r>
        <w:rPr>
          <w:rFonts w:hint="eastAsia"/>
          <w:sz w:val="28"/>
          <w:szCs w:val="28"/>
        </w:rPr>
        <w:t> 明</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2A81A6DA">
      <w:pPr>
        <w:pStyle w:val="34"/>
        <w:ind w:firstLine="560"/>
        <w:jc w:val="center"/>
        <w:rPr>
          <w:rFonts w:ascii="黑体" w:eastAsia="黑体"/>
          <w:sz w:val="28"/>
          <w:szCs w:val="28"/>
        </w:rPr>
      </w:pPr>
    </w:p>
    <w:p w14:paraId="0DBD8226">
      <w:pPr>
        <w:pStyle w:val="34"/>
        <w:ind w:firstLine="560"/>
        <w:jc w:val="center"/>
        <w:rPr>
          <w:rFonts w:ascii="黑体" w:eastAsia="黑体"/>
          <w:sz w:val="28"/>
          <w:szCs w:val="28"/>
        </w:rPr>
      </w:pPr>
    </w:p>
    <w:p w14:paraId="4B460554">
      <w:pPr>
        <w:pStyle w:val="34"/>
        <w:sectPr>
          <w:headerReference r:id="rId3" w:type="default"/>
          <w:footerReference r:id="rId5" w:type="default"/>
          <w:headerReference r:id="rId4" w:type="even"/>
          <w:pgSz w:w="11906" w:h="16838"/>
          <w:pgMar w:top="567" w:right="1134" w:bottom="1134" w:left="1417" w:header="1418" w:footer="1134" w:gutter="0"/>
          <w:cols w:space="720" w:num="1"/>
          <w:formProt w:val="0"/>
          <w:docGrid w:type="lines" w:linePitch="312" w:charSpace="0"/>
        </w:sectPr>
      </w:pPr>
    </w:p>
    <w:p w14:paraId="1D21EE65">
      <w:pPr>
        <w:pStyle w:val="63"/>
      </w:pPr>
      <w:bookmarkStart w:id="23" w:name="_Toc309992160"/>
      <w:bookmarkStart w:id="24" w:name="_Toc513731021"/>
      <w:bookmarkStart w:id="25" w:name="_Toc513731109"/>
      <w:r>
        <w:rPr>
          <w:rFonts w:hint="eastAsia"/>
        </w:rPr>
        <w:t>目次</w:t>
      </w:r>
      <w:bookmarkEnd w:id="23"/>
      <w:bookmarkEnd w:id="24"/>
      <w:bookmarkEnd w:id="25"/>
    </w:p>
    <w:p w14:paraId="6F6F3787">
      <w:pPr>
        <w:pStyle w:val="17"/>
        <w:spacing w:before="78" w:after="78"/>
        <w:rPr>
          <w:rFonts w:ascii="Calibri" w:hAnsi="Calibri"/>
          <w:szCs w:val="22"/>
        </w:rPr>
      </w:pPr>
      <w:r>
        <w:rPr>
          <w:rFonts w:hAnsi="宋体"/>
        </w:rPr>
        <w:fldChar w:fldCharType="begin"/>
      </w:r>
      <w:r>
        <w:rPr>
          <w:rFonts w:hAnsi="宋体"/>
        </w:rPr>
        <w:instrText xml:space="preserve"> </w:instrText>
      </w:r>
      <w:r>
        <w:rPr>
          <w:rFonts w:hint="eastAsia" w:hAnsi="宋体"/>
        </w:rPr>
        <w:instrText xml:space="preserve">TOC \o "1-1" \h \z \u</w:instrText>
      </w:r>
      <w:r>
        <w:rPr>
          <w:rFonts w:hAnsi="宋体"/>
        </w:rPr>
        <w:instrText xml:space="preserve"> </w:instrText>
      </w:r>
      <w:r>
        <w:rPr>
          <w:rFonts w:hAnsi="宋体"/>
        </w:rPr>
        <w:fldChar w:fldCharType="separate"/>
      </w:r>
    </w:p>
    <w:p w14:paraId="5C2B26AE">
      <w:pPr>
        <w:pStyle w:val="17"/>
        <w:spacing w:before="78" w:after="78"/>
        <w:rPr>
          <w:rFonts w:ascii="Calibri" w:hAnsi="Calibri"/>
          <w:szCs w:val="22"/>
        </w:rPr>
      </w:pPr>
      <w:r>
        <w:fldChar w:fldCharType="begin"/>
      </w:r>
      <w:r>
        <w:instrText xml:space="preserve"> HYPERLINK \l "_Toc513731110" </w:instrText>
      </w:r>
      <w:r>
        <w:fldChar w:fldCharType="separate"/>
      </w:r>
      <w:r>
        <w:rPr>
          <w:rStyle w:val="23"/>
          <w:rFonts w:hAnsi="宋体"/>
        </w:rPr>
        <w:t xml:space="preserve">1 </w:t>
      </w:r>
      <w:r>
        <w:rPr>
          <w:rStyle w:val="23"/>
          <w:rFonts w:hint="eastAsia" w:hAnsi="宋体"/>
        </w:rPr>
        <w:t>编制背景</w:t>
      </w:r>
      <w:r>
        <w:tab/>
      </w:r>
      <w:r>
        <w:fldChar w:fldCharType="begin"/>
      </w:r>
      <w:r>
        <w:instrText xml:space="preserve"> PAGEREF _Toc513731110 \h </w:instrText>
      </w:r>
      <w:r>
        <w:fldChar w:fldCharType="separate"/>
      </w:r>
      <w:r>
        <w:t>29</w:t>
      </w:r>
      <w:r>
        <w:fldChar w:fldCharType="end"/>
      </w:r>
      <w:r>
        <w:fldChar w:fldCharType="end"/>
      </w:r>
    </w:p>
    <w:p w14:paraId="59CC10BB">
      <w:pPr>
        <w:pStyle w:val="17"/>
        <w:spacing w:before="78" w:after="78"/>
        <w:rPr>
          <w:rFonts w:ascii="Calibri" w:hAnsi="Calibri"/>
          <w:szCs w:val="22"/>
        </w:rPr>
      </w:pPr>
      <w:r>
        <w:fldChar w:fldCharType="begin"/>
      </w:r>
      <w:r>
        <w:instrText xml:space="preserve"> HYPERLINK \l "_Toc513731111" </w:instrText>
      </w:r>
      <w:r>
        <w:fldChar w:fldCharType="separate"/>
      </w:r>
      <w:r>
        <w:rPr>
          <w:rStyle w:val="23"/>
          <w:rFonts w:hAnsi="宋体"/>
        </w:rPr>
        <w:t xml:space="preserve">2 </w:t>
      </w:r>
      <w:r>
        <w:rPr>
          <w:rStyle w:val="23"/>
          <w:rFonts w:hint="eastAsia" w:hAnsi="宋体"/>
        </w:rPr>
        <w:t>编制主要原则</w:t>
      </w:r>
      <w:r>
        <w:tab/>
      </w:r>
      <w:r>
        <w:fldChar w:fldCharType="begin"/>
      </w:r>
      <w:r>
        <w:instrText xml:space="preserve"> PAGEREF _Toc513731111 \h </w:instrText>
      </w:r>
      <w:r>
        <w:fldChar w:fldCharType="separate"/>
      </w:r>
      <w:r>
        <w:t>29</w:t>
      </w:r>
      <w:r>
        <w:fldChar w:fldCharType="end"/>
      </w:r>
      <w:r>
        <w:fldChar w:fldCharType="end"/>
      </w:r>
    </w:p>
    <w:p w14:paraId="5044FDD2">
      <w:pPr>
        <w:pStyle w:val="17"/>
        <w:spacing w:before="78" w:after="78"/>
        <w:rPr>
          <w:rFonts w:ascii="Calibri" w:hAnsi="Calibri"/>
          <w:szCs w:val="22"/>
        </w:rPr>
      </w:pPr>
      <w:r>
        <w:fldChar w:fldCharType="begin"/>
      </w:r>
      <w:r>
        <w:instrText xml:space="preserve"> HYPERLINK \l "_Toc513731112" </w:instrText>
      </w:r>
      <w:r>
        <w:fldChar w:fldCharType="separate"/>
      </w:r>
      <w:r>
        <w:rPr>
          <w:rStyle w:val="23"/>
          <w:rFonts w:hAnsi="宋体"/>
        </w:rPr>
        <w:t xml:space="preserve">3 </w:t>
      </w:r>
      <w:r>
        <w:rPr>
          <w:rStyle w:val="23"/>
          <w:rFonts w:hint="eastAsia" w:hAnsi="宋体"/>
        </w:rPr>
        <w:t>主要工作过程</w:t>
      </w:r>
      <w:r>
        <w:tab/>
      </w:r>
      <w:r>
        <w:fldChar w:fldCharType="begin"/>
      </w:r>
      <w:r>
        <w:instrText xml:space="preserve"> PAGEREF _Toc513731112 \h </w:instrText>
      </w:r>
      <w:r>
        <w:fldChar w:fldCharType="separate"/>
      </w:r>
      <w:r>
        <w:t>29</w:t>
      </w:r>
      <w:r>
        <w:fldChar w:fldCharType="end"/>
      </w:r>
      <w:r>
        <w:fldChar w:fldCharType="end"/>
      </w:r>
    </w:p>
    <w:p w14:paraId="696FE9AD">
      <w:pPr>
        <w:pStyle w:val="17"/>
        <w:spacing w:before="78" w:after="78"/>
        <w:rPr>
          <w:rFonts w:ascii="Calibri" w:hAnsi="Calibri"/>
          <w:szCs w:val="22"/>
        </w:rPr>
      </w:pPr>
      <w:r>
        <w:fldChar w:fldCharType="begin"/>
      </w:r>
      <w:r>
        <w:instrText xml:space="preserve"> HYPERLINK \l "_Toc513731113" </w:instrText>
      </w:r>
      <w:r>
        <w:fldChar w:fldCharType="separate"/>
      </w:r>
      <w:r>
        <w:rPr>
          <w:rStyle w:val="23"/>
          <w:rFonts w:hAnsi="宋体"/>
        </w:rPr>
        <w:t>4</w:t>
      </w:r>
      <w:r>
        <w:rPr>
          <w:rStyle w:val="23"/>
        </w:rPr>
        <w:t xml:space="preserve"> </w:t>
      </w:r>
      <w:r>
        <w:rPr>
          <w:rStyle w:val="23"/>
          <w:rFonts w:hint="eastAsia"/>
        </w:rPr>
        <w:t>标准结构和内容说明</w:t>
      </w:r>
      <w:r>
        <w:tab/>
      </w:r>
      <w:r>
        <w:fldChar w:fldCharType="begin"/>
      </w:r>
      <w:r>
        <w:instrText xml:space="preserve"> PAGEREF _Toc513731113 \h </w:instrText>
      </w:r>
      <w:r>
        <w:fldChar w:fldCharType="separate"/>
      </w:r>
      <w:r>
        <w:t>29</w:t>
      </w:r>
      <w:r>
        <w:fldChar w:fldCharType="end"/>
      </w:r>
      <w:r>
        <w:fldChar w:fldCharType="end"/>
      </w:r>
    </w:p>
    <w:p w14:paraId="4007D4EE">
      <w:pPr>
        <w:pStyle w:val="17"/>
        <w:spacing w:before="78" w:after="78"/>
        <w:rPr>
          <w:rFonts w:ascii="Calibri" w:hAnsi="Calibri"/>
          <w:szCs w:val="22"/>
        </w:rPr>
      </w:pPr>
      <w:r>
        <w:fldChar w:fldCharType="begin"/>
      </w:r>
      <w:r>
        <w:instrText xml:space="preserve"> HYPERLINK \l "_Toc513731114" </w:instrText>
      </w:r>
      <w:r>
        <w:fldChar w:fldCharType="separate"/>
      </w:r>
      <w:r>
        <w:rPr>
          <w:rStyle w:val="23"/>
          <w:rFonts w:hAnsi="宋体"/>
        </w:rPr>
        <w:t>5</w:t>
      </w:r>
      <w:r>
        <w:rPr>
          <w:rStyle w:val="23"/>
          <w:rFonts w:hint="eastAsia"/>
        </w:rPr>
        <w:t>相关标准对比说明</w:t>
      </w:r>
      <w:r>
        <w:rPr>
          <w:rStyle w:val="23"/>
        </w:rPr>
        <w:tab/>
      </w:r>
      <w:r>
        <w:fldChar w:fldCharType="begin"/>
      </w:r>
      <w:r>
        <w:rPr>
          <w:rStyle w:val="23"/>
        </w:rPr>
        <w:instrText xml:space="preserve"> PAGEREF _Toc513731114 \h </w:instrText>
      </w:r>
      <w:r>
        <w:fldChar w:fldCharType="separate"/>
      </w:r>
      <w:r>
        <w:rPr>
          <w:rStyle w:val="23"/>
        </w:rPr>
        <w:t>30</w:t>
      </w:r>
      <w:r>
        <w:fldChar w:fldCharType="end"/>
      </w:r>
      <w:r>
        <w:fldChar w:fldCharType="end"/>
      </w:r>
    </w:p>
    <w:p w14:paraId="304ACA4F">
      <w:pPr>
        <w:pStyle w:val="17"/>
        <w:spacing w:before="78" w:after="78"/>
        <w:rPr>
          <w:rFonts w:ascii="Calibri" w:hAnsi="Calibri"/>
          <w:szCs w:val="22"/>
        </w:rPr>
      </w:pPr>
      <w:r>
        <w:fldChar w:fldCharType="begin"/>
      </w:r>
      <w:r>
        <w:instrText xml:space="preserve"> HYPERLINK \l "_Toc513731115" </w:instrText>
      </w:r>
      <w:r>
        <w:fldChar w:fldCharType="separate"/>
      </w:r>
      <w:r>
        <w:rPr>
          <w:rStyle w:val="23"/>
          <w:rFonts w:hAnsi="宋体"/>
        </w:rPr>
        <w:t>6</w:t>
      </w:r>
      <w:r>
        <w:rPr>
          <w:rStyle w:val="23"/>
          <w:rFonts w:hint="eastAsia" w:hAnsi="宋体"/>
        </w:rPr>
        <w:t>标准实施措施说明</w:t>
      </w:r>
      <w:r>
        <w:tab/>
      </w:r>
      <w:r>
        <w:fldChar w:fldCharType="begin"/>
      </w:r>
      <w:r>
        <w:instrText xml:space="preserve"> PAGEREF _Toc513731115 \h </w:instrText>
      </w:r>
      <w:r>
        <w:fldChar w:fldCharType="separate"/>
      </w:r>
      <w:r>
        <w:t>30</w:t>
      </w:r>
      <w:r>
        <w:fldChar w:fldCharType="end"/>
      </w:r>
      <w:r>
        <w:fldChar w:fldCharType="end"/>
      </w:r>
    </w:p>
    <w:p w14:paraId="375A2E1A">
      <w:pPr>
        <w:pStyle w:val="34"/>
        <w:rPr>
          <w:rFonts w:hAnsi="宋体"/>
          <w:szCs w:val="21"/>
        </w:rPr>
      </w:pPr>
      <w:r>
        <w:rPr>
          <w:rFonts w:hAnsi="宋体"/>
          <w:szCs w:val="21"/>
        </w:rPr>
        <w:fldChar w:fldCharType="end"/>
      </w:r>
    </w:p>
    <w:p w14:paraId="7984169B">
      <w:pPr>
        <w:pStyle w:val="34"/>
        <w:rPr>
          <w:rFonts w:hAnsi="宋体"/>
          <w:szCs w:val="21"/>
        </w:rPr>
      </w:pPr>
    </w:p>
    <w:p w14:paraId="08ACBADF">
      <w:pPr>
        <w:pStyle w:val="34"/>
        <w:rPr>
          <w:rFonts w:hAnsi="宋体"/>
          <w:szCs w:val="21"/>
        </w:rPr>
      </w:pPr>
    </w:p>
    <w:p w14:paraId="65FDEB6D">
      <w:pPr>
        <w:pStyle w:val="34"/>
        <w:rPr>
          <w:rFonts w:hAnsi="宋体"/>
          <w:szCs w:val="21"/>
        </w:rPr>
      </w:pPr>
    </w:p>
    <w:p w14:paraId="18140947">
      <w:pPr>
        <w:pStyle w:val="34"/>
        <w:rPr>
          <w:rFonts w:hAnsi="宋体"/>
          <w:szCs w:val="21"/>
        </w:rPr>
        <w:sectPr>
          <w:headerReference r:id="rId6" w:type="default"/>
          <w:footerReference r:id="rId7" w:type="default"/>
          <w:pgSz w:w="11906" w:h="16838"/>
          <w:pgMar w:top="567" w:right="1134" w:bottom="1134" w:left="1417" w:header="1418" w:footer="1134" w:gutter="0"/>
          <w:pgNumType w:start="28"/>
          <w:cols w:space="720" w:num="1"/>
          <w:formProt w:val="0"/>
          <w:docGrid w:type="lines" w:linePitch="312" w:charSpace="0"/>
        </w:sectPr>
      </w:pPr>
    </w:p>
    <w:p w14:paraId="4CB64BC2">
      <w:pPr>
        <w:pStyle w:val="65"/>
        <w:spacing w:before="312" w:after="312"/>
        <w:rPr>
          <w:rFonts w:ascii="宋体" w:hAnsi="宋体"/>
          <w:szCs w:val="21"/>
        </w:rPr>
      </w:pPr>
      <w:bookmarkStart w:id="26" w:name="_Toc513731110"/>
      <w:r>
        <w:rPr>
          <w:rFonts w:hint="eastAsia" w:ascii="宋体" w:hAnsi="宋体"/>
          <w:szCs w:val="21"/>
        </w:rPr>
        <w:t>1 编制背景</w:t>
      </w:r>
      <w:bookmarkEnd w:id="26"/>
    </w:p>
    <w:p w14:paraId="3C3B0BCE">
      <w:pPr>
        <w:pStyle w:val="34"/>
        <w:rPr>
          <w:rFonts w:hint="eastAsia"/>
          <w:color w:val="auto"/>
          <w:highlight w:val="none"/>
        </w:rPr>
      </w:pPr>
      <w:r>
        <w:rPr>
          <w:rFonts w:hint="eastAsia"/>
          <w:color w:val="auto"/>
          <w:highlight w:val="none"/>
        </w:rPr>
        <w:t>本标准是根据电机咨〔2023〕512号文，</w:t>
      </w:r>
      <w:r>
        <w:rPr>
          <w:rFonts w:hint="eastAsia"/>
          <w:color w:val="auto"/>
          <w:highlight w:val="none"/>
          <w:lang w:eastAsia="zh-CN"/>
        </w:rPr>
        <w:t>“</w:t>
      </w:r>
      <w:r>
        <w:rPr>
          <w:rFonts w:hint="eastAsia"/>
          <w:color w:val="auto"/>
          <w:highlight w:val="none"/>
        </w:rPr>
        <w:t>中国电机工程学会关于印发“中国电机工程</w:t>
      </w:r>
    </w:p>
    <w:p w14:paraId="0A0AC7CE">
      <w:pPr>
        <w:pStyle w:val="34"/>
        <w:ind w:left="0" w:leftChars="0" w:firstLine="0" w:firstLineChars="0"/>
        <w:rPr>
          <w:rFonts w:hint="eastAsia"/>
          <w:color w:val="auto"/>
          <w:highlight w:val="none"/>
        </w:rPr>
      </w:pPr>
      <w:r>
        <w:rPr>
          <w:rFonts w:hint="eastAsia"/>
          <w:color w:val="auto"/>
          <w:highlight w:val="none"/>
        </w:rPr>
        <w:t>学会 2023 年标准计划（第二批）”的通知</w:t>
      </w:r>
      <w:r>
        <w:rPr>
          <w:rFonts w:hint="eastAsia"/>
          <w:color w:val="auto"/>
          <w:highlight w:val="none"/>
          <w:lang w:eastAsia="zh-CN"/>
        </w:rPr>
        <w:t>”</w:t>
      </w:r>
      <w:r>
        <w:rPr>
          <w:color w:val="auto"/>
          <w:highlight w:val="none"/>
        </w:rPr>
        <w:t>下达</w:t>
      </w:r>
      <w:r>
        <w:rPr>
          <w:rFonts w:hint="eastAsia"/>
          <w:color w:val="auto"/>
          <w:highlight w:val="none"/>
        </w:rPr>
        <w:t>的制定</w:t>
      </w:r>
      <w:r>
        <w:rPr>
          <w:color w:val="auto"/>
          <w:highlight w:val="none"/>
        </w:rPr>
        <w:t>任务</w:t>
      </w:r>
      <w:r>
        <w:rPr>
          <w:rFonts w:hint="eastAsia"/>
          <w:color w:val="auto"/>
          <w:highlight w:val="none"/>
        </w:rPr>
        <w:t>，项目序号202309250001</w:t>
      </w:r>
      <w:r>
        <w:rPr>
          <w:rFonts w:hint="eastAsia"/>
          <w:color w:val="auto"/>
          <w:highlight w:val="none"/>
          <w:lang w:eastAsia="zh-CN"/>
        </w:rPr>
        <w:t>，</w:t>
      </w:r>
      <w:r>
        <w:rPr>
          <w:rFonts w:hint="eastAsia"/>
          <w:color w:val="auto"/>
          <w:highlight w:val="none"/>
        </w:rPr>
        <w:t>对“分布式光伏与新型电力负荷管理系统信息交互技术规范”进行制定的</w:t>
      </w:r>
      <w:r>
        <w:rPr>
          <w:color w:val="auto"/>
          <w:highlight w:val="none"/>
        </w:rPr>
        <w:t>。</w:t>
      </w:r>
      <w:r>
        <w:rPr>
          <w:rFonts w:hint="eastAsia"/>
          <w:color w:val="auto"/>
          <w:highlight w:val="none"/>
        </w:rPr>
        <w:t>由</w:t>
      </w:r>
      <w:r>
        <w:rPr>
          <w:rFonts w:hint="eastAsia"/>
          <w:color w:val="auto"/>
          <w:highlight w:val="none"/>
          <w:lang w:val="en-US" w:eastAsia="zh-CN"/>
        </w:rPr>
        <w:t>国网信息通信产业集团</w:t>
      </w:r>
      <w:r>
        <w:rPr>
          <w:color w:val="auto"/>
          <w:highlight w:val="none"/>
        </w:rPr>
        <w:t>负责起草。</w:t>
      </w:r>
    </w:p>
    <w:p w14:paraId="68C8DC6D">
      <w:pPr>
        <w:pStyle w:val="34"/>
        <w:ind w:left="0" w:leftChars="0" w:firstLine="420" w:firstLineChars="200"/>
        <w:rPr>
          <w:rFonts w:hint="eastAsia"/>
          <w:lang w:eastAsia="zh-CN"/>
        </w:rPr>
      </w:pPr>
      <w:r>
        <w:rPr>
          <w:rFonts w:hint="eastAsia"/>
        </w:rPr>
        <w:t>在全球能源转型与我国“双碳”战略</w:t>
      </w:r>
      <w:r>
        <w:rPr>
          <w:rFonts w:hint="eastAsia"/>
          <w:lang w:val="en-US" w:eastAsia="zh-CN"/>
        </w:rPr>
        <w:t>引领</w:t>
      </w:r>
      <w:r>
        <w:rPr>
          <w:rFonts w:hint="eastAsia"/>
        </w:rPr>
        <w:t>下，以分布式光伏为代表的新能源正加速融入新型电力系统</w:t>
      </w:r>
      <w:r>
        <w:rPr>
          <w:rFonts w:hint="eastAsia"/>
          <w:lang w:eastAsia="zh-CN"/>
        </w:rPr>
        <w:t>，</w:t>
      </w:r>
      <w:r>
        <w:rPr>
          <w:rFonts w:hint="eastAsia"/>
          <w:lang w:val="en-US" w:eastAsia="zh-CN"/>
        </w:rPr>
        <w:t>但</w:t>
      </w:r>
      <w:r>
        <w:rPr>
          <w:rFonts w:hint="eastAsia"/>
        </w:rPr>
        <w:t>因其</w:t>
      </w:r>
      <w:r>
        <w:rPr>
          <w:rFonts w:hint="eastAsia"/>
          <w:lang w:val="en-US" w:eastAsia="zh-CN"/>
        </w:rPr>
        <w:t>出力具有随机性、</w:t>
      </w:r>
      <w:r>
        <w:rPr>
          <w:rFonts w:hint="eastAsia"/>
        </w:rPr>
        <w:t>间歇性、波动性特征，</w:t>
      </w:r>
      <w:r>
        <w:rPr>
          <w:rFonts w:hint="eastAsia"/>
          <w:color w:val="auto"/>
        </w:rPr>
        <w:t>与负荷需求错配及电网协同不畅等问题日益凸显</w:t>
      </w:r>
      <w:r>
        <w:rPr>
          <w:rFonts w:hint="eastAsia"/>
          <w:color w:val="auto"/>
          <w:lang w:eastAsia="zh-CN"/>
        </w:rPr>
        <w:t>，</w:t>
      </w:r>
      <w:r>
        <w:rPr>
          <w:rFonts w:hint="eastAsia"/>
        </w:rPr>
        <w:t>给电网安全、稳定与高效运行带来了严峻挑战。当前，电网亟</w:t>
      </w:r>
      <w:r>
        <w:rPr>
          <w:rFonts w:hint="eastAsia"/>
          <w:lang w:val="en-US" w:eastAsia="zh-CN"/>
        </w:rPr>
        <w:t>须</w:t>
      </w:r>
      <w:r>
        <w:rPr>
          <w:rFonts w:hint="eastAsia"/>
        </w:rPr>
        <w:t>从传统的“源随荷动”模式，转变为“源网荷储协同互动”的智能调控模式，而实现这一转变的</w:t>
      </w:r>
      <w:r>
        <w:rPr>
          <w:rFonts w:hint="eastAsia"/>
          <w:lang w:val="en-US" w:eastAsia="zh-CN"/>
        </w:rPr>
        <w:t>一个</w:t>
      </w:r>
      <w:r>
        <w:rPr>
          <w:rFonts w:hint="eastAsia"/>
        </w:rPr>
        <w:t>核心前提</w:t>
      </w:r>
      <w:r>
        <w:rPr>
          <w:rFonts w:hint="eastAsia"/>
          <w:lang w:eastAsia="zh-CN"/>
        </w:rPr>
        <w:t>，</w:t>
      </w:r>
      <w:r>
        <w:rPr>
          <w:rFonts w:hint="eastAsia"/>
        </w:rPr>
        <w:t>是海量分布式光伏与</w:t>
      </w:r>
      <w:r>
        <w:rPr>
          <w:rFonts w:hint="eastAsia"/>
          <w:lang w:val="en-US" w:eastAsia="zh-CN"/>
        </w:rPr>
        <w:t>新型电力</w:t>
      </w:r>
      <w:r>
        <w:rPr>
          <w:rFonts w:hint="eastAsia"/>
        </w:rPr>
        <w:t>负荷管理系统之间能够进行实时、可靠、高效的信息交互</w:t>
      </w:r>
      <w:r>
        <w:rPr>
          <w:rFonts w:hint="eastAsia"/>
          <w:lang w:eastAsia="zh-CN"/>
        </w:rPr>
        <w:t>。</w:t>
      </w:r>
    </w:p>
    <w:p w14:paraId="38EC6A39">
      <w:pPr>
        <w:pStyle w:val="34"/>
        <w:ind w:left="0" w:leftChars="0" w:firstLine="420" w:firstLineChars="200"/>
        <w:rPr>
          <w:rFonts w:hint="eastAsia"/>
          <w:sz w:val="18"/>
          <w:szCs w:val="18"/>
          <w:highlight w:val="yellow"/>
          <w:lang w:eastAsia="zh-CN"/>
        </w:rPr>
      </w:pPr>
      <w:r>
        <w:rPr>
          <w:rFonts w:hint="eastAsia"/>
          <w:color w:val="auto"/>
          <w:lang w:val="en-US" w:eastAsia="zh-CN"/>
        </w:rPr>
        <w:t>然而，当前分布式光伏与新型电力负荷管理系统之间尚未进行有效的信息交互，主要面临以下双重困境：一是标准体系滞后于产业发展。目前，</w:t>
      </w:r>
      <w:r>
        <w:rPr>
          <w:rFonts w:hint="eastAsia"/>
          <w:highlight w:val="none"/>
          <w:lang w:eastAsia="zh-CN"/>
        </w:rPr>
        <w:t>国内外在</w:t>
      </w:r>
      <w:r>
        <w:rPr>
          <w:rFonts w:hint="eastAsia"/>
          <w:highlight w:val="none"/>
          <w:lang w:val="en-US" w:eastAsia="zh-CN"/>
        </w:rPr>
        <w:t>分布式光伏与</w:t>
      </w:r>
      <w:r>
        <w:rPr>
          <w:rFonts w:hint="eastAsia"/>
          <w:highlight w:val="none"/>
          <w:lang w:eastAsia="zh-CN"/>
        </w:rPr>
        <w:t>新型电力负荷管理</w:t>
      </w:r>
      <w:r>
        <w:rPr>
          <w:rFonts w:hint="eastAsia"/>
          <w:highlight w:val="none"/>
          <w:lang w:val="en-US" w:eastAsia="zh-CN"/>
        </w:rPr>
        <w:t>系统信息交互领域的</w:t>
      </w:r>
      <w:r>
        <w:rPr>
          <w:rFonts w:hint="eastAsia"/>
          <w:highlight w:val="none"/>
          <w:lang w:eastAsia="zh-CN"/>
        </w:rPr>
        <w:t>标准尚属空</w:t>
      </w:r>
      <w:r>
        <w:rPr>
          <w:rFonts w:hint="eastAsia"/>
          <w:highlight w:val="none"/>
          <w:lang w:val="en-US" w:eastAsia="zh-CN"/>
        </w:rPr>
        <w:t>白，标准化进程已显著落后于快速发展的产业实践</w:t>
      </w:r>
      <w:r>
        <w:rPr>
          <w:rFonts w:hint="eastAsia"/>
          <w:highlight w:val="none"/>
          <w:lang w:eastAsia="zh-CN"/>
        </w:rPr>
        <w:t>。这种标准化工作的缺失，导致分布式光伏的精准调控与系统协同优化缺乏统一遵循，难以实现规模化推广，</w:t>
      </w:r>
      <w:r>
        <w:rPr>
          <w:rFonts w:hint="eastAsia"/>
          <w:highlight w:val="none"/>
          <w:lang w:val="en-US" w:eastAsia="zh-CN"/>
        </w:rPr>
        <w:t>同时</w:t>
      </w:r>
      <w:r>
        <w:rPr>
          <w:rFonts w:hint="eastAsia"/>
          <w:highlight w:val="none"/>
          <w:lang w:eastAsia="zh-CN"/>
        </w:rPr>
        <w:t>也</w:t>
      </w:r>
      <w:r>
        <w:rPr>
          <w:rFonts w:hint="eastAsia"/>
          <w:highlight w:val="none"/>
          <w:lang w:val="en-US" w:eastAsia="zh-CN"/>
        </w:rPr>
        <w:t>大幅</w:t>
      </w:r>
      <w:r>
        <w:rPr>
          <w:rFonts w:hint="eastAsia"/>
          <w:highlight w:val="none"/>
          <w:lang w:eastAsia="zh-CN"/>
        </w:rPr>
        <w:t>增加了系统集成、</w:t>
      </w:r>
      <w:r>
        <w:rPr>
          <w:rFonts w:hint="eastAsia"/>
          <w:highlight w:val="none"/>
          <w:lang w:val="en-US" w:eastAsia="zh-CN"/>
        </w:rPr>
        <w:t>设备接入及运行维护的</w:t>
      </w:r>
      <w:r>
        <w:rPr>
          <w:rFonts w:hint="eastAsia"/>
          <w:highlight w:val="none"/>
          <w:lang w:eastAsia="zh-CN"/>
        </w:rPr>
        <w:t>成本与复杂性。</w:t>
      </w:r>
      <w:r>
        <w:rPr>
          <w:rFonts w:hint="eastAsia"/>
          <w:highlight w:val="none"/>
          <w:lang w:val="en-US" w:eastAsia="zh-CN"/>
        </w:rPr>
        <w:t>二是</w:t>
      </w:r>
      <w:r>
        <w:rPr>
          <w:rFonts w:hint="eastAsia"/>
          <w:highlight w:val="none"/>
          <w:lang w:eastAsia="zh-CN"/>
        </w:rPr>
        <w:t>技术异构导致严重的“数据孤岛”。</w:t>
      </w:r>
      <w:r>
        <w:rPr>
          <w:rFonts w:hint="eastAsia"/>
          <w:lang w:eastAsia="zh-CN"/>
        </w:rPr>
        <w:t>由于</w:t>
      </w:r>
      <w:r>
        <w:rPr>
          <w:rFonts w:hint="eastAsia"/>
          <w:sz w:val="18"/>
          <w:szCs w:val="18"/>
          <w:lang w:eastAsia="zh-CN"/>
        </w:rPr>
        <w:t>缺乏统一的技术标准，</w:t>
      </w:r>
      <w:r>
        <w:rPr>
          <w:rFonts w:hint="eastAsia" w:ascii="Calibri" w:hAnsi="Calibri" w:eastAsia="宋体"/>
          <w:sz w:val="18"/>
          <w:szCs w:val="18"/>
        </w:rPr>
        <w:t>已并网的分布式</w:t>
      </w:r>
      <w:r>
        <w:rPr>
          <w:rFonts w:hint="eastAsia" w:ascii="Calibri" w:hAnsi="Calibri" w:eastAsia="宋体"/>
          <w:sz w:val="18"/>
          <w:szCs w:val="18"/>
          <w:lang w:val="en-US" w:eastAsia="zh-CN"/>
        </w:rPr>
        <w:t>光伏</w:t>
      </w:r>
      <w:r>
        <w:rPr>
          <w:rFonts w:hint="eastAsia" w:ascii="Calibri" w:hAnsi="Calibri" w:eastAsia="宋体"/>
          <w:sz w:val="18"/>
          <w:szCs w:val="18"/>
        </w:rPr>
        <w:t>多处于独立</w:t>
      </w:r>
      <w:r>
        <w:rPr>
          <w:rFonts w:hint="eastAsia" w:ascii="Calibri" w:hAnsi="Calibri" w:eastAsia="宋体"/>
          <w:sz w:val="18"/>
          <w:szCs w:val="18"/>
          <w:lang w:val="en-US" w:eastAsia="zh-CN"/>
        </w:rPr>
        <w:t>运行、分散</w:t>
      </w:r>
      <w:r>
        <w:rPr>
          <w:rFonts w:hint="eastAsia" w:ascii="Calibri" w:hAnsi="Calibri" w:eastAsia="宋体"/>
          <w:sz w:val="18"/>
          <w:szCs w:val="18"/>
        </w:rPr>
        <w:t>管理</w:t>
      </w:r>
      <w:r>
        <w:rPr>
          <w:rFonts w:hint="eastAsia" w:ascii="Calibri" w:hAnsi="Calibri" w:eastAsia="宋体"/>
          <w:sz w:val="18"/>
          <w:szCs w:val="18"/>
          <w:lang w:val="en-US" w:eastAsia="zh-CN"/>
        </w:rPr>
        <w:t>的</w:t>
      </w:r>
      <w:r>
        <w:rPr>
          <w:rFonts w:hint="eastAsia" w:ascii="Calibri" w:hAnsi="Calibri" w:eastAsia="宋体"/>
          <w:sz w:val="18"/>
          <w:szCs w:val="18"/>
        </w:rPr>
        <w:t>状态</w:t>
      </w:r>
      <w:r>
        <w:rPr>
          <w:rFonts w:hint="eastAsia" w:ascii="Calibri" w:hAnsi="Calibri" w:eastAsia="宋体"/>
          <w:sz w:val="18"/>
          <w:szCs w:val="18"/>
          <w:lang w:eastAsia="zh-CN"/>
        </w:rPr>
        <w:t>。</w:t>
      </w:r>
      <w:r>
        <w:rPr>
          <w:rFonts w:hint="eastAsia" w:ascii="Calibri" w:hAnsi="Calibri" w:eastAsia="宋体"/>
          <w:sz w:val="18"/>
          <w:szCs w:val="18"/>
          <w:lang w:val="en-US" w:eastAsia="zh-CN"/>
        </w:rPr>
        <w:t>不同</w:t>
      </w:r>
      <w:r>
        <w:rPr>
          <w:rFonts w:hint="eastAsia"/>
          <w:sz w:val="18"/>
          <w:szCs w:val="18"/>
          <w:lang w:eastAsia="zh-CN"/>
        </w:rPr>
        <w:t>厂商的设备在通信协议、数据</w:t>
      </w:r>
      <w:r>
        <w:rPr>
          <w:rFonts w:hint="eastAsia"/>
          <w:sz w:val="18"/>
          <w:szCs w:val="18"/>
          <w:lang w:val="en-US" w:eastAsia="zh-CN"/>
        </w:rPr>
        <w:t>类型</w:t>
      </w:r>
      <w:r>
        <w:rPr>
          <w:rFonts w:hint="eastAsia"/>
          <w:sz w:val="18"/>
          <w:szCs w:val="18"/>
          <w:lang w:eastAsia="zh-CN"/>
        </w:rPr>
        <w:t>、接口规范</w:t>
      </w:r>
      <w:r>
        <w:rPr>
          <w:rFonts w:hint="eastAsia"/>
          <w:sz w:val="18"/>
          <w:szCs w:val="18"/>
          <w:lang w:val="en-US" w:eastAsia="zh-CN"/>
        </w:rPr>
        <w:t>等方面</w:t>
      </w:r>
      <w:r>
        <w:rPr>
          <w:rFonts w:hint="eastAsia"/>
          <w:sz w:val="18"/>
          <w:szCs w:val="18"/>
          <w:lang w:eastAsia="zh-CN"/>
        </w:rPr>
        <w:t>存在显著差异，</w:t>
      </w:r>
      <w:r>
        <w:rPr>
          <w:rFonts w:hint="eastAsia"/>
          <w:sz w:val="18"/>
          <w:szCs w:val="18"/>
          <w:lang w:val="en-US" w:eastAsia="zh-CN"/>
        </w:rPr>
        <w:t>使得</w:t>
      </w:r>
      <w:r>
        <w:rPr>
          <w:rFonts w:hint="eastAsia"/>
          <w:sz w:val="18"/>
          <w:szCs w:val="18"/>
          <w:lang w:eastAsia="zh-CN"/>
        </w:rPr>
        <w:t>海量光伏数据难以被</w:t>
      </w:r>
      <w:r>
        <w:rPr>
          <w:rFonts w:hint="eastAsia"/>
          <w:sz w:val="18"/>
          <w:szCs w:val="18"/>
          <w:lang w:val="en-US" w:eastAsia="zh-CN"/>
        </w:rPr>
        <w:t>新型电力</w:t>
      </w:r>
      <w:r>
        <w:rPr>
          <w:rFonts w:hint="eastAsia"/>
          <w:sz w:val="18"/>
          <w:szCs w:val="18"/>
          <w:lang w:eastAsia="zh-CN"/>
        </w:rPr>
        <w:t>负荷管理系统有效汇聚、解析与利用。</w:t>
      </w:r>
      <w:r>
        <w:rPr>
          <w:rFonts w:hint="eastAsia"/>
          <w:sz w:val="18"/>
          <w:szCs w:val="18"/>
          <w:lang w:val="en-US" w:eastAsia="zh-CN"/>
        </w:rPr>
        <w:t>由此引发的</w:t>
      </w:r>
      <w:r>
        <w:rPr>
          <w:rFonts w:hint="eastAsia"/>
          <w:sz w:val="18"/>
          <w:szCs w:val="18"/>
        </w:rPr>
        <w:t>信息交互延迟高、</w:t>
      </w:r>
      <w:r>
        <w:rPr>
          <w:rFonts w:hint="eastAsia"/>
          <w:sz w:val="18"/>
          <w:szCs w:val="18"/>
          <w:lang w:val="en-US" w:eastAsia="zh-CN"/>
        </w:rPr>
        <w:t>数据</w:t>
      </w:r>
      <w:r>
        <w:rPr>
          <w:rFonts w:hint="eastAsia"/>
          <w:sz w:val="18"/>
          <w:szCs w:val="18"/>
        </w:rPr>
        <w:t>准确率低、</w:t>
      </w:r>
      <w:r>
        <w:rPr>
          <w:rFonts w:hint="eastAsia"/>
          <w:sz w:val="18"/>
          <w:szCs w:val="18"/>
          <w:lang w:val="en-US" w:eastAsia="zh-CN"/>
        </w:rPr>
        <w:t>系统</w:t>
      </w:r>
      <w:r>
        <w:rPr>
          <w:rFonts w:hint="eastAsia"/>
          <w:sz w:val="18"/>
          <w:szCs w:val="18"/>
        </w:rPr>
        <w:t>协同性差</w:t>
      </w:r>
      <w:r>
        <w:rPr>
          <w:rFonts w:hint="eastAsia"/>
          <w:sz w:val="18"/>
          <w:szCs w:val="18"/>
          <w:lang w:val="en-US" w:eastAsia="zh-CN"/>
        </w:rPr>
        <w:t>和安全防护薄弱</w:t>
      </w:r>
      <w:r>
        <w:rPr>
          <w:rFonts w:hint="eastAsia"/>
          <w:sz w:val="18"/>
          <w:szCs w:val="18"/>
        </w:rPr>
        <w:t>等</w:t>
      </w:r>
      <w:r>
        <w:rPr>
          <w:rFonts w:hint="eastAsia"/>
          <w:sz w:val="18"/>
          <w:szCs w:val="18"/>
          <w:lang w:val="en-US" w:eastAsia="zh-CN"/>
        </w:rPr>
        <w:t>问题，严重</w:t>
      </w:r>
      <w:r>
        <w:rPr>
          <w:rFonts w:hint="eastAsia"/>
          <w:sz w:val="18"/>
          <w:szCs w:val="18"/>
        </w:rPr>
        <w:t>制约了光伏电力的就地消纳</w:t>
      </w:r>
      <w:r>
        <w:rPr>
          <w:rFonts w:hint="eastAsia"/>
          <w:sz w:val="18"/>
          <w:szCs w:val="18"/>
          <w:lang w:val="en-US" w:eastAsia="zh-CN"/>
        </w:rPr>
        <w:t>能力</w:t>
      </w:r>
      <w:r>
        <w:rPr>
          <w:rFonts w:hint="eastAsia"/>
          <w:sz w:val="18"/>
          <w:szCs w:val="18"/>
        </w:rPr>
        <w:t>与</w:t>
      </w:r>
      <w:r>
        <w:rPr>
          <w:rFonts w:hint="eastAsia"/>
          <w:sz w:val="18"/>
          <w:szCs w:val="18"/>
          <w:lang w:val="en-US" w:eastAsia="zh-CN"/>
        </w:rPr>
        <w:t>整体</w:t>
      </w:r>
      <w:r>
        <w:rPr>
          <w:rFonts w:hint="eastAsia"/>
          <w:sz w:val="18"/>
          <w:szCs w:val="18"/>
        </w:rPr>
        <w:t>利用</w:t>
      </w:r>
      <w:r>
        <w:rPr>
          <w:rFonts w:hint="eastAsia"/>
          <w:sz w:val="18"/>
          <w:szCs w:val="18"/>
          <w:lang w:val="en-US" w:eastAsia="zh-CN"/>
        </w:rPr>
        <w:t>效率</w:t>
      </w:r>
      <w:r>
        <w:rPr>
          <w:rFonts w:hint="eastAsia"/>
          <w:sz w:val="18"/>
          <w:szCs w:val="18"/>
        </w:rPr>
        <w:t>。</w:t>
      </w:r>
    </w:p>
    <w:p w14:paraId="28ADC478">
      <w:pPr>
        <w:pStyle w:val="34"/>
        <w:ind w:left="0" w:leftChars="0" w:firstLine="420" w:firstLineChars="200"/>
        <w:rPr>
          <w:rFonts w:hint="eastAsia"/>
        </w:rPr>
      </w:pPr>
      <w:r>
        <w:rPr>
          <w:rFonts w:hint="eastAsia"/>
          <w:lang w:eastAsia="zh-CN"/>
        </w:rPr>
        <w:t>本标准的编制旨在系统性地解决上述问题，为分布式光伏与新型电力负荷管理系统之间的信息交互建立一套统一、开放、安全的技术“通用语言”。一是破解</w:t>
      </w:r>
      <w:r>
        <w:rPr>
          <w:rFonts w:hint="eastAsia"/>
          <w:lang w:val="en-US" w:eastAsia="zh-CN"/>
        </w:rPr>
        <w:t>信息</w:t>
      </w:r>
      <w:r>
        <w:rPr>
          <w:rFonts w:hint="eastAsia"/>
          <w:lang w:eastAsia="zh-CN"/>
        </w:rPr>
        <w:t>交互瓶颈。</w:t>
      </w:r>
      <w:r>
        <w:rPr>
          <w:rFonts w:hint="eastAsia"/>
          <w:lang w:val="en-US" w:eastAsia="zh-CN"/>
        </w:rPr>
        <w:t>通过</w:t>
      </w:r>
      <w:r>
        <w:rPr>
          <w:rFonts w:hint="eastAsia"/>
          <w:lang w:eastAsia="zh-CN"/>
        </w:rPr>
        <w:t>统一</w:t>
      </w:r>
      <w:r>
        <w:rPr>
          <w:rFonts w:hint="eastAsia"/>
          <w:lang w:val="en-US" w:eastAsia="zh-CN"/>
        </w:rPr>
        <w:t>信息交互各环节通信协议与规约、</w:t>
      </w:r>
      <w:r>
        <w:rPr>
          <w:rFonts w:hint="eastAsia"/>
          <w:lang w:eastAsia="zh-CN"/>
        </w:rPr>
        <w:t>数据</w:t>
      </w:r>
      <w:r>
        <w:rPr>
          <w:rFonts w:hint="eastAsia"/>
          <w:lang w:val="en-US" w:eastAsia="zh-CN"/>
        </w:rPr>
        <w:t>内容与格式、性能指标与要求等技术</w:t>
      </w:r>
      <w:r>
        <w:rPr>
          <w:rFonts w:hint="eastAsia"/>
          <w:lang w:eastAsia="zh-CN"/>
        </w:rPr>
        <w:t>规范，打破设备厂商技术壁垒，实现光伏运行数据</w:t>
      </w:r>
      <w:r>
        <w:rPr>
          <w:rFonts w:hint="eastAsia"/>
          <w:lang w:val="en-US" w:eastAsia="zh-CN"/>
        </w:rPr>
        <w:t>和负荷</w:t>
      </w:r>
      <w:r>
        <w:rPr>
          <w:rFonts w:hint="eastAsia"/>
          <w:lang w:eastAsia="zh-CN"/>
        </w:rPr>
        <w:t>调控指令</w:t>
      </w:r>
      <w:r>
        <w:rPr>
          <w:rFonts w:hint="eastAsia"/>
          <w:lang w:val="en-US" w:eastAsia="zh-CN"/>
        </w:rPr>
        <w:t>等信息</w:t>
      </w:r>
      <w:r>
        <w:rPr>
          <w:rFonts w:hint="eastAsia"/>
          <w:lang w:eastAsia="zh-CN"/>
        </w:rPr>
        <w:t>的精准高效交互，为</w:t>
      </w:r>
      <w:r>
        <w:rPr>
          <w:rFonts w:hint="eastAsia"/>
          <w:lang w:val="en-US" w:eastAsia="zh-CN"/>
        </w:rPr>
        <w:t>分布式光伏</w:t>
      </w:r>
      <w:r>
        <w:rPr>
          <w:rFonts w:hint="eastAsia"/>
          <w:lang w:eastAsia="zh-CN"/>
        </w:rPr>
        <w:t>规模化</w:t>
      </w:r>
      <w:r>
        <w:rPr>
          <w:rFonts w:hint="eastAsia"/>
          <w:lang w:val="en-US" w:eastAsia="zh-CN"/>
        </w:rPr>
        <w:t>协同监测与调</w:t>
      </w:r>
      <w:r>
        <w:rPr>
          <w:rFonts w:hint="eastAsia"/>
          <w:lang w:eastAsia="zh-CN"/>
        </w:rPr>
        <w:t>控奠定基础；二是保障</w:t>
      </w:r>
      <w:r>
        <w:rPr>
          <w:rFonts w:hint="eastAsia"/>
          <w:lang w:val="en-US" w:eastAsia="zh-CN"/>
        </w:rPr>
        <w:t>信息交互</w:t>
      </w:r>
      <w:r>
        <w:rPr>
          <w:rFonts w:hint="eastAsia"/>
          <w:lang w:eastAsia="zh-CN"/>
        </w:rPr>
        <w:t>安全。通过规范信息交互</w:t>
      </w:r>
      <w:r>
        <w:rPr>
          <w:rFonts w:hint="eastAsia"/>
          <w:lang w:val="en-US" w:eastAsia="zh-CN"/>
        </w:rPr>
        <w:t>全环节</w:t>
      </w:r>
      <w:r>
        <w:rPr>
          <w:rFonts w:hint="eastAsia"/>
          <w:lang w:eastAsia="zh-CN"/>
        </w:rPr>
        <w:t>安全</w:t>
      </w:r>
      <w:r>
        <w:rPr>
          <w:rFonts w:hint="eastAsia"/>
          <w:lang w:val="en-US" w:eastAsia="zh-CN"/>
        </w:rPr>
        <w:t>防护</w:t>
      </w:r>
      <w:r>
        <w:rPr>
          <w:rFonts w:hint="eastAsia"/>
          <w:lang w:eastAsia="zh-CN"/>
        </w:rPr>
        <w:t>要求，</w:t>
      </w:r>
      <w:r>
        <w:rPr>
          <w:rFonts w:hint="eastAsia"/>
          <w:lang w:val="en-US" w:eastAsia="zh-CN"/>
        </w:rPr>
        <w:t>系统防范跨域边界、终端接入、数据交互等环节的安全</w:t>
      </w:r>
      <w:r>
        <w:rPr>
          <w:rFonts w:hint="eastAsia"/>
          <w:lang w:eastAsia="zh-CN"/>
        </w:rPr>
        <w:t>风险，确保海量分布式光伏安全可信接入</w:t>
      </w:r>
      <w:r>
        <w:rPr>
          <w:rFonts w:hint="eastAsia"/>
          <w:lang w:val="en-US" w:eastAsia="zh-CN"/>
        </w:rPr>
        <w:t>新型电力负荷管理系统</w:t>
      </w:r>
      <w:r>
        <w:rPr>
          <w:rFonts w:hint="eastAsia"/>
          <w:lang w:eastAsia="zh-CN"/>
        </w:rPr>
        <w:t>；三是提升能源利用效率。通过建立标准化的信息交互机制，赋能新型电力负荷管理系统实时感知光伏出力状态与调节潜力，实现光伏出力与负荷的动态匹配与协同优化，提升配电网对新能源的消纳能力。</w:t>
      </w:r>
      <w:r>
        <w:rPr>
          <w:rFonts w:hint="eastAsia"/>
          <w:lang w:val="en-US" w:eastAsia="zh-CN"/>
        </w:rPr>
        <w:t>综上所述</w:t>
      </w:r>
      <w:r>
        <w:rPr>
          <w:rFonts w:hint="eastAsia" w:ascii="Calibri" w:hAnsi="Calibri" w:eastAsia="宋体"/>
          <w:sz w:val="21"/>
          <w:szCs w:val="21"/>
        </w:rPr>
        <w:t>，</w:t>
      </w:r>
      <w:r>
        <w:rPr>
          <w:rFonts w:hint="eastAsia" w:ascii="Calibri" w:hAnsi="Calibri"/>
          <w:sz w:val="21"/>
          <w:szCs w:val="21"/>
          <w:lang w:val="en-US" w:eastAsia="zh-CN"/>
        </w:rPr>
        <w:t>制定</w:t>
      </w:r>
      <w:r>
        <w:rPr>
          <w:rFonts w:hint="eastAsia" w:ascii="Calibri" w:hAnsi="Calibri" w:eastAsia="宋体"/>
          <w:sz w:val="21"/>
          <w:szCs w:val="21"/>
        </w:rPr>
        <w:t>统一的分布式</w:t>
      </w:r>
      <w:r>
        <w:rPr>
          <w:rFonts w:hint="eastAsia" w:ascii="Calibri" w:hAnsi="Calibri"/>
          <w:sz w:val="21"/>
          <w:szCs w:val="21"/>
          <w:lang w:val="en-US" w:eastAsia="zh-CN"/>
        </w:rPr>
        <w:t>光伏</w:t>
      </w:r>
      <w:r>
        <w:rPr>
          <w:rFonts w:hint="eastAsia" w:ascii="Calibri" w:hAnsi="Calibri" w:eastAsia="宋体"/>
          <w:sz w:val="21"/>
          <w:szCs w:val="21"/>
        </w:rPr>
        <w:t>与</w:t>
      </w:r>
      <w:r>
        <w:rPr>
          <w:rFonts w:hint="eastAsia"/>
          <w:lang w:eastAsia="zh-CN"/>
        </w:rPr>
        <w:t>新型电力负荷管理系统</w:t>
      </w:r>
      <w:r>
        <w:rPr>
          <w:rFonts w:hint="eastAsia" w:ascii="Calibri" w:hAnsi="Calibri" w:eastAsia="宋体"/>
          <w:sz w:val="21"/>
          <w:szCs w:val="21"/>
        </w:rPr>
        <w:t>信息交互标准，</w:t>
      </w:r>
      <w:r>
        <w:rPr>
          <w:rFonts w:hint="eastAsia" w:ascii="Calibri" w:hAnsi="Calibri"/>
          <w:sz w:val="21"/>
          <w:szCs w:val="21"/>
          <w:lang w:val="en-US" w:eastAsia="zh-CN"/>
        </w:rPr>
        <w:t>有助于</w:t>
      </w:r>
      <w:r>
        <w:rPr>
          <w:rFonts w:hint="eastAsia" w:ascii="Calibri" w:hAnsi="Calibri" w:eastAsia="宋体"/>
          <w:sz w:val="21"/>
          <w:szCs w:val="21"/>
        </w:rPr>
        <w:t>打通源网协同信息壁垒</w:t>
      </w:r>
      <w:r>
        <w:rPr>
          <w:rFonts w:hint="eastAsia" w:ascii="Calibri" w:hAnsi="Calibri"/>
          <w:sz w:val="21"/>
          <w:szCs w:val="21"/>
          <w:lang w:eastAsia="zh-CN"/>
        </w:rPr>
        <w:t>，</w:t>
      </w:r>
      <w:r>
        <w:rPr>
          <w:rFonts w:hint="eastAsia" w:ascii="Calibri" w:hAnsi="Calibri" w:eastAsia="宋体"/>
          <w:sz w:val="21"/>
          <w:szCs w:val="21"/>
        </w:rPr>
        <w:t>实现大规模分布式新能源安全高效并网和消纳</w:t>
      </w:r>
      <w:r>
        <w:rPr>
          <w:rFonts w:hint="eastAsia" w:ascii="Calibri" w:hAnsi="Calibri"/>
          <w:sz w:val="21"/>
          <w:szCs w:val="21"/>
          <w:lang w:eastAsia="zh-CN"/>
        </w:rPr>
        <w:t>，</w:t>
      </w:r>
      <w:r>
        <w:rPr>
          <w:rFonts w:hint="eastAsia" w:ascii="Calibri" w:hAnsi="Calibri"/>
          <w:sz w:val="21"/>
          <w:szCs w:val="21"/>
          <w:lang w:val="en-US" w:eastAsia="zh-CN"/>
        </w:rPr>
        <w:t>对推动能源绿色低碳转型、</w:t>
      </w:r>
      <w:r>
        <w:rPr>
          <w:rFonts w:hint="eastAsia" w:ascii="Calibri" w:hAnsi="Calibri" w:eastAsia="宋体"/>
          <w:sz w:val="21"/>
          <w:szCs w:val="21"/>
        </w:rPr>
        <w:t>促进</w:t>
      </w:r>
      <w:r>
        <w:rPr>
          <w:rFonts w:hint="eastAsia" w:ascii="Calibri" w:hAnsi="Calibri"/>
          <w:sz w:val="21"/>
          <w:szCs w:val="21"/>
          <w:lang w:eastAsia="zh-CN"/>
        </w:rPr>
        <w:t>“</w:t>
      </w:r>
      <w:r>
        <w:rPr>
          <w:rFonts w:hint="eastAsia" w:ascii="Calibri" w:hAnsi="Calibri" w:eastAsia="宋体"/>
          <w:sz w:val="21"/>
          <w:szCs w:val="21"/>
        </w:rPr>
        <w:t>双碳</w:t>
      </w:r>
      <w:r>
        <w:rPr>
          <w:rFonts w:hint="eastAsia" w:ascii="Calibri" w:hAnsi="Calibri"/>
          <w:sz w:val="21"/>
          <w:szCs w:val="21"/>
          <w:lang w:eastAsia="zh-CN"/>
        </w:rPr>
        <w:t>”</w:t>
      </w:r>
      <w:r>
        <w:rPr>
          <w:rFonts w:hint="eastAsia" w:ascii="Calibri" w:hAnsi="Calibri" w:eastAsia="宋体"/>
          <w:sz w:val="21"/>
          <w:szCs w:val="21"/>
        </w:rPr>
        <w:t>目标实现具有重要意义。</w:t>
      </w:r>
    </w:p>
    <w:p w14:paraId="3F768576">
      <w:pPr>
        <w:pStyle w:val="65"/>
        <w:spacing w:before="312" w:after="312"/>
        <w:rPr>
          <w:rFonts w:ascii="宋体" w:hAnsi="宋体"/>
          <w:szCs w:val="21"/>
        </w:rPr>
      </w:pPr>
      <w:bookmarkStart w:id="27" w:name="_Toc513731111"/>
      <w:r>
        <w:rPr>
          <w:rFonts w:hint="eastAsia" w:ascii="宋体" w:hAnsi="宋体"/>
          <w:szCs w:val="21"/>
        </w:rPr>
        <w:t>2 编制主要原则</w:t>
      </w:r>
      <w:bookmarkEnd w:id="27"/>
    </w:p>
    <w:p w14:paraId="2E66A432">
      <w:pPr>
        <w:pStyle w:val="66"/>
        <w:numPr>
          <w:ilvl w:val="0"/>
          <w:numId w:val="0"/>
        </w:numPr>
        <w:spacing w:before="156" w:beforeLines="50" w:after="156" w:afterLines="50"/>
        <w:rPr>
          <w:rFonts w:hint="default" w:eastAsia="黑体"/>
          <w:lang w:val="en-US" w:eastAsia="zh-CN"/>
        </w:rPr>
      </w:pPr>
      <w:r>
        <w:rPr>
          <w:rFonts w:hint="eastAsia"/>
        </w:rPr>
        <w:t xml:space="preserve">2.1 </w:t>
      </w:r>
      <w:r>
        <w:rPr>
          <w:rFonts w:hint="eastAsia"/>
          <w:lang w:val="en-US" w:eastAsia="zh-CN"/>
        </w:rPr>
        <w:t>编制依据</w:t>
      </w:r>
    </w:p>
    <w:p w14:paraId="509F3188">
      <w:pPr>
        <w:pStyle w:val="34"/>
      </w:pPr>
      <w:r>
        <w:rPr>
          <w:rFonts w:hint="eastAsia"/>
        </w:rPr>
        <w:t>本标准的起草遵循《GB/T 1.1—2020标准化工作导则 第1部分：标准化文件的结构和起草规则》的规定，以科学性、先进性和经济性为原则，坚持实事求是，遵守国家有关法律、法规，同时符合团体标准要求。</w:t>
      </w:r>
      <w:r>
        <w:rPr>
          <w:rFonts w:hint="eastAsia"/>
          <w:lang w:val="en-US" w:eastAsia="zh-CN"/>
        </w:rPr>
        <w:t>本标准旨在为</w:t>
      </w:r>
      <w:r>
        <w:rPr>
          <w:rFonts w:hint="eastAsia" w:ascii="宋体" w:hAnsi="宋体" w:eastAsia="宋体" w:cs="宋体"/>
          <w:lang w:val="en-US" w:eastAsia="zh-CN"/>
        </w:rPr>
        <w:t>通过0.4</w:t>
      </w:r>
      <w:r>
        <w:rPr>
          <w:rFonts w:hint="eastAsia" w:ascii="宋体" w:hAnsi="宋体" w:eastAsia="宋体" w:cs="宋体"/>
        </w:rPr>
        <w:t>kV电压等级接入配电网的</w:t>
      </w:r>
      <w:r>
        <w:rPr>
          <w:rFonts w:hint="eastAsia" w:ascii="宋体" w:hAnsi="宋体" w:eastAsia="宋体" w:cs="宋体"/>
          <w:lang w:val="en-US" w:eastAsia="zh-CN"/>
        </w:rPr>
        <w:t>户用和园区</w:t>
      </w:r>
      <w:r>
        <w:rPr>
          <w:rFonts w:hint="eastAsia" w:ascii="宋体" w:hAnsi="宋体" w:eastAsia="宋体" w:cs="宋体"/>
        </w:rPr>
        <w:t>分布式光伏与新型电力负荷管理系统信息交互</w:t>
      </w:r>
      <w:r>
        <w:rPr>
          <w:rFonts w:hint="eastAsia" w:ascii="宋体" w:hAnsi="宋体" w:eastAsia="宋体" w:cs="宋体"/>
          <w:lang w:val="en-US" w:eastAsia="zh-CN"/>
        </w:rPr>
        <w:t>提供一个整体性框架，包括通信链路与总体架构、通信技术与电力规约、交互内容与数据格式、性能指标与安全防护的具体要求</w:t>
      </w:r>
      <w:r>
        <w:rPr>
          <w:rFonts w:hint="eastAsia"/>
        </w:rPr>
        <w:t>。通过这些标准</w:t>
      </w:r>
      <w:r>
        <w:rPr>
          <w:rFonts w:hint="eastAsia"/>
          <w:lang w:val="en-US" w:eastAsia="zh-CN"/>
        </w:rPr>
        <w:t>实施</w:t>
      </w:r>
      <w:r>
        <w:rPr>
          <w:rFonts w:hint="eastAsia"/>
        </w:rPr>
        <w:t>，</w:t>
      </w:r>
      <w:r>
        <w:rPr>
          <w:rFonts w:hint="eastAsia"/>
          <w:lang w:val="en-US" w:eastAsia="zh-CN"/>
        </w:rPr>
        <w:t>企业能够更有效地开展分布式光伏与新型电力负荷管理系统信息交互相关的设计、建设、调试和运行等工作，确保信息交互的规范性、可靠性、实时性与安全性</w:t>
      </w:r>
      <w:r>
        <w:rPr>
          <w:rFonts w:hint="eastAsia"/>
        </w:rPr>
        <w:t>。</w:t>
      </w:r>
    </w:p>
    <w:p w14:paraId="58B4B20B">
      <w:pPr>
        <w:pStyle w:val="66"/>
        <w:numPr>
          <w:ilvl w:val="0"/>
          <w:numId w:val="0"/>
        </w:numPr>
        <w:spacing w:before="156" w:beforeLines="50" w:after="156" w:afterLines="50"/>
        <w:rPr>
          <w:rFonts w:hint="default" w:eastAsia="黑体"/>
          <w:lang w:val="en-US" w:eastAsia="zh-CN"/>
        </w:rPr>
      </w:pPr>
      <w:r>
        <w:rPr>
          <w:rFonts w:hint="eastAsia"/>
        </w:rPr>
        <w:t>2.</w:t>
      </w:r>
      <w:r>
        <w:rPr>
          <w:rFonts w:hint="eastAsia"/>
          <w:lang w:val="en-US" w:eastAsia="zh-CN"/>
        </w:rPr>
        <w:t>2编制形式</w:t>
      </w:r>
    </w:p>
    <w:p w14:paraId="62945EDC">
      <w:pPr>
        <w:pStyle w:val="34"/>
      </w:pPr>
      <w:r>
        <w:rPr>
          <w:rFonts w:hint="eastAsia"/>
        </w:rPr>
        <w:t>采用会议讨论的形式，集合信息技术、电力技术、网络安全等专家，将不同业务维度的专业技术融合一体，体现出标准编制的科学性、实用性和先进性。</w:t>
      </w:r>
    </w:p>
    <w:p w14:paraId="5591B107">
      <w:pPr>
        <w:pStyle w:val="65"/>
        <w:spacing w:before="312" w:after="312"/>
        <w:rPr>
          <w:rFonts w:ascii="宋体" w:hAnsi="宋体"/>
          <w:szCs w:val="21"/>
        </w:rPr>
      </w:pPr>
      <w:bookmarkStart w:id="28" w:name="_Toc513731112"/>
      <w:r>
        <w:rPr>
          <w:rFonts w:hint="eastAsia" w:ascii="宋体" w:hAnsi="宋体"/>
          <w:szCs w:val="21"/>
        </w:rPr>
        <w:t>3 主要工作过程</w:t>
      </w:r>
      <w:bookmarkEnd w:id="28"/>
    </w:p>
    <w:p w14:paraId="685B2437">
      <w:pPr>
        <w:pStyle w:val="34"/>
        <w:numPr>
          <w:ilvl w:val="0"/>
          <w:numId w:val="12"/>
        </w:numPr>
        <w:tabs>
          <w:tab w:val="clear" w:pos="420"/>
        </w:tabs>
        <w:ind w:left="845" w:leftChars="0" w:hanging="425" w:firstLineChars="0"/>
        <w:rPr>
          <w:rFonts w:hint="eastAsia" w:ascii="宋体" w:hAnsi="Times New Roman" w:eastAsia="宋体" w:cs="Times New Roman"/>
          <w:color w:val="auto"/>
          <w:lang w:val="en-US" w:eastAsia="zh-CN"/>
        </w:rPr>
      </w:pPr>
      <w:r>
        <w:rPr>
          <w:rFonts w:hint="eastAsia" w:ascii="宋体" w:hAnsi="Times New Roman" w:eastAsia="宋体" w:cs="Times New Roman"/>
          <w:color w:val="auto"/>
          <w:lang w:val="en-US" w:eastAsia="zh-CN"/>
        </w:rPr>
        <w:t>前期调研阶段：202</w:t>
      </w:r>
      <w:r>
        <w:rPr>
          <w:rFonts w:hint="eastAsia" w:cs="Times New Roman"/>
          <w:color w:val="auto"/>
          <w:lang w:val="en-US" w:eastAsia="zh-CN"/>
        </w:rPr>
        <w:t>3</w:t>
      </w:r>
      <w:r>
        <w:rPr>
          <w:rFonts w:hint="eastAsia" w:ascii="宋体" w:hAnsi="Times New Roman" w:eastAsia="宋体" w:cs="Times New Roman"/>
          <w:color w:val="auto"/>
          <w:lang w:val="en-US" w:eastAsia="zh-CN"/>
        </w:rPr>
        <w:t>年</w:t>
      </w:r>
      <w:r>
        <w:rPr>
          <w:rFonts w:hint="eastAsia" w:cs="Times New Roman"/>
          <w:color w:val="auto"/>
          <w:lang w:val="en-US" w:eastAsia="zh-CN"/>
        </w:rPr>
        <w:t>8</w:t>
      </w:r>
      <w:r>
        <w:rPr>
          <w:rFonts w:hint="eastAsia" w:ascii="宋体" w:hAnsi="Times New Roman" w:eastAsia="宋体" w:cs="Times New Roman"/>
          <w:color w:val="auto"/>
          <w:lang w:val="en-US" w:eastAsia="zh-CN"/>
        </w:rPr>
        <w:t>月，成立标准起草工作组，确定起草人及起草单位，确定工作方法及工作内容，开展标准课题调研工作。</w:t>
      </w:r>
    </w:p>
    <w:p w14:paraId="00EF08C7">
      <w:pPr>
        <w:pStyle w:val="34"/>
        <w:numPr>
          <w:ilvl w:val="0"/>
          <w:numId w:val="12"/>
        </w:numPr>
        <w:tabs>
          <w:tab w:val="clear" w:pos="420"/>
        </w:tabs>
        <w:ind w:left="845" w:leftChars="0" w:hanging="425" w:firstLineChars="0"/>
        <w:rPr>
          <w:rFonts w:hint="eastAsia" w:ascii="宋体" w:hAnsi="Times New Roman" w:eastAsia="宋体" w:cs="Times New Roman"/>
          <w:color w:val="auto"/>
          <w:lang w:val="en-US" w:eastAsia="zh-CN"/>
        </w:rPr>
      </w:pPr>
      <w:r>
        <w:rPr>
          <w:rFonts w:hint="eastAsia" w:ascii="宋体" w:hAnsi="Times New Roman" w:eastAsia="宋体" w:cs="Times New Roman"/>
          <w:color w:val="auto"/>
          <w:lang w:val="en-US" w:eastAsia="zh-CN"/>
        </w:rPr>
        <w:t>标准申报阶段：202</w:t>
      </w:r>
      <w:r>
        <w:rPr>
          <w:rFonts w:hint="eastAsia" w:cs="Times New Roman"/>
          <w:color w:val="auto"/>
          <w:lang w:val="en-US" w:eastAsia="zh-CN"/>
        </w:rPr>
        <w:t>3</w:t>
      </w:r>
      <w:r>
        <w:rPr>
          <w:rFonts w:hint="eastAsia" w:ascii="宋体" w:hAnsi="Times New Roman" w:eastAsia="宋体" w:cs="Times New Roman"/>
          <w:color w:val="auto"/>
          <w:lang w:val="en-US" w:eastAsia="zh-CN"/>
        </w:rPr>
        <w:t>年</w:t>
      </w:r>
      <w:r>
        <w:rPr>
          <w:rFonts w:hint="eastAsia" w:cs="Times New Roman"/>
          <w:color w:val="auto"/>
          <w:lang w:val="en-US" w:eastAsia="zh-CN"/>
        </w:rPr>
        <w:t>9</w:t>
      </w:r>
      <w:r>
        <w:rPr>
          <w:rFonts w:hint="eastAsia" w:ascii="宋体" w:hAnsi="Times New Roman" w:eastAsia="宋体" w:cs="Times New Roman"/>
          <w:color w:val="auto"/>
          <w:lang w:val="en-US" w:eastAsia="zh-CN"/>
        </w:rPr>
        <w:t>月，启动标准申报工作，形成《分布式光伏与配电网信息交互技术规范》立项申请表及标准草案，并提交至中国电机工程学会。</w:t>
      </w:r>
    </w:p>
    <w:p w14:paraId="14C3B40D">
      <w:pPr>
        <w:pStyle w:val="34"/>
        <w:numPr>
          <w:ilvl w:val="0"/>
          <w:numId w:val="12"/>
        </w:numPr>
        <w:tabs>
          <w:tab w:val="clear" w:pos="420"/>
        </w:tabs>
        <w:ind w:left="845" w:leftChars="0" w:hanging="425" w:firstLineChars="0"/>
        <w:rPr>
          <w:rFonts w:hint="eastAsia" w:ascii="宋体" w:hAnsi="Times New Roman" w:eastAsia="宋体" w:cs="Times New Roman"/>
          <w:color w:val="auto"/>
          <w:lang w:val="en-US" w:eastAsia="zh-CN"/>
        </w:rPr>
      </w:pPr>
      <w:r>
        <w:rPr>
          <w:rFonts w:hint="eastAsia" w:ascii="宋体" w:hAnsi="Times New Roman" w:eastAsia="宋体" w:cs="Times New Roman"/>
          <w:color w:val="auto"/>
          <w:lang w:val="en-US" w:eastAsia="zh-CN"/>
        </w:rPr>
        <w:t>起草研制阶段：202</w:t>
      </w:r>
      <w:r>
        <w:rPr>
          <w:rFonts w:hint="eastAsia" w:cs="Times New Roman"/>
          <w:color w:val="auto"/>
          <w:lang w:val="en-US" w:eastAsia="zh-CN"/>
        </w:rPr>
        <w:t>3</w:t>
      </w:r>
      <w:r>
        <w:rPr>
          <w:rFonts w:hint="eastAsia" w:ascii="宋体" w:hAnsi="Times New Roman" w:eastAsia="宋体" w:cs="Times New Roman"/>
          <w:color w:val="auto"/>
          <w:lang w:val="en-US" w:eastAsia="zh-CN"/>
        </w:rPr>
        <w:t>年</w:t>
      </w:r>
      <w:r>
        <w:rPr>
          <w:rFonts w:hint="eastAsia" w:cs="Times New Roman"/>
          <w:color w:val="auto"/>
          <w:lang w:val="en-US" w:eastAsia="zh-CN"/>
        </w:rPr>
        <w:t>10</w:t>
      </w:r>
      <w:r>
        <w:rPr>
          <w:rFonts w:hint="eastAsia" w:ascii="宋体" w:hAnsi="Times New Roman" w:eastAsia="宋体" w:cs="Times New Roman"/>
          <w:color w:val="auto"/>
          <w:lang w:val="en-US" w:eastAsia="zh-CN"/>
        </w:rPr>
        <w:t>月</w:t>
      </w:r>
      <w:r>
        <w:rPr>
          <w:rFonts w:hint="eastAsia" w:cs="Times New Roman"/>
          <w:color w:val="auto"/>
          <w:lang w:val="en-US" w:eastAsia="zh-CN"/>
        </w:rPr>
        <w:t>至2025年11月</w:t>
      </w:r>
      <w:r>
        <w:rPr>
          <w:rFonts w:hint="eastAsia" w:ascii="宋体" w:hAnsi="Times New Roman" w:eastAsia="宋体" w:cs="Times New Roman"/>
          <w:color w:val="auto"/>
          <w:lang w:val="en-US" w:eastAsia="zh-CN"/>
        </w:rPr>
        <w:t>，开展标准编制工作，填报标准项目任务书，形成《分布式光伏与新型电力负荷管理系统信息交互技术规范</w:t>
      </w:r>
      <w:bookmarkStart w:id="32" w:name="_GoBack"/>
      <w:bookmarkEnd w:id="32"/>
      <w:r>
        <w:rPr>
          <w:rFonts w:hint="eastAsia" w:ascii="宋体" w:hAnsi="Times New Roman" w:eastAsia="宋体" w:cs="Times New Roman"/>
          <w:color w:val="auto"/>
          <w:lang w:val="en-US" w:eastAsia="zh-CN"/>
        </w:rPr>
        <w:t>》标准大纲、初稿。</w:t>
      </w:r>
    </w:p>
    <w:p w14:paraId="22A25208">
      <w:pPr>
        <w:pStyle w:val="34"/>
        <w:numPr>
          <w:ilvl w:val="0"/>
          <w:numId w:val="12"/>
        </w:numPr>
        <w:tabs>
          <w:tab w:val="clear" w:pos="420"/>
        </w:tabs>
        <w:ind w:left="845" w:leftChars="0" w:hanging="425" w:firstLineChars="0"/>
        <w:rPr>
          <w:rFonts w:hint="eastAsia" w:ascii="宋体" w:hAnsi="Times New Roman" w:eastAsia="宋体" w:cs="Times New Roman"/>
          <w:color w:val="auto"/>
          <w:lang w:eastAsia="zh-CN"/>
        </w:rPr>
      </w:pPr>
      <w:r>
        <w:rPr>
          <w:rFonts w:hint="eastAsia" w:ascii="宋体" w:hAnsi="Times New Roman" w:eastAsia="宋体" w:cs="Times New Roman"/>
          <w:color w:val="auto"/>
        </w:rPr>
        <w:t>征求意见</w:t>
      </w:r>
      <w:r>
        <w:rPr>
          <w:rFonts w:hint="eastAsia" w:ascii="宋体" w:hAnsi="Times New Roman" w:eastAsia="宋体" w:cs="Times New Roman"/>
          <w:color w:val="auto"/>
          <w:lang w:val="en-US" w:eastAsia="zh-CN"/>
        </w:rPr>
        <w:t>阶段</w:t>
      </w:r>
      <w:r>
        <w:rPr>
          <w:rFonts w:hint="eastAsia" w:ascii="宋体" w:hAnsi="Times New Roman" w:eastAsia="宋体" w:cs="Times New Roman"/>
          <w:color w:val="auto"/>
          <w:lang w:eastAsia="zh-CN"/>
        </w:rPr>
        <w:t>：</w:t>
      </w:r>
      <w:r>
        <w:rPr>
          <w:rFonts w:hint="eastAsia" w:ascii="宋体" w:hAnsi="Times New Roman" w:eastAsia="宋体" w:cs="Times New Roman"/>
          <w:color w:val="auto"/>
          <w:lang w:val="en-US" w:eastAsia="zh-CN"/>
        </w:rPr>
        <w:t>2025年</w:t>
      </w:r>
      <w:r>
        <w:rPr>
          <w:rFonts w:hint="eastAsia" w:cs="Times New Roman"/>
          <w:color w:val="auto"/>
          <w:lang w:val="en-US" w:eastAsia="zh-CN"/>
        </w:rPr>
        <w:t>12</w:t>
      </w:r>
      <w:r>
        <w:rPr>
          <w:rFonts w:hint="eastAsia" w:ascii="宋体" w:hAnsi="Times New Roman" w:eastAsia="宋体" w:cs="Times New Roman"/>
          <w:color w:val="auto"/>
          <w:lang w:val="en-US" w:eastAsia="zh-CN"/>
        </w:rPr>
        <w:t>月</w:t>
      </w:r>
      <w:r>
        <w:rPr>
          <w:rFonts w:hint="eastAsia" w:cs="Times New Roman"/>
          <w:color w:val="auto"/>
          <w:lang w:val="en-US" w:eastAsia="zh-CN"/>
        </w:rPr>
        <w:t>至2026年2月</w:t>
      </w:r>
      <w:r>
        <w:rPr>
          <w:rFonts w:hint="eastAsia" w:ascii="宋体" w:hAnsi="Times New Roman" w:eastAsia="宋体" w:cs="Times New Roman"/>
          <w:color w:val="auto"/>
          <w:lang w:val="en-US" w:eastAsia="zh-CN"/>
        </w:rPr>
        <w:t>，邀请相关专家对标准初稿进行讨论与研究，标准起草工作组根据专家意见对初稿进行补充与完善，形成标准征求意见稿。</w:t>
      </w:r>
    </w:p>
    <w:p w14:paraId="61DC7658">
      <w:pPr>
        <w:pStyle w:val="65"/>
        <w:spacing w:before="312" w:after="312"/>
      </w:pPr>
      <w:bookmarkStart w:id="29" w:name="_Toc513731113"/>
      <w:r>
        <w:rPr>
          <w:rFonts w:hint="eastAsia" w:ascii="宋体" w:hAnsi="宋体"/>
          <w:szCs w:val="21"/>
        </w:rPr>
        <w:t>4</w:t>
      </w:r>
      <w:r>
        <w:rPr>
          <w:rFonts w:hint="eastAsia"/>
        </w:rPr>
        <w:t xml:space="preserve"> 标准结构和内容说明</w:t>
      </w:r>
      <w:bookmarkEnd w:id="29"/>
    </w:p>
    <w:p w14:paraId="4DE9B15A">
      <w:pPr>
        <w:pStyle w:val="34"/>
        <w:numPr>
          <w:ilvl w:val="0"/>
          <w:numId w:val="13"/>
        </w:numPr>
        <w:tabs>
          <w:tab w:val="clear" w:pos="420"/>
        </w:tabs>
        <w:ind w:left="845" w:leftChars="0" w:hanging="425" w:firstLineChars="0"/>
        <w:rPr>
          <w:rFonts w:hint="eastAsia"/>
        </w:rPr>
      </w:pPr>
      <w:r>
        <w:rPr>
          <w:rFonts w:hint="eastAsia"/>
          <w:color w:val="auto"/>
        </w:rPr>
        <w:t>研究内容的确定和说明</w:t>
      </w:r>
      <w:r>
        <w:rPr>
          <w:rFonts w:hint="eastAsia"/>
          <w:color w:val="auto"/>
          <w:lang w:eastAsia="zh-CN"/>
        </w:rPr>
        <w:t>：</w:t>
      </w:r>
      <w:r>
        <w:rPr>
          <w:rFonts w:hint="eastAsia"/>
        </w:rPr>
        <w:t>为不同规模分布式光伏与</w:t>
      </w:r>
      <w:r>
        <w:rPr>
          <w:rFonts w:hint="eastAsia"/>
          <w:lang w:val="en-US" w:eastAsia="zh-CN"/>
        </w:rPr>
        <w:t>新型电力负荷管理系统</w:t>
      </w:r>
      <w:r>
        <w:rPr>
          <w:rFonts w:hint="eastAsia"/>
        </w:rPr>
        <w:t>信息交互提供</w:t>
      </w:r>
      <w:r>
        <w:rPr>
          <w:rFonts w:hint="eastAsia"/>
          <w:lang w:val="en-US" w:eastAsia="zh-CN"/>
        </w:rPr>
        <w:t>技术</w:t>
      </w:r>
      <w:r>
        <w:rPr>
          <w:rFonts w:hint="eastAsia"/>
        </w:rPr>
        <w:t>规范及保障，贯穿分布式光伏与</w:t>
      </w:r>
      <w:r>
        <w:rPr>
          <w:rFonts w:hint="eastAsia"/>
          <w:lang w:val="en-US" w:eastAsia="zh-CN"/>
        </w:rPr>
        <w:t>新型电力负荷管理系统</w:t>
      </w:r>
      <w:r>
        <w:rPr>
          <w:rFonts w:hint="eastAsia"/>
        </w:rPr>
        <w:t>内外信息交互全环节，提高分布式光伏与</w:t>
      </w:r>
      <w:r>
        <w:rPr>
          <w:rFonts w:hint="eastAsia"/>
          <w:lang w:val="en-US" w:eastAsia="zh-CN"/>
        </w:rPr>
        <w:t>新型电力负荷管理系统</w:t>
      </w:r>
      <w:r>
        <w:rPr>
          <w:rFonts w:hint="eastAsia"/>
        </w:rPr>
        <w:t>信息交互的时效性及安全可靠运行能力。</w:t>
      </w:r>
    </w:p>
    <w:p w14:paraId="5C2A9AC4">
      <w:pPr>
        <w:pStyle w:val="34"/>
        <w:numPr>
          <w:ilvl w:val="0"/>
          <w:numId w:val="13"/>
        </w:numPr>
        <w:tabs>
          <w:tab w:val="clear" w:pos="420"/>
        </w:tabs>
        <w:ind w:left="845" w:leftChars="0" w:hanging="425" w:firstLineChars="0"/>
        <w:rPr>
          <w:rFonts w:hint="eastAsia"/>
          <w:lang w:val="en-US" w:eastAsia="zh-CN"/>
        </w:rPr>
      </w:pPr>
      <w:r>
        <w:rPr>
          <w:rFonts w:hint="eastAsia"/>
          <w:color w:val="auto"/>
        </w:rPr>
        <w:t>主要内容及条款的说明</w:t>
      </w:r>
      <w:r>
        <w:rPr>
          <w:rFonts w:hint="eastAsia"/>
          <w:color w:val="auto"/>
          <w:lang w:eastAsia="zh-CN"/>
        </w:rPr>
        <w:t>：</w:t>
      </w:r>
      <w:r>
        <w:rPr>
          <w:rFonts w:hint="eastAsia"/>
          <w:color w:val="auto"/>
          <w:lang w:val="en-US" w:eastAsia="zh-CN"/>
        </w:rPr>
        <w:t>主要内容包括</w:t>
      </w:r>
      <w:r>
        <w:rPr>
          <w:rFonts w:hint="eastAsia"/>
        </w:rPr>
        <w:t>分布式光伏与</w:t>
      </w:r>
      <w:r>
        <w:rPr>
          <w:rFonts w:hint="eastAsia"/>
          <w:lang w:val="en-US" w:eastAsia="zh-CN"/>
        </w:rPr>
        <w:t>新型电力负荷管理系统</w:t>
      </w:r>
      <w:r>
        <w:rPr>
          <w:rFonts w:hint="eastAsia"/>
        </w:rPr>
        <w:t>信息交互</w:t>
      </w:r>
      <w:r>
        <w:rPr>
          <w:rFonts w:hint="eastAsia"/>
          <w:lang w:val="en-US" w:eastAsia="zh-CN"/>
        </w:rPr>
        <w:t>应遵循</w:t>
      </w:r>
      <w:r>
        <w:rPr>
          <w:rFonts w:hint="eastAsia"/>
        </w:rPr>
        <w:t>的</w:t>
      </w:r>
      <w:r>
        <w:rPr>
          <w:rFonts w:hint="eastAsia"/>
          <w:lang w:val="en-US" w:eastAsia="zh-CN"/>
        </w:rPr>
        <w:t>通信技术与规约</w:t>
      </w:r>
      <w:r>
        <w:rPr>
          <w:rFonts w:hint="eastAsia"/>
        </w:rPr>
        <w:t>、</w:t>
      </w:r>
      <w:r>
        <w:rPr>
          <w:rFonts w:hint="eastAsia"/>
          <w:lang w:val="en-US" w:eastAsia="zh-CN"/>
        </w:rPr>
        <w:t>交互</w:t>
      </w:r>
      <w:r>
        <w:rPr>
          <w:rFonts w:hint="eastAsia"/>
        </w:rPr>
        <w:t>内容</w:t>
      </w:r>
      <w:r>
        <w:rPr>
          <w:rFonts w:hint="eastAsia"/>
          <w:lang w:val="en-US" w:eastAsia="zh-CN"/>
        </w:rPr>
        <w:t>与</w:t>
      </w:r>
      <w:r>
        <w:rPr>
          <w:rFonts w:hint="eastAsia"/>
        </w:rPr>
        <w:t>格式、</w:t>
      </w:r>
      <w:r>
        <w:rPr>
          <w:rFonts w:hint="eastAsia"/>
          <w:lang w:val="en-US" w:eastAsia="zh-CN"/>
        </w:rPr>
        <w:t>性能指标等技术规范</w:t>
      </w:r>
      <w:r>
        <w:rPr>
          <w:rFonts w:hint="eastAsia"/>
        </w:rPr>
        <w:t>。为保障信息交互</w:t>
      </w:r>
      <w:r>
        <w:rPr>
          <w:rFonts w:hint="eastAsia"/>
          <w:lang w:val="en-US" w:eastAsia="zh-CN"/>
        </w:rPr>
        <w:t>全环节</w:t>
      </w:r>
      <w:r>
        <w:rPr>
          <w:rFonts w:hint="eastAsia"/>
        </w:rPr>
        <w:t>安全稳定可靠运行，</w:t>
      </w:r>
      <w:r>
        <w:rPr>
          <w:rFonts w:hint="eastAsia"/>
          <w:lang w:val="en-US" w:eastAsia="zh-CN"/>
        </w:rPr>
        <w:t>还</w:t>
      </w:r>
      <w:r>
        <w:rPr>
          <w:rFonts w:hint="eastAsia"/>
        </w:rPr>
        <w:t>提出信息交互的</w:t>
      </w:r>
      <w:r>
        <w:rPr>
          <w:rFonts w:hint="eastAsia"/>
          <w:lang w:val="en-US" w:eastAsia="zh-CN"/>
        </w:rPr>
        <w:t>区域边界安全、终端接入安全和数据交互安全防护要求</w:t>
      </w:r>
      <w:r>
        <w:rPr>
          <w:rFonts w:hint="eastAsia"/>
        </w:rPr>
        <w:t>。本标准分为</w:t>
      </w:r>
      <w:r>
        <w:rPr>
          <w:rFonts w:hint="eastAsia"/>
          <w:lang w:val="en-US" w:eastAsia="zh-CN"/>
        </w:rPr>
        <w:t>10</w:t>
      </w:r>
      <w:r>
        <w:rPr>
          <w:rFonts w:hint="eastAsia"/>
        </w:rPr>
        <w:t>个章节，（1）范围；（2）规范性引用文件；（3）术语和定义；（4）缩略语；（5）</w:t>
      </w:r>
      <w:r>
        <w:rPr>
          <w:rFonts w:hint="eastAsia"/>
          <w:lang w:val="en-US" w:eastAsia="zh-CN"/>
        </w:rPr>
        <w:t>总体要求</w:t>
      </w:r>
      <w:r>
        <w:rPr>
          <w:rFonts w:hint="eastAsia"/>
        </w:rPr>
        <w:t>：</w:t>
      </w:r>
      <w:r>
        <w:rPr>
          <w:rFonts w:hint="eastAsia"/>
          <w:lang w:val="en-US" w:eastAsia="zh-CN"/>
        </w:rPr>
        <w:t>介绍信息交互的系统配置、交互内容、通信规约和安全防护总体要求</w:t>
      </w:r>
      <w:r>
        <w:rPr>
          <w:rFonts w:hint="eastAsia"/>
        </w:rPr>
        <w:t>；（6）</w:t>
      </w:r>
      <w:r>
        <w:rPr>
          <w:rFonts w:hint="eastAsia"/>
          <w:lang w:val="en-US" w:eastAsia="zh-CN"/>
        </w:rPr>
        <w:t>总体架构</w:t>
      </w:r>
      <w:r>
        <w:rPr>
          <w:rFonts w:hint="eastAsia"/>
        </w:rPr>
        <w:t>：</w:t>
      </w:r>
      <w:r>
        <w:rPr>
          <w:rFonts w:hint="eastAsia"/>
          <w:lang w:val="en-US" w:eastAsia="zh-CN"/>
        </w:rPr>
        <w:t>介绍信息交互的总体通信架构，包括信息交互各环节通信链路、所采用的通信方式和通信规约</w:t>
      </w:r>
      <w:r>
        <w:rPr>
          <w:rFonts w:hint="eastAsia"/>
        </w:rPr>
        <w:t>；（7）</w:t>
      </w:r>
      <w:r>
        <w:rPr>
          <w:rFonts w:hint="eastAsia"/>
          <w:lang w:val="en-US" w:eastAsia="zh-CN"/>
        </w:rPr>
        <w:t>通信要求</w:t>
      </w:r>
      <w:r>
        <w:rPr>
          <w:rFonts w:hint="eastAsia"/>
        </w:rPr>
        <w:t>：</w:t>
      </w:r>
      <w:r>
        <w:rPr>
          <w:rFonts w:hint="eastAsia"/>
          <w:lang w:val="en-US" w:eastAsia="zh-CN"/>
        </w:rPr>
        <w:t>介绍园区分布式光伏与智慧能源单元、智慧能源单元与采集前置服务器、采集前置服务器与通信前置服务器、负管系统主站（生产控制大区）与负管系统主站（管理信息大区）、户用分布式光伏与智能融合终端、智能融合终端与用电信息采集系统之间信息交互的通信技术和通信规约要求；（8）数据要求：介绍信息交互的数据格式和数据内容；（9）性能指标要求：介绍信息交互的通信速率、传输误码率、可靠性、实时性和采集周期要求；（10）安全防护要求：介绍信息交互的区域边界安全、终端接入安全和数据交互安全防护规定。</w:t>
      </w:r>
    </w:p>
    <w:p w14:paraId="18C007CE">
      <w:pPr>
        <w:pStyle w:val="34"/>
        <w:numPr>
          <w:ilvl w:val="0"/>
          <w:numId w:val="13"/>
        </w:numPr>
        <w:tabs>
          <w:tab w:val="clear" w:pos="420"/>
        </w:tabs>
        <w:ind w:left="845" w:leftChars="0" w:hanging="425" w:firstLineChars="0"/>
        <w:rPr>
          <w:rFonts w:hint="default"/>
          <w:color w:val="auto"/>
          <w:highlight w:val="none"/>
          <w:lang w:val="en-US" w:eastAsia="zh-CN"/>
        </w:rPr>
      </w:pPr>
      <w:r>
        <w:rPr>
          <w:rFonts w:hint="eastAsia"/>
          <w:color w:val="auto"/>
          <w:highlight w:val="none"/>
          <w:lang w:val="en-US" w:eastAsia="zh-CN"/>
        </w:rPr>
        <w:t>对各阶段征求意见的处理情况说明：标准编制过程中广泛征集了专家意见，所有意见均按照标准编制程序进行了采纳，不存在重大分歧意见。</w:t>
      </w:r>
    </w:p>
    <w:p w14:paraId="640E82E1">
      <w:pPr>
        <w:pStyle w:val="65"/>
        <w:spacing w:before="312" w:after="312"/>
      </w:pPr>
      <w:bookmarkStart w:id="30" w:name="_Toc513731114"/>
      <w:r>
        <w:rPr>
          <w:rFonts w:hint="eastAsia" w:ascii="宋体" w:hAnsi="宋体"/>
          <w:szCs w:val="21"/>
        </w:rPr>
        <w:t>5相关</w:t>
      </w:r>
      <w:r>
        <w:rPr>
          <w:rFonts w:hint="eastAsia"/>
        </w:rPr>
        <w:t>标准对比说明</w:t>
      </w:r>
      <w:bookmarkEnd w:id="30"/>
    </w:p>
    <w:p w14:paraId="59AC5D06">
      <w:pPr>
        <w:pStyle w:val="34"/>
        <w:rPr>
          <w:rFonts w:hint="default"/>
          <w:lang w:val="en-US"/>
        </w:rPr>
      </w:pPr>
      <w:r>
        <w:rPr>
          <w:rFonts w:hint="eastAsia"/>
          <w:lang w:val="en-US" w:eastAsia="zh-CN"/>
        </w:rPr>
        <w:t>本标准与国内、国际标准对比说明如下：</w:t>
      </w:r>
    </w:p>
    <w:p w14:paraId="5BC1052B">
      <w:pPr>
        <w:pStyle w:val="34"/>
        <w:numPr>
          <w:ilvl w:val="0"/>
          <w:numId w:val="14"/>
        </w:numPr>
        <w:tabs>
          <w:tab w:val="clear" w:pos="420"/>
        </w:tabs>
        <w:ind w:left="845" w:leftChars="0" w:hanging="425" w:firstLineChars="0"/>
        <w:rPr>
          <w:rFonts w:hint="eastAsia"/>
          <w:lang w:val="en-US" w:eastAsia="zh-CN"/>
        </w:rPr>
      </w:pPr>
      <w:r>
        <w:rPr>
          <w:rFonts w:hint="eastAsia"/>
          <w:lang w:val="en-US" w:eastAsia="zh-CN"/>
        </w:rPr>
        <w:t>GB/T 15148-2024《电力负荷管理系统技术规范》：GB/T 15148-2024原则性提出负荷管理系统应支持用户侧分布式电源的电力负荷管理，但未规定交互方式。本标准参考GB/T 15148-2024规定的总体架构，沿用“主站-数据传输通道-负荷管理装置”三层结构，并细化到分布式光伏接入场景，明确划分了园区分布式光伏（生产控制大区）和户用分布式光伏（管理信息大区）两类接入路径，并规定各自的通信链路及规约要求。</w:t>
      </w:r>
    </w:p>
    <w:p w14:paraId="11E0BA08">
      <w:pPr>
        <w:pStyle w:val="34"/>
        <w:numPr>
          <w:ilvl w:val="0"/>
          <w:numId w:val="14"/>
        </w:numPr>
        <w:tabs>
          <w:tab w:val="clear" w:pos="420"/>
        </w:tabs>
        <w:ind w:left="845" w:leftChars="0" w:hanging="425" w:firstLineChars="0"/>
        <w:rPr>
          <w:rFonts w:hint="eastAsia"/>
          <w:lang w:val="en-US" w:eastAsia="zh-CN"/>
        </w:rPr>
      </w:pPr>
      <w:r>
        <w:rPr>
          <w:rFonts w:hint="eastAsia"/>
          <w:lang w:val="en-US" w:eastAsia="zh-CN"/>
        </w:rPr>
        <w:t>GB/T 29319-2024《光伏发电系统接入配电网技术规定》：GB/T 29319-2024仅规定光伏发电系统应实时上传电压、电流和有功功率等并网点信息，但未规定数据格式。本标准专门针对负荷管理系统需求，扩展了分布式光伏设备固化参数、可设参数、异常告警和调控指令等数据项，并规定了数据格式、采集周期、安全加密等详细要求，使其可被负荷管理系统直接利用。</w:t>
      </w:r>
    </w:p>
    <w:p w14:paraId="74321EA7">
      <w:pPr>
        <w:pStyle w:val="34"/>
        <w:numPr>
          <w:ilvl w:val="0"/>
          <w:numId w:val="14"/>
        </w:numPr>
        <w:tabs>
          <w:tab w:val="clear" w:pos="420"/>
        </w:tabs>
        <w:ind w:left="845" w:leftChars="0" w:hanging="425" w:firstLineChars="0"/>
        <w:rPr>
          <w:rFonts w:hint="eastAsia"/>
        </w:rPr>
      </w:pPr>
      <w:r>
        <w:rPr>
          <w:rFonts w:hint="eastAsia"/>
          <w:lang w:val="en-US" w:eastAsia="zh-CN"/>
        </w:rPr>
        <w:t>GB/T 41236-2022《能源互联网与分布式电源互动规范》：GB/T 41236-2022仅原则性要求能源互联网与分布式电源互动上行、下行信息和通信技术，但未给出数据格式和不同场景条件下通信技术选取的优先级。本标准针对负荷管理系统明确规定了信息交互各环节的通信方式优先级和规约，如园区光伏与智慧能源单元优先RS485或HPLC，智慧能源单元与主站优先光纤专网。</w:t>
      </w:r>
    </w:p>
    <w:p w14:paraId="39959F9B">
      <w:pPr>
        <w:pStyle w:val="34"/>
        <w:numPr>
          <w:ilvl w:val="0"/>
          <w:numId w:val="14"/>
        </w:numPr>
        <w:tabs>
          <w:tab w:val="clear" w:pos="420"/>
        </w:tabs>
        <w:ind w:left="845" w:leftChars="0" w:hanging="425" w:firstLineChars="0"/>
        <w:rPr>
          <w:rFonts w:hint="eastAsia"/>
        </w:rPr>
      </w:pPr>
      <w:r>
        <w:rPr>
          <w:rFonts w:hint="eastAsia"/>
        </w:rPr>
        <w:t>IEEE 1547-2018</w:t>
      </w:r>
      <w:r>
        <w:rPr>
          <w:rFonts w:hint="eastAsia"/>
          <w:lang w:eastAsia="zh-CN"/>
        </w:rPr>
        <w:t>《</w:t>
      </w:r>
      <w:r>
        <w:rPr>
          <w:rFonts w:hint="eastAsia"/>
        </w:rPr>
        <w:t>分布式能源与电力系统相关接口的互联互通要求</w:t>
      </w:r>
      <w:r>
        <w:rPr>
          <w:rFonts w:hint="eastAsia"/>
          <w:lang w:eastAsia="zh-CN"/>
        </w:rPr>
        <w:t>》</w:t>
      </w:r>
      <w:r>
        <w:rPr>
          <w:rFonts w:hint="eastAsia"/>
        </w:rPr>
        <w:t>：</w:t>
      </w:r>
      <w:r>
        <w:rPr>
          <w:rFonts w:hint="eastAsia"/>
          <w:lang w:val="en-US" w:eastAsia="zh-CN"/>
        </w:rPr>
        <w:t>规定了</w:t>
      </w:r>
      <w:r>
        <w:rPr>
          <w:rFonts w:hint="eastAsia"/>
        </w:rPr>
        <w:t>分布式能源并网的技术要求，新增了通信、监控、遥调等功能要求，强调互操作性，但主要面向北美电网结构，其通信协议（如IEEE 2030.5）在国内应用受限。</w:t>
      </w:r>
    </w:p>
    <w:p w14:paraId="66D08251">
      <w:pPr>
        <w:pStyle w:val="34"/>
        <w:numPr>
          <w:ilvl w:val="0"/>
          <w:numId w:val="14"/>
        </w:numPr>
        <w:tabs>
          <w:tab w:val="clear" w:pos="420"/>
        </w:tabs>
        <w:ind w:left="845" w:leftChars="0" w:hanging="425" w:firstLineChars="0"/>
        <w:rPr>
          <w:rFonts w:hint="eastAsia"/>
        </w:rPr>
      </w:pPr>
      <w:r>
        <w:rPr>
          <w:rFonts w:hint="eastAsia"/>
        </w:rPr>
        <w:t>IEC 61850</w:t>
      </w:r>
      <w:r>
        <w:rPr>
          <w:rFonts w:hint="eastAsia"/>
          <w:lang w:eastAsia="zh-CN"/>
        </w:rPr>
        <w:t>《电力公用事业自动化通信网络和系统》</w:t>
      </w:r>
      <w:r>
        <w:rPr>
          <w:rFonts w:hint="eastAsia"/>
        </w:rPr>
        <w:t>：广泛应用于变电站自动化，其扩展子集（如IEC 61850-7-420）支持分布式能源建模，但实施复杂、成本较高，难以在低压分布式光伏场景大规模推广</w:t>
      </w:r>
      <w:r>
        <w:rPr>
          <w:rFonts w:hint="eastAsia"/>
          <w:lang w:eastAsia="zh-CN"/>
        </w:rPr>
        <w:t>，</w:t>
      </w:r>
      <w:r>
        <w:rPr>
          <w:rFonts w:hint="eastAsia"/>
          <w:lang w:val="en-US" w:eastAsia="zh-CN"/>
        </w:rPr>
        <w:t>且在国内需要适配</w:t>
      </w:r>
      <w:r>
        <w:rPr>
          <w:rFonts w:hint="eastAsia"/>
        </w:rPr>
        <w:t>。</w:t>
      </w:r>
    </w:p>
    <w:p w14:paraId="1DD64F98">
      <w:pPr>
        <w:pStyle w:val="34"/>
        <w:rPr>
          <w:rFonts w:hint="eastAsia"/>
        </w:rPr>
      </w:pPr>
      <w:r>
        <w:rPr>
          <w:rFonts w:hint="eastAsia"/>
          <w:lang w:val="en-US" w:eastAsia="zh-CN"/>
        </w:rPr>
        <w:t>综上所述，本标准</w:t>
      </w:r>
      <w:r>
        <w:rPr>
          <w:rFonts w:hint="default"/>
          <w:lang w:val="en-US" w:eastAsia="zh-CN"/>
        </w:rPr>
        <w:t>是在现有国家标准基础上，针对低压分布式光伏与负荷管理系统协同需求制定的专项标准。</w:t>
      </w:r>
      <w:r>
        <w:rPr>
          <w:rFonts w:hint="eastAsia"/>
          <w:lang w:val="en-US" w:eastAsia="zh-CN"/>
        </w:rPr>
        <w:t>该标准</w:t>
      </w:r>
      <w:r>
        <w:rPr>
          <w:rFonts w:hint="default"/>
          <w:lang w:val="en-US" w:eastAsia="zh-CN"/>
        </w:rPr>
        <w:t>既继承了GB/T 15148、GB/T 29319等标准的宏观原则，又在数据交互、通信协议、安全防护等方面进行了细化和创新，填补了分布式光伏与</w:t>
      </w:r>
      <w:r>
        <w:rPr>
          <w:rFonts w:hint="eastAsia"/>
          <w:lang w:val="en-US" w:eastAsia="zh-CN"/>
        </w:rPr>
        <w:t>新型</w:t>
      </w:r>
      <w:r>
        <w:rPr>
          <w:rFonts w:hint="default"/>
          <w:lang w:val="en-US" w:eastAsia="zh-CN"/>
        </w:rPr>
        <w:t>负荷管理系统</w:t>
      </w:r>
      <w:r>
        <w:rPr>
          <w:rFonts w:hint="eastAsia"/>
          <w:lang w:val="en-US" w:eastAsia="zh-CN"/>
        </w:rPr>
        <w:t>信息交互</w:t>
      </w:r>
      <w:r>
        <w:rPr>
          <w:rFonts w:hint="default"/>
          <w:lang w:val="en-US" w:eastAsia="zh-CN"/>
        </w:rPr>
        <w:t>领域的关键标准空白，为新型电力系统下海量分布式光伏的</w:t>
      </w:r>
      <w:r>
        <w:rPr>
          <w:rFonts w:hint="eastAsia"/>
          <w:lang w:val="en-US" w:eastAsia="zh-CN"/>
        </w:rPr>
        <w:t>“</w:t>
      </w:r>
      <w:r>
        <w:rPr>
          <w:rFonts w:hint="default"/>
          <w:lang w:val="en-US" w:eastAsia="zh-CN"/>
        </w:rPr>
        <w:t>可观、可测、可调、可控</w:t>
      </w:r>
      <w:r>
        <w:rPr>
          <w:rFonts w:hint="eastAsia"/>
          <w:lang w:val="en-US" w:eastAsia="zh-CN"/>
        </w:rPr>
        <w:t>”</w:t>
      </w:r>
      <w:r>
        <w:rPr>
          <w:rFonts w:hint="default"/>
          <w:lang w:val="en-US" w:eastAsia="zh-CN"/>
        </w:rPr>
        <w:t>提供了统一的技术遵循。</w:t>
      </w:r>
    </w:p>
    <w:p w14:paraId="181D6771">
      <w:pPr>
        <w:pStyle w:val="65"/>
        <w:spacing w:before="312" w:after="312"/>
      </w:pPr>
      <w:bookmarkStart w:id="31" w:name="_Toc513731115"/>
      <w:r>
        <w:rPr>
          <w:rFonts w:hint="eastAsia" w:ascii="宋体" w:hAnsi="宋体"/>
          <w:szCs w:val="21"/>
        </w:rPr>
        <w:t>6标准实施措施说明</w:t>
      </w:r>
      <w:bookmarkEnd w:id="31"/>
    </w:p>
    <w:p w14:paraId="5EC15476">
      <w:pPr>
        <w:pStyle w:val="34"/>
        <w:rPr>
          <w:rFonts w:hint="eastAsia"/>
        </w:rPr>
      </w:pPr>
      <w:r>
        <w:rPr>
          <w:rFonts w:hint="eastAsia"/>
        </w:rPr>
        <w:t>为确保本标准的有效落地与推广应用，</w:t>
      </w:r>
      <w:r>
        <w:rPr>
          <w:rFonts w:hint="eastAsia"/>
          <w:lang w:val="en-US" w:eastAsia="zh-CN"/>
        </w:rPr>
        <w:t>拟</w:t>
      </w:r>
      <w:r>
        <w:rPr>
          <w:rFonts w:hint="eastAsia"/>
        </w:rPr>
        <w:t>采取以下实施措施：</w:t>
      </w:r>
    </w:p>
    <w:p w14:paraId="492A273D">
      <w:pPr>
        <w:pStyle w:val="34"/>
        <w:rPr>
          <w:rFonts w:hint="eastAsia"/>
        </w:rPr>
      </w:pPr>
      <w:r>
        <w:rPr>
          <w:rFonts w:hint="eastAsia"/>
        </w:rPr>
        <w:t xml:space="preserve">6.1 </w:t>
      </w:r>
      <w:r>
        <w:rPr>
          <w:rFonts w:hint="eastAsia"/>
          <w:lang w:val="en-US" w:eastAsia="zh-CN"/>
        </w:rPr>
        <w:t>试点示范与推广</w:t>
      </w:r>
      <w:r>
        <w:rPr>
          <w:rFonts w:hint="eastAsia"/>
        </w:rPr>
        <w:t>应用</w:t>
      </w:r>
    </w:p>
    <w:p w14:paraId="5E2DC023">
      <w:pPr>
        <w:pStyle w:val="34"/>
        <w:numPr>
          <w:ilvl w:val="0"/>
          <w:numId w:val="15"/>
        </w:numPr>
        <w:tabs>
          <w:tab w:val="clear" w:pos="420"/>
        </w:tabs>
        <w:ind w:left="845" w:leftChars="0" w:hanging="425" w:firstLineChars="0"/>
        <w:rPr>
          <w:rFonts w:hint="eastAsia"/>
        </w:rPr>
      </w:pPr>
      <w:r>
        <w:rPr>
          <w:rFonts w:hint="eastAsia"/>
          <w:lang w:val="en-US" w:eastAsia="zh-CN"/>
        </w:rPr>
        <w:t>开展试点工程：</w:t>
      </w:r>
      <w:r>
        <w:rPr>
          <w:rFonts w:hint="eastAsia"/>
        </w:rPr>
        <w:t>选取典型地区（如分布式光伏密集接入的园区、户用光伏较多的县市）和典型场景（园区光伏、户用光伏），按照本标准要求建设或改造一批示范项目，验证标准在通信兼容性、数据准确性、控制实时性、安全可靠性等方面的可行性与优越性</w:t>
      </w:r>
      <w:r>
        <w:rPr>
          <w:rFonts w:hint="eastAsia"/>
          <w:lang w:eastAsia="zh-CN"/>
        </w:rPr>
        <w:t>。</w:t>
      </w:r>
    </w:p>
    <w:p w14:paraId="2457A459">
      <w:pPr>
        <w:pStyle w:val="34"/>
        <w:numPr>
          <w:ilvl w:val="0"/>
          <w:numId w:val="15"/>
        </w:numPr>
        <w:tabs>
          <w:tab w:val="clear" w:pos="420"/>
        </w:tabs>
        <w:ind w:left="845" w:leftChars="0" w:hanging="425" w:firstLineChars="0"/>
        <w:rPr>
          <w:rFonts w:hint="eastAsia"/>
        </w:rPr>
      </w:pPr>
      <w:r>
        <w:rPr>
          <w:rFonts w:hint="eastAsia"/>
          <w:lang w:val="en-US" w:eastAsia="zh-CN"/>
        </w:rPr>
        <w:t>总结推广模式：</w:t>
      </w:r>
      <w:r>
        <w:rPr>
          <w:rFonts w:hint="eastAsia"/>
          <w:lang w:eastAsia="zh-CN"/>
        </w:rPr>
        <w:t>跟踪试点项目运行情况，评估标准实施效果（如信息交互效率提升、调控能力增强、安全事故减少等），形成可复制的技术方案和管理经验，逐步扩大标准应用范围，推动标准在</w:t>
      </w:r>
      <w:r>
        <w:rPr>
          <w:rFonts w:hint="eastAsia"/>
          <w:lang w:val="en-US" w:eastAsia="zh-CN"/>
        </w:rPr>
        <w:t>行业</w:t>
      </w:r>
      <w:r>
        <w:rPr>
          <w:rFonts w:hint="eastAsia"/>
          <w:lang w:eastAsia="zh-CN"/>
        </w:rPr>
        <w:t>内的规模化应用。</w:t>
      </w:r>
    </w:p>
    <w:p w14:paraId="533EE8C8">
      <w:pPr>
        <w:pStyle w:val="34"/>
        <w:rPr>
          <w:rFonts w:hint="eastAsia" w:eastAsia="宋体"/>
          <w:lang w:eastAsia="zh-CN"/>
        </w:rPr>
      </w:pPr>
      <w:r>
        <w:rPr>
          <w:rFonts w:hint="eastAsia"/>
        </w:rPr>
        <w:t>6.2 技术支撑与工具配套</w:t>
      </w:r>
    </w:p>
    <w:p w14:paraId="62F7AD07">
      <w:pPr>
        <w:pStyle w:val="34"/>
        <w:numPr>
          <w:ilvl w:val="0"/>
          <w:numId w:val="16"/>
        </w:numPr>
        <w:tabs>
          <w:tab w:val="clear" w:pos="420"/>
        </w:tabs>
        <w:ind w:left="845" w:leftChars="0" w:hanging="425" w:firstLineChars="0"/>
        <w:rPr>
          <w:rFonts w:hint="eastAsia"/>
        </w:rPr>
      </w:pPr>
      <w:r>
        <w:rPr>
          <w:rFonts w:hint="eastAsia"/>
          <w:lang w:val="en-US" w:eastAsia="zh-CN"/>
        </w:rPr>
        <w:t>鼓励设备厂商依据本标准研发支持规定通信规约、数据格式和安全加密的智慧能源单元、智能融合终端、光伏逆变器等产品；引导系统开发商升级新型电力负荷管理系统、用电信息采集系统，确保与标准兼容。</w:t>
      </w:r>
    </w:p>
    <w:p w14:paraId="4F655E5B">
      <w:pPr>
        <w:pStyle w:val="34"/>
        <w:numPr>
          <w:ilvl w:val="0"/>
          <w:numId w:val="16"/>
        </w:numPr>
        <w:tabs>
          <w:tab w:val="clear" w:pos="420"/>
        </w:tabs>
        <w:ind w:left="845" w:leftChars="0" w:hanging="425" w:firstLineChars="0"/>
        <w:rPr>
          <w:rFonts w:hint="eastAsia"/>
        </w:rPr>
      </w:pPr>
      <w:r>
        <w:rPr>
          <w:rFonts w:hint="eastAsia"/>
        </w:rPr>
        <w:t>开发标准辅助工具，如协议一致性测试软件、数据格式校验工具、安全配置检查工具等，供设备厂商和系统集成商使用</w:t>
      </w:r>
      <w:r>
        <w:rPr>
          <w:rFonts w:hint="eastAsia"/>
          <w:lang w:eastAsia="zh-CN"/>
        </w:rPr>
        <w:t>，</w:t>
      </w:r>
      <w:r>
        <w:rPr>
          <w:rFonts w:hint="eastAsia"/>
        </w:rPr>
        <w:t>降低标准实施的技术门槛，提升实施效率。</w:t>
      </w:r>
    </w:p>
    <w:p w14:paraId="15C74803">
      <w:pPr>
        <w:pStyle w:val="34"/>
        <w:rPr>
          <w:rFonts w:hint="eastAsia"/>
        </w:rPr>
      </w:pPr>
      <w:r>
        <w:rPr>
          <w:rFonts w:hint="eastAsia"/>
        </w:rPr>
        <w:t xml:space="preserve">6.3 </w:t>
      </w:r>
      <w:r>
        <w:rPr>
          <w:rFonts w:hint="eastAsia"/>
          <w:lang w:val="en-US" w:eastAsia="zh-CN"/>
        </w:rPr>
        <w:t>行业</w:t>
      </w:r>
      <w:r>
        <w:rPr>
          <w:rFonts w:hint="eastAsia"/>
        </w:rPr>
        <w:t>宣贯与生态协同</w:t>
      </w:r>
    </w:p>
    <w:p w14:paraId="758A26BA">
      <w:pPr>
        <w:pStyle w:val="34"/>
        <w:numPr>
          <w:ilvl w:val="0"/>
          <w:numId w:val="17"/>
        </w:numPr>
        <w:tabs>
          <w:tab w:val="clear" w:pos="420"/>
        </w:tabs>
        <w:ind w:left="845" w:leftChars="0" w:hanging="425" w:firstLineChars="0"/>
        <w:rPr>
          <w:rFonts w:hint="eastAsia"/>
        </w:rPr>
      </w:pPr>
      <w:r>
        <w:rPr>
          <w:rFonts w:hint="eastAsia"/>
          <w:lang w:val="en-US" w:eastAsia="zh-CN"/>
        </w:rPr>
        <w:t>依托</w:t>
      </w:r>
      <w:r>
        <w:rPr>
          <w:rFonts w:hint="eastAsia"/>
        </w:rPr>
        <w:t>中国电机工程学会及其专业委员会</w:t>
      </w:r>
      <w:r>
        <w:rPr>
          <w:rFonts w:hint="eastAsia"/>
          <w:lang w:val="en-US" w:eastAsia="zh-CN"/>
        </w:rPr>
        <w:t>的行业影响力</w:t>
      </w:r>
      <w:r>
        <w:rPr>
          <w:rFonts w:hint="eastAsia"/>
        </w:rPr>
        <w:t>，组织面向电网企业、分布式光伏运营商、设备制造商、系统集成商、设计单位等的标准宣贯会，解读标准技术条款、实施要点和应用场景，</w:t>
      </w:r>
      <w:r>
        <w:rPr>
          <w:rFonts w:hint="eastAsia"/>
          <w:lang w:val="en-US" w:eastAsia="zh-CN"/>
        </w:rPr>
        <w:t>凝聚行业共识</w:t>
      </w:r>
      <w:r>
        <w:rPr>
          <w:rFonts w:hint="eastAsia"/>
        </w:rPr>
        <w:t>。</w:t>
      </w:r>
    </w:p>
    <w:p w14:paraId="403E315A">
      <w:pPr>
        <w:pStyle w:val="34"/>
        <w:numPr>
          <w:ilvl w:val="0"/>
          <w:numId w:val="17"/>
        </w:numPr>
        <w:tabs>
          <w:tab w:val="clear" w:pos="420"/>
        </w:tabs>
        <w:ind w:left="845" w:leftChars="0" w:hanging="425" w:firstLineChars="0"/>
        <w:rPr>
          <w:rFonts w:hint="eastAsia"/>
        </w:rPr>
      </w:pPr>
      <w:r>
        <w:rPr>
          <w:rFonts w:hint="eastAsia"/>
        </w:rPr>
        <w:t>鼓励行业协会、产业联盟将本标准纳入产品认证、项目验收、运维评估等环节；建立标准反馈与迭代机制，定期收集实施问题，适时启动修订，保持标准的先进性与适用性。</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4F534">
    <w:pPr>
      <w:pStyle w:val="69"/>
      <w:jc w:val="center"/>
    </w:pPr>
    <w:r>
      <w:rPr>
        <w:kern w:val="2"/>
      </w:rPr>
      <w:fldChar w:fldCharType="begin"/>
    </w:r>
    <w:r>
      <w:rPr>
        <w:rStyle w:val="22"/>
      </w:rPr>
      <w:instrText xml:space="preserve"> PAGE </w:instrText>
    </w:r>
    <w:r>
      <w:rPr>
        <w:kern w:val="2"/>
      </w:rPr>
      <w:fldChar w:fldCharType="separate"/>
    </w:r>
    <w:r>
      <w:rPr>
        <w:rStyle w:val="22"/>
      </w:rPr>
      <w:t>26</w:t>
    </w:r>
    <w:r>
      <w:rPr>
        <w:kern w:val="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1681A">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4"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14:paraId="0572889A">
                          <w:pPr>
                            <w:pStyle w:val="16"/>
                          </w:pPr>
                          <w:r>
                            <w:fldChar w:fldCharType="begin"/>
                          </w:r>
                          <w:r>
                            <w:instrText xml:space="preserve"> PAGE  \* MERGEFORMAT </w:instrText>
                          </w:r>
                          <w:r>
                            <w:fldChar w:fldCharType="separate"/>
                          </w:r>
                          <w:r>
                            <w:t>33</w:t>
                          </w:r>
                          <w:r>
                            <w:fldChar w:fldCharType="end"/>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YulhTQAAAAAwEAAA8AAAAAAAAAAQAgAAAAIgAAAGRycy9k&#10;b3ducmV2LnhtbFBLAQIUABQAAAAIAIdO4kAtlo8yCgIAAAIEAAAOAAAAAAAAAAEAIAAAAB8BAABk&#10;cnMvZTJvRG9jLnhtbFBLBQYAAAAABgAGAFkBAACbBQAAAAA=&#10;">
              <v:fill on="f" focussize="0,0"/>
              <v:stroke on="f"/>
              <v:imagedata o:title=""/>
              <o:lock v:ext="edit" aspectratio="f"/>
              <v:textbox inset="0mm,0mm,0mm,0mm" style="mso-fit-shape-to-text:t;">
                <w:txbxContent>
                  <w:p w14:paraId="0572889A">
                    <w:pPr>
                      <w:pStyle w:val="16"/>
                    </w:pPr>
                    <w:r>
                      <w:fldChar w:fldCharType="begin"/>
                    </w:r>
                    <w:r>
                      <w:instrText xml:space="preserve"> PAGE  \* MERGEFORMAT </w:instrText>
                    </w:r>
                    <w:r>
                      <w:fldChar w:fldCharType="separate"/>
                    </w:r>
                    <w:r>
                      <w:t>33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2B144">
    <w:pPr>
      <w:pStyle w:val="68"/>
      <w:wordWrap w:val="0"/>
    </w:pPr>
    <w:r>
      <w:rPr>
        <w:rFonts w:hint="eastAsia"/>
      </w:rPr>
      <w:t>T</w:t>
    </w:r>
    <w:r>
      <w:t>/</w:t>
    </w:r>
    <w:r>
      <w:rPr>
        <w:rFonts w:hint="eastAsia"/>
      </w:rPr>
      <w:t>CSEE</w:t>
    </w:r>
    <w:r>
      <w:rPr>
        <w:rFonts w:hint="eastAsia" w:hAnsi="黑体"/>
      </w:rPr>
      <w:t xml:space="preserve"> XXXX-YYYY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65B1B">
    <w:pPr>
      <w:pStyle w:val="68"/>
      <w:spacing w:before="120" w:after="120"/>
      <w:jc w:val="both"/>
    </w:pPr>
    <w:r>
      <w:t>Q/</w:t>
    </w:r>
    <w:r>
      <w:rPr>
        <w:rFonts w:hint="eastAsia"/>
      </w:rPr>
      <w:t>GDW</w:t>
    </w:r>
    <w:r>
      <w:rPr>
        <w:rFonts w:hint="eastAsia" w:hAnsi="宋体"/>
      </w:rPr>
      <w:t xml:space="preserve"> </w:t>
    </w:r>
    <w:r>
      <w:rPr>
        <w:rFonts w:hint="eastAsia" w:hAnsi="黑体"/>
      </w:rPr>
      <w:t>XX-XXX</w:t>
    </w:r>
    <w:r>
      <w:rPr>
        <w:rFonts w:hAnsi="黑体"/>
      </w:rPr>
      <w:t>—</w:t>
    </w:r>
    <w:r>
      <w:rPr>
        <w:rFonts w:hint="eastAsia" w:hAnsi="黑体"/>
      </w:rPr>
      <w:t>2012-1XXXX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90848">
    <w:pPr>
      <w:pStyle w:val="68"/>
      <w:wordWrap w:val="0"/>
      <w:spacing w:before="120"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F14628"/>
    <w:multiLevelType w:val="multilevel"/>
    <w:tmpl w:val="81F14628"/>
    <w:lvl w:ilvl="0" w:tentative="0">
      <w:start w:val="1"/>
      <w:numFmt w:val="chineseCounting"/>
      <w:pStyle w:val="25"/>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83B1588F"/>
    <w:multiLevelType w:val="multilevel"/>
    <w:tmpl w:val="83B1588F"/>
    <w:lvl w:ilvl="0" w:tentative="0">
      <w:start w:val="1"/>
      <w:numFmt w:val="chineseCounting"/>
      <w:suff w:val="space"/>
      <w:lvlText w:val="第%1章"/>
      <w:lvlJc w:val="left"/>
      <w:pPr>
        <w:tabs>
          <w:tab w:val="left" w:pos="0"/>
        </w:tabs>
        <w:ind w:left="425" w:hanging="425"/>
      </w:pPr>
      <w:rPr>
        <w:rFonts w:hint="eastAsia" w:eastAsia="方正仿宋_GB2312"/>
      </w:rPr>
    </w:lvl>
    <w:lvl w:ilvl="1" w:tentative="0">
      <w:start w:val="1"/>
      <w:numFmt w:val="chineseCounting"/>
      <w:suff w:val="space"/>
      <w:lvlText w:val="第%2节"/>
      <w:lvlJc w:val="left"/>
      <w:pPr>
        <w:tabs>
          <w:tab w:val="left" w:pos="0"/>
        </w:tabs>
        <w:ind w:left="567" w:hanging="567"/>
      </w:pPr>
      <w:rPr>
        <w:rFonts w:hint="eastAsia" w:eastAsia="方正仿宋_GB2312"/>
      </w:rPr>
    </w:lvl>
    <w:lvl w:ilvl="2" w:tentative="0">
      <w:start w:val="1"/>
      <w:numFmt w:val="chineseCounting"/>
      <w:suff w:val="space"/>
      <w:lvlText w:val="%3、"/>
      <w:lvlJc w:val="left"/>
      <w:pPr>
        <w:tabs>
          <w:tab w:val="left" w:pos="420"/>
        </w:tabs>
        <w:ind w:left="1560" w:hanging="567"/>
      </w:pPr>
      <w:rPr>
        <w:rFonts w:hint="eastAsia" w:ascii="Times New Roman" w:hAnsi="Times New Roman" w:eastAsia="方正仿宋_GB2312" w:cs="方正仿宋_GB2312"/>
        <w:sz w:val="28"/>
      </w:rPr>
    </w:lvl>
    <w:lvl w:ilvl="3" w:tentative="0">
      <w:start w:val="1"/>
      <w:numFmt w:val="chineseCounting"/>
      <w:suff w:val="space"/>
      <w:lvlText w:val="（%4）"/>
      <w:lvlJc w:val="left"/>
      <w:pPr>
        <w:tabs>
          <w:tab w:val="left" w:pos="0"/>
        </w:tabs>
        <w:ind w:left="420" w:leftChars="0" w:hanging="420" w:firstLineChars="0"/>
      </w:pPr>
      <w:rPr>
        <w:rFonts w:hint="eastAsia" w:eastAsia="方正仿宋_GB2312"/>
        <w:sz w:val="28"/>
      </w:rPr>
    </w:lvl>
    <w:lvl w:ilvl="4" w:tentative="0">
      <w:start w:val="1"/>
      <w:numFmt w:val="decimal"/>
      <w:suff w:val="space"/>
      <w:lvlText w:val="%5."/>
      <w:lvlJc w:val="left"/>
      <w:pPr>
        <w:tabs>
          <w:tab w:val="left" w:pos="420"/>
        </w:tabs>
        <w:ind w:left="420" w:leftChars="0" w:hanging="380" w:firstLineChars="0"/>
      </w:pPr>
      <w:rPr>
        <w:rFonts w:hint="eastAsia" w:eastAsia="方正仿宋_GB2312"/>
        <w:sz w:val="28"/>
      </w:rPr>
    </w:lvl>
    <w:lvl w:ilvl="5" w:tentative="0">
      <w:start w:val="1"/>
      <w:numFmt w:val="decimal"/>
      <w:lvlText w:val="%6)"/>
      <w:lvlJc w:val="left"/>
      <w:pPr>
        <w:tabs>
          <w:tab w:val="left" w:pos="420"/>
        </w:tabs>
        <w:ind w:left="3260" w:hanging="1134"/>
      </w:pPr>
      <w:rPr>
        <w:rFonts w:hint="eastAsia" w:eastAsia="方正仿宋_GB2312"/>
        <w:sz w:val="28"/>
      </w:rPr>
    </w:lvl>
    <w:lvl w:ilvl="6" w:tentative="0">
      <w:start w:val="1"/>
      <w:numFmt w:val="decimalEnclosedCircleChinese"/>
      <w:pStyle w:val="54"/>
      <w:lvlText w:val="%7"/>
      <w:lvlJc w:val="left"/>
      <w:pPr>
        <w:ind w:left="0" w:leftChars="0" w:firstLine="2551" w:firstLineChars="0"/>
      </w:pPr>
      <w:rPr>
        <w:rFonts w:hint="eastAsia" w:eastAsia="方正仿宋_GB2312"/>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9F5291F1"/>
    <w:multiLevelType w:val="multilevel"/>
    <w:tmpl w:val="9F5291F1"/>
    <w:lvl w:ilvl="0" w:tentative="0">
      <w:start w:val="1"/>
      <w:numFmt w:val="decimal"/>
      <w:isLgl/>
      <w:suff w:val="space"/>
      <w:lvlText w:val="%1."/>
      <w:lvlJc w:val="left"/>
      <w:pPr>
        <w:tabs>
          <w:tab w:val="left" w:pos="0"/>
        </w:tabs>
        <w:ind w:left="0" w:firstLine="0"/>
      </w:pPr>
      <w:rPr>
        <w:rFonts w:hint="default" w:ascii="Times New Roman" w:hAnsi="Times New Roman" w:eastAsia="黑体" w:cs="宋体"/>
        <w:b/>
        <w:sz w:val="32"/>
      </w:rPr>
    </w:lvl>
    <w:lvl w:ilvl="1" w:tentative="0">
      <w:start w:val="1"/>
      <w:numFmt w:val="decimal"/>
      <w:isLgl/>
      <w:suff w:val="nothing"/>
      <w:lvlText w:val="%1.%2  "/>
      <w:lvlJc w:val="left"/>
      <w:pPr>
        <w:tabs>
          <w:tab w:val="left" w:pos="0"/>
        </w:tabs>
        <w:ind w:left="0" w:firstLine="0"/>
      </w:pPr>
      <w:rPr>
        <w:rFonts w:hint="default" w:ascii="Times New Roman" w:hAnsi="Times New Roman" w:eastAsia="黑体" w:cs="宋体"/>
        <w:sz w:val="30"/>
      </w:rPr>
    </w:lvl>
    <w:lvl w:ilvl="2" w:tentative="0">
      <w:start w:val="1"/>
      <w:numFmt w:val="decimal"/>
      <w:pStyle w:val="27"/>
      <w:suff w:val="nothing"/>
      <w:lvlText w:val="%1.%2.%3  "/>
      <w:lvlJc w:val="left"/>
      <w:pPr>
        <w:tabs>
          <w:tab w:val="left" w:pos="0"/>
        </w:tabs>
        <w:ind w:left="0" w:firstLine="0"/>
      </w:pPr>
      <w:rPr>
        <w:rFonts w:hint="default" w:ascii="Times New Roman" w:hAnsi="Times New Roman" w:eastAsia="黑体" w:cs="宋体"/>
        <w:sz w:val="32"/>
        <w:szCs w:val="32"/>
      </w:rPr>
    </w:lvl>
    <w:lvl w:ilvl="3" w:tentative="0">
      <w:start w:val="1"/>
      <w:numFmt w:val="decimal"/>
      <w:suff w:val="nothing"/>
      <w:lvlText w:val="(%4)  "/>
      <w:lvlJc w:val="left"/>
      <w:pPr>
        <w:tabs>
          <w:tab w:val="left" w:pos="0"/>
        </w:tabs>
        <w:ind w:left="0" w:firstLine="0"/>
      </w:pPr>
      <w:rPr>
        <w:rFonts w:hint="default" w:ascii="Times New Roman" w:hAnsi="Times New Roman" w:eastAsia="宋体" w:cs="宋体"/>
        <w:sz w:val="24"/>
      </w:rPr>
    </w:lvl>
    <w:lvl w:ilvl="4" w:tentative="0">
      <w:start w:val="1"/>
      <w:numFmt w:val="decimal"/>
      <w:isLgl/>
      <w:suff w:val="nothing"/>
      <w:lvlText w:val="%5)  "/>
      <w:lvlJc w:val="left"/>
      <w:pPr>
        <w:tabs>
          <w:tab w:val="left" w:pos="420"/>
        </w:tabs>
        <w:ind w:left="0" w:firstLine="0"/>
      </w:pPr>
      <w:rPr>
        <w:rFonts w:hint="default" w:ascii="Times New Roman" w:hAnsi="Times New Roman" w:eastAsia="宋体" w:cs="宋体"/>
        <w:sz w:val="24"/>
      </w:rPr>
    </w:lvl>
    <w:lvl w:ilvl="5" w:tentative="0">
      <w:start w:val="1"/>
      <w:numFmt w:val="decimalEnclosedCircleChinese"/>
      <w:suff w:val="nothing"/>
      <w:lvlText w:val="%6  "/>
      <w:lvlJc w:val="left"/>
      <w:pPr>
        <w:tabs>
          <w:tab w:val="left" w:pos="420"/>
        </w:tabs>
        <w:ind w:left="0" w:firstLine="0"/>
      </w:pPr>
      <w:rPr>
        <w:rFonts w:hint="eastAsia" w:ascii="Times New Roman" w:hAnsi="Times New Roman" w:eastAsia="宋体" w:cs="宋体"/>
        <w:sz w:val="24"/>
      </w:rPr>
    </w:lvl>
    <w:lvl w:ilvl="6" w:tentative="0">
      <w:start w:val="1"/>
      <w:numFmt w:val="none"/>
      <w:lvlText w:val="%1.%2.%3.%4.%5.%6.%7."/>
      <w:lvlJc w:val="left"/>
      <w:pPr>
        <w:tabs>
          <w:tab w:val="left" w:pos="420"/>
        </w:tabs>
        <w:ind w:left="1275" w:hanging="1275"/>
      </w:pPr>
      <w:rPr>
        <w:rFonts w:hint="default" w:ascii="宋体" w:hAnsi="宋体" w:eastAsia="宋体" w:cs="宋体"/>
      </w:rPr>
    </w:lvl>
    <w:lvl w:ilvl="7" w:tentative="0">
      <w:start w:val="1"/>
      <w:numFmt w:val="none"/>
      <w:lvlText w:val="%1.%2.%3.%4.%5.%6.%7.%8."/>
      <w:lvlJc w:val="left"/>
      <w:pPr>
        <w:ind w:left="1418" w:hanging="1418"/>
      </w:pPr>
      <w:rPr>
        <w:rFonts w:hint="default" w:ascii="宋体" w:hAnsi="宋体" w:eastAsia="宋体" w:cs="宋体"/>
      </w:rPr>
    </w:lvl>
    <w:lvl w:ilvl="8" w:tentative="0">
      <w:start w:val="1"/>
      <w:numFmt w:val="none"/>
      <w:lvlText w:val="%1.%2.%3.%4.%5.%6.%7.%8.%9."/>
      <w:lvlJc w:val="left"/>
      <w:pPr>
        <w:ind w:left="1558" w:hanging="1558"/>
      </w:pPr>
      <w:rPr>
        <w:rFonts w:hint="default" w:ascii="宋体" w:hAnsi="宋体" w:eastAsia="宋体" w:cs="宋体"/>
      </w:rPr>
    </w:lvl>
  </w:abstractNum>
  <w:abstractNum w:abstractNumId="3">
    <w:nsid w:val="C02D8CD1"/>
    <w:multiLevelType w:val="singleLevel"/>
    <w:tmpl w:val="C02D8CD1"/>
    <w:lvl w:ilvl="0" w:tentative="0">
      <w:start w:val="1"/>
      <w:numFmt w:val="decimal"/>
      <w:lvlText w:val="%1)"/>
      <w:lvlJc w:val="left"/>
      <w:pPr>
        <w:tabs>
          <w:tab w:val="left" w:pos="420"/>
        </w:tabs>
        <w:ind w:left="845" w:hanging="425"/>
      </w:pPr>
      <w:rPr>
        <w:rFonts w:hint="default"/>
      </w:rPr>
    </w:lvl>
  </w:abstractNum>
  <w:abstractNum w:abstractNumId="4">
    <w:nsid w:val="D7574219"/>
    <w:multiLevelType w:val="multilevel"/>
    <w:tmpl w:val="D7574219"/>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5">
    <w:nsid w:val="F328115C"/>
    <w:multiLevelType w:val="singleLevel"/>
    <w:tmpl w:val="F328115C"/>
    <w:lvl w:ilvl="0" w:tentative="0">
      <w:start w:val="1"/>
      <w:numFmt w:val="decimal"/>
      <w:lvlText w:val="%1)"/>
      <w:lvlJc w:val="left"/>
      <w:pPr>
        <w:tabs>
          <w:tab w:val="left" w:pos="420"/>
        </w:tabs>
        <w:ind w:left="845" w:hanging="425"/>
      </w:pPr>
      <w:rPr>
        <w:rFonts w:hint="default"/>
      </w:rPr>
    </w:lvl>
  </w:abstractNum>
  <w:abstractNum w:abstractNumId="6">
    <w:nsid w:val="FE77EA82"/>
    <w:multiLevelType w:val="multilevel"/>
    <w:tmpl w:val="FE77EA82"/>
    <w:lvl w:ilvl="0" w:tentative="0">
      <w:start w:val="1"/>
      <w:numFmt w:val="chineseCounting"/>
      <w:pStyle w:val="40"/>
      <w:suff w:val="space"/>
      <w:lvlText w:val="第%1章"/>
      <w:lvlJc w:val="left"/>
      <w:pPr>
        <w:tabs>
          <w:tab w:val="left" w:pos="0"/>
        </w:tabs>
        <w:ind w:left="425" w:hanging="425"/>
      </w:pPr>
      <w:rPr>
        <w:rFonts w:hint="eastAsia" w:eastAsia="方正仿宋_GB2312"/>
      </w:rPr>
    </w:lvl>
    <w:lvl w:ilvl="1" w:tentative="0">
      <w:start w:val="1"/>
      <w:numFmt w:val="chineseCounting"/>
      <w:pStyle w:val="41"/>
      <w:suff w:val="space"/>
      <w:lvlText w:val="第%2节"/>
      <w:lvlJc w:val="left"/>
      <w:pPr>
        <w:tabs>
          <w:tab w:val="left" w:pos="0"/>
        </w:tabs>
        <w:ind w:left="567" w:hanging="567"/>
      </w:pPr>
      <w:rPr>
        <w:rFonts w:hint="eastAsia" w:eastAsia="方正仿宋_GB2312"/>
      </w:rPr>
    </w:lvl>
    <w:lvl w:ilvl="2" w:tentative="0">
      <w:start w:val="1"/>
      <w:numFmt w:val="chineseCounting"/>
      <w:pStyle w:val="50"/>
      <w:suff w:val="space"/>
      <w:lvlText w:val="%3、"/>
      <w:lvlJc w:val="left"/>
      <w:pPr>
        <w:ind w:left="560" w:leftChars="0" w:firstLine="0" w:firstLineChars="0"/>
      </w:pPr>
      <w:rPr>
        <w:rFonts w:hint="eastAsia" w:ascii="Times New Roman" w:hAnsi="Times New Roman" w:eastAsia="方正仿宋_GB2312" w:cs="方正仿宋_GB2312"/>
        <w:sz w:val="28"/>
      </w:rPr>
    </w:lvl>
    <w:lvl w:ilvl="3" w:tentative="0">
      <w:start w:val="1"/>
      <w:numFmt w:val="chineseCounting"/>
      <w:pStyle w:val="49"/>
      <w:suff w:val="space"/>
      <w:lvlText w:val="（%4）"/>
      <w:lvlJc w:val="left"/>
      <w:pPr>
        <w:tabs>
          <w:tab w:val="left" w:pos="420"/>
        </w:tabs>
        <w:ind w:left="6160" w:leftChars="0" w:firstLine="0" w:firstLineChars="0"/>
      </w:pPr>
      <w:rPr>
        <w:rFonts w:hint="eastAsia" w:eastAsia="方正仿宋_GB2312"/>
        <w:sz w:val="28"/>
      </w:rPr>
    </w:lvl>
    <w:lvl w:ilvl="4" w:tentative="0">
      <w:start w:val="1"/>
      <w:numFmt w:val="decimal"/>
      <w:pStyle w:val="52"/>
      <w:suff w:val="space"/>
      <w:lvlText w:val="%5."/>
      <w:lvlJc w:val="left"/>
      <w:pPr>
        <w:tabs>
          <w:tab w:val="left" w:pos="420"/>
        </w:tabs>
        <w:ind w:left="-323" w:leftChars="0" w:firstLine="40" w:firstLineChars="0"/>
      </w:pPr>
      <w:rPr>
        <w:rFonts w:hint="eastAsia" w:eastAsia="方正仿宋_GB2312"/>
        <w:sz w:val="28"/>
      </w:rPr>
    </w:lvl>
    <w:lvl w:ilvl="5" w:tentative="0">
      <w:start w:val="1"/>
      <w:numFmt w:val="decimal"/>
      <w:pStyle w:val="53"/>
      <w:suff w:val="space"/>
      <w:lvlText w:val="%6)"/>
      <w:lvlJc w:val="left"/>
      <w:pPr>
        <w:ind w:left="-1566" w:leftChars="0" w:firstLine="2126" w:firstLineChars="0"/>
      </w:pPr>
      <w:rPr>
        <w:rFonts w:hint="eastAsia" w:ascii="方正仿宋_GB2312" w:hAnsi="方正仿宋_GB2312" w:eastAsia="方正仿宋_GB2312" w:cs="方正仿宋_GB2312"/>
        <w:sz w:val="28"/>
      </w:rPr>
    </w:lvl>
    <w:lvl w:ilvl="6" w:tentative="0">
      <w:start w:val="1"/>
      <w:numFmt w:val="decimalEnclosedCircleChinese"/>
      <w:pStyle w:val="55"/>
      <w:suff w:val="space"/>
      <w:lvlText w:val="%7"/>
      <w:lvlJc w:val="left"/>
      <w:pPr>
        <w:tabs>
          <w:tab w:val="left" w:pos="420"/>
        </w:tabs>
        <w:ind w:left="1836" w:hanging="1276"/>
      </w:pPr>
      <w:rPr>
        <w:rFonts w:hint="eastAsia" w:eastAsia="方正仿宋_GB2312"/>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0AFE6981"/>
    <w:multiLevelType w:val="multilevel"/>
    <w:tmpl w:val="0AFE6981"/>
    <w:lvl w:ilvl="0" w:tentative="0">
      <w:start w:val="1"/>
      <w:numFmt w:val="decimal"/>
      <w:pStyle w:val="33"/>
      <w:suff w:val="nothing"/>
      <w:lvlText w:val="%1　"/>
      <w:lvlJc w:val="left"/>
      <w:pPr>
        <w:ind w:left="0" w:firstLine="0"/>
      </w:pPr>
      <w:rPr>
        <w:rFonts w:hint="eastAsia" w:ascii="黑体" w:hAnsi="Times New Roman" w:eastAsia="黑体"/>
        <w:b w:val="0"/>
        <w:i w:val="0"/>
        <w:sz w:val="21"/>
      </w:rPr>
    </w:lvl>
    <w:lvl w:ilvl="1" w:tentative="0">
      <w:start w:val="1"/>
      <w:numFmt w:val="decimal"/>
      <w:pStyle w:val="32"/>
      <w:suff w:val="nothing"/>
      <w:lvlText w:val="%1.%2　"/>
      <w:lvlJc w:val="left"/>
      <w:pPr>
        <w:ind w:left="210" w:firstLine="0"/>
      </w:pPr>
      <w:rPr>
        <w:rFonts w:hint="eastAsia" w:ascii="黑体" w:hAnsi="Times New Roman" w:eastAsia="黑体"/>
        <w:b w:val="0"/>
        <w:i w:val="0"/>
        <w:caps w:val="0"/>
        <w:strike w:val="0"/>
        <w:dstrike w:val="0"/>
        <w:vanish w:val="0"/>
        <w:color w:val="000000"/>
        <w:spacing w:val="0"/>
        <w:kern w:val="0"/>
        <w:position w:val="0"/>
        <w:sz w:val="21"/>
        <w:u w:val="none"/>
        <w:vertAlign w:val="baseline"/>
        <w14:shadow w14:blurRad="0" w14:dist="0" w14:dir="0" w14:sx="0" w14:sy="0" w14:kx="0" w14:ky="0" w14:algn="none">
          <w14:srgbClr w14:val="000000"/>
        </w14:shadow>
      </w:rPr>
    </w:lvl>
    <w:lvl w:ilvl="2" w:tentative="0">
      <w:start w:val="1"/>
      <w:numFmt w:val="decimal"/>
      <w:pStyle w:val="35"/>
      <w:suff w:val="nothing"/>
      <w:lvlText w:val="%1.%2.%3　"/>
      <w:lvlJc w:val="left"/>
      <w:pPr>
        <w:ind w:left="0" w:firstLine="0"/>
      </w:pPr>
      <w:rPr>
        <w:rFonts w:hint="eastAsia" w:ascii="黑体" w:hAnsi="Times New Roman" w:eastAsia="黑体"/>
        <w:b w:val="0"/>
        <w:i w:val="0"/>
        <w:color w:val="auto"/>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0B5BA61A"/>
    <w:multiLevelType w:val="multilevel"/>
    <w:tmpl w:val="0B5BA61A"/>
    <w:lvl w:ilvl="0" w:tentative="0">
      <w:start w:val="1"/>
      <w:numFmt w:val="decimal"/>
      <w:suff w:val="space"/>
      <w:lvlText w:val="%1"/>
      <w:lvlJc w:val="left"/>
      <w:pPr>
        <w:ind w:left="425" w:hanging="425"/>
      </w:pPr>
      <w:rPr>
        <w:rFonts w:hint="default"/>
      </w:rPr>
    </w:lvl>
    <w:lvl w:ilvl="1" w:tentative="0">
      <w:start w:val="1"/>
      <w:numFmt w:val="decimal"/>
      <w:suff w:val="space"/>
      <w:lvlText w:val="%1.%2"/>
      <w:lvlJc w:val="left"/>
      <w:pPr>
        <w:tabs>
          <w:tab w:val="left" w:pos="0"/>
        </w:tabs>
        <w:ind w:left="567" w:hanging="567"/>
      </w:pPr>
      <w:rPr>
        <w:rFonts w:hint="default"/>
      </w:rPr>
    </w:lvl>
    <w:lvl w:ilvl="2" w:tentative="0">
      <w:start w:val="1"/>
      <w:numFmt w:val="decimal"/>
      <w:pStyle w:val="42"/>
      <w:suff w:val="space"/>
      <w:lvlText w:val="%1.%2.%3"/>
      <w:lvlJc w:val="left"/>
      <w:pPr>
        <w:ind w:left="1560" w:hanging="567"/>
      </w:pPr>
      <w:rPr>
        <w:rFonts w:hint="default" w:ascii="方正仿宋_GB2312" w:hAnsi="方正仿宋_GB2312" w:eastAsia="方正仿宋_GB2312" w:cs="方正仿宋_GB2312"/>
      </w:rPr>
    </w:lvl>
    <w:lvl w:ilvl="3" w:tentative="0">
      <w:start w:val="1"/>
      <w:numFmt w:val="decimal"/>
      <w:suff w:val="space"/>
      <w:lvlText w:val="%1.%2.%3.%4"/>
      <w:lvlJc w:val="left"/>
      <w:pPr>
        <w:ind w:left="0" w:firstLine="0"/>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2EC73B53"/>
    <w:multiLevelType w:val="multilevel"/>
    <w:tmpl w:val="2EC73B53"/>
    <w:lvl w:ilvl="0" w:tentative="0">
      <w:start w:val="1"/>
      <w:numFmt w:val="decimal"/>
      <w:pStyle w:val="39"/>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0">
    <w:nsid w:val="32545E20"/>
    <w:multiLevelType w:val="singleLevel"/>
    <w:tmpl w:val="32545E20"/>
    <w:lvl w:ilvl="0" w:tentative="0">
      <w:start w:val="1"/>
      <w:numFmt w:val="decimal"/>
      <w:lvlText w:val="%1)"/>
      <w:lvlJc w:val="left"/>
      <w:pPr>
        <w:tabs>
          <w:tab w:val="left" w:pos="420"/>
        </w:tabs>
        <w:ind w:left="845" w:hanging="425"/>
      </w:pPr>
      <w:rPr>
        <w:rFonts w:hint="default"/>
      </w:rPr>
    </w:lvl>
  </w:abstractNum>
  <w:abstractNum w:abstractNumId="11">
    <w:nsid w:val="58DADE04"/>
    <w:multiLevelType w:val="singleLevel"/>
    <w:tmpl w:val="58DADE04"/>
    <w:lvl w:ilvl="0" w:tentative="0">
      <w:start w:val="1"/>
      <w:numFmt w:val="decimal"/>
      <w:lvlText w:val="%1)"/>
      <w:lvlJc w:val="left"/>
      <w:pPr>
        <w:tabs>
          <w:tab w:val="left" w:pos="420"/>
        </w:tabs>
        <w:ind w:left="845" w:hanging="425"/>
      </w:pPr>
      <w:rPr>
        <w:rFonts w:hint="default"/>
      </w:rPr>
    </w:lvl>
  </w:abstractNum>
  <w:abstractNum w:abstractNumId="12">
    <w:nsid w:val="5F425D58"/>
    <w:multiLevelType w:val="multilevel"/>
    <w:tmpl w:val="5F425D58"/>
    <w:lvl w:ilvl="0" w:tentative="0">
      <w:start w:val="1"/>
      <w:numFmt w:val="chineseCounting"/>
      <w:pStyle w:val="51"/>
      <w:suff w:val="space"/>
      <w:lvlText w:val="第%1章"/>
      <w:lvlJc w:val="left"/>
      <w:pPr>
        <w:tabs>
          <w:tab w:val="left" w:pos="0"/>
        </w:tabs>
        <w:ind w:left="425" w:hanging="425"/>
      </w:pPr>
      <w:rPr>
        <w:rFonts w:hint="eastAsia" w:eastAsia="方正仿宋_GB2312"/>
      </w:rPr>
    </w:lvl>
    <w:lvl w:ilvl="1" w:tentative="0">
      <w:start w:val="1"/>
      <w:numFmt w:val="chineseCounting"/>
      <w:suff w:val="space"/>
      <w:lvlText w:val="第%2节"/>
      <w:lvlJc w:val="left"/>
      <w:pPr>
        <w:tabs>
          <w:tab w:val="left" w:pos="0"/>
        </w:tabs>
        <w:ind w:left="567" w:hanging="567"/>
      </w:pPr>
      <w:rPr>
        <w:rFonts w:hint="eastAsia" w:eastAsia="方正仿宋_GB2312"/>
      </w:rPr>
    </w:lvl>
    <w:lvl w:ilvl="2" w:tentative="0">
      <w:start w:val="1"/>
      <w:numFmt w:val="chineseCounting"/>
      <w:suff w:val="space"/>
      <w:lvlText w:val="%3、"/>
      <w:lvlJc w:val="left"/>
      <w:pPr>
        <w:tabs>
          <w:tab w:val="left" w:pos="420"/>
        </w:tabs>
        <w:ind w:left="1560" w:hanging="567"/>
      </w:pPr>
      <w:rPr>
        <w:rFonts w:hint="eastAsia" w:ascii="Times New Roman" w:hAnsi="Times New Roman" w:eastAsia="方正仿宋_GB2312" w:cs="方正仿宋_GB2312"/>
        <w:sz w:val="28"/>
      </w:rPr>
    </w:lvl>
    <w:lvl w:ilvl="3" w:tentative="0">
      <w:start w:val="1"/>
      <w:numFmt w:val="chineseCounting"/>
      <w:suff w:val="space"/>
      <w:lvlText w:val="（%4）"/>
      <w:lvlJc w:val="left"/>
      <w:pPr>
        <w:tabs>
          <w:tab w:val="left" w:pos="0"/>
        </w:tabs>
        <w:ind w:left="0" w:leftChars="0" w:firstLine="0" w:firstLineChars="0"/>
      </w:pPr>
      <w:rPr>
        <w:rFonts w:hint="eastAsia" w:eastAsia="方正仿宋_GB2312"/>
        <w:sz w:val="28"/>
      </w:rPr>
    </w:lvl>
    <w:lvl w:ilvl="4" w:tentative="0">
      <w:start w:val="1"/>
      <w:numFmt w:val="decimal"/>
      <w:suff w:val="space"/>
      <w:lvlText w:val="%5."/>
      <w:lvlJc w:val="left"/>
      <w:pPr>
        <w:tabs>
          <w:tab w:val="left" w:pos="0"/>
        </w:tabs>
        <w:ind w:left="0" w:leftChars="0" w:firstLine="40" w:firstLineChars="0"/>
      </w:pPr>
      <w:rPr>
        <w:rFonts w:hint="eastAsia" w:ascii="Times New Roman" w:hAnsi="Times New Roman" w:eastAsia="方正仿宋_GB2312"/>
        <w:sz w:val="28"/>
      </w:rPr>
    </w:lvl>
    <w:lvl w:ilvl="5" w:tentative="0">
      <w:start w:val="1"/>
      <w:numFmt w:val="decimal"/>
      <w:lvlText w:val="%6)"/>
      <w:lvlJc w:val="left"/>
      <w:pPr>
        <w:tabs>
          <w:tab w:val="left" w:pos="420"/>
        </w:tabs>
        <w:ind w:left="3260" w:hanging="1134"/>
      </w:pPr>
      <w:rPr>
        <w:rFonts w:hint="eastAsia" w:eastAsia="方正仿宋_GB2312"/>
        <w:sz w:val="28"/>
      </w:rPr>
    </w:lvl>
    <w:lvl w:ilvl="6" w:tentative="0">
      <w:start w:val="1"/>
      <w:numFmt w:val="decimalEnclosedCircleChinese"/>
      <w:lvlText w:val="%7"/>
      <w:lvlJc w:val="left"/>
      <w:pPr>
        <w:ind w:left="3827" w:hanging="1276"/>
      </w:pPr>
      <w:rPr>
        <w:rFonts w:hint="eastAsia" w:eastAsia="方正仿宋_GB2312"/>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3">
    <w:nsid w:val="657D3FBC"/>
    <w:multiLevelType w:val="multilevel"/>
    <w:tmpl w:val="657D3FBC"/>
    <w:lvl w:ilvl="0" w:tentative="0">
      <w:start w:val="1"/>
      <w:numFmt w:val="upperLetter"/>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6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C544375"/>
    <w:multiLevelType w:val="singleLevel"/>
    <w:tmpl w:val="6C544375"/>
    <w:lvl w:ilvl="0" w:tentative="0">
      <w:start w:val="1"/>
      <w:numFmt w:val="decimal"/>
      <w:lvlText w:val="%1)"/>
      <w:lvlJc w:val="left"/>
      <w:pPr>
        <w:tabs>
          <w:tab w:val="left" w:pos="420"/>
        </w:tabs>
        <w:ind w:left="845" w:hanging="425"/>
      </w:pPr>
      <w:rPr>
        <w:rFonts w:hint="default"/>
      </w:rPr>
    </w:lvl>
  </w:abstractNum>
  <w:abstractNum w:abstractNumId="15">
    <w:nsid w:val="6FF23721"/>
    <w:multiLevelType w:val="multilevel"/>
    <w:tmpl w:val="6FF23721"/>
    <w:lvl w:ilvl="0" w:tentative="0">
      <w:start w:val="1"/>
      <w:numFmt w:val="chineseCounting"/>
      <w:suff w:val="nothing"/>
      <w:lvlText w:val="%1、"/>
      <w:lvlJc w:val="left"/>
      <w:pPr>
        <w:ind w:left="0" w:firstLine="0"/>
      </w:pPr>
      <w:rPr>
        <w:rFonts w:hint="eastAsia"/>
      </w:rPr>
    </w:lvl>
    <w:lvl w:ilvl="1" w:tentative="0">
      <w:start w:val="1"/>
      <w:numFmt w:val="chineseCounting"/>
      <w:pStyle w:val="26"/>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6">
    <w:nsid w:val="75C757A6"/>
    <w:multiLevelType w:val="singleLevel"/>
    <w:tmpl w:val="75C757A6"/>
    <w:lvl w:ilvl="0" w:tentative="0">
      <w:start w:val="1"/>
      <w:numFmt w:val="decimal"/>
      <w:lvlText w:val="%1)"/>
      <w:lvlJc w:val="left"/>
      <w:pPr>
        <w:tabs>
          <w:tab w:val="left" w:pos="420"/>
        </w:tabs>
        <w:ind w:left="845" w:hanging="425"/>
      </w:pPr>
      <w:rPr>
        <w:rFonts w:hint="default"/>
      </w:rPr>
    </w:lvl>
  </w:abstractNum>
  <w:num w:numId="1">
    <w:abstractNumId w:val="4"/>
  </w:num>
  <w:num w:numId="2">
    <w:abstractNumId w:val="0"/>
  </w:num>
  <w:num w:numId="3">
    <w:abstractNumId w:val="15"/>
  </w:num>
  <w:num w:numId="4">
    <w:abstractNumId w:val="2"/>
  </w:num>
  <w:num w:numId="5">
    <w:abstractNumId w:val="7"/>
  </w:num>
  <w:num w:numId="6">
    <w:abstractNumId w:val="9"/>
  </w:num>
  <w:num w:numId="7">
    <w:abstractNumId w:val="6"/>
  </w:num>
  <w:num w:numId="8">
    <w:abstractNumId w:val="8"/>
  </w:num>
  <w:num w:numId="9">
    <w:abstractNumId w:val="12"/>
  </w:num>
  <w:num w:numId="10">
    <w:abstractNumId w:val="1"/>
  </w:num>
  <w:num w:numId="11">
    <w:abstractNumId w:val="13"/>
  </w:num>
  <w:num w:numId="12">
    <w:abstractNumId w:val="11"/>
  </w:num>
  <w:num w:numId="13">
    <w:abstractNumId w:val="16"/>
  </w:num>
  <w:num w:numId="14">
    <w:abstractNumId w:val="10"/>
  </w:num>
  <w:num w:numId="15">
    <w:abstractNumId w:val="3"/>
  </w:num>
  <w:num w:numId="16">
    <w:abstractNumId w:val="1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1B4400"/>
    <w:rsid w:val="001B5AFB"/>
    <w:rsid w:val="001D7124"/>
    <w:rsid w:val="001E64B1"/>
    <w:rsid w:val="0061218D"/>
    <w:rsid w:val="00772DB5"/>
    <w:rsid w:val="00A2219A"/>
    <w:rsid w:val="00CD47C2"/>
    <w:rsid w:val="00D01278"/>
    <w:rsid w:val="015028F9"/>
    <w:rsid w:val="017B59D7"/>
    <w:rsid w:val="017F578C"/>
    <w:rsid w:val="01842762"/>
    <w:rsid w:val="01CC4172"/>
    <w:rsid w:val="01F63F34"/>
    <w:rsid w:val="021C2E1A"/>
    <w:rsid w:val="0239500A"/>
    <w:rsid w:val="026604F7"/>
    <w:rsid w:val="02855E9C"/>
    <w:rsid w:val="029A4A9C"/>
    <w:rsid w:val="029E2439"/>
    <w:rsid w:val="02A019FA"/>
    <w:rsid w:val="02B71517"/>
    <w:rsid w:val="02DB3572"/>
    <w:rsid w:val="03541703"/>
    <w:rsid w:val="039759F3"/>
    <w:rsid w:val="03C74BB5"/>
    <w:rsid w:val="03CC1A1D"/>
    <w:rsid w:val="03E45105"/>
    <w:rsid w:val="040416C3"/>
    <w:rsid w:val="040F0F2A"/>
    <w:rsid w:val="04490F26"/>
    <w:rsid w:val="04583BBD"/>
    <w:rsid w:val="048A6C53"/>
    <w:rsid w:val="04B03A2B"/>
    <w:rsid w:val="04D94B9F"/>
    <w:rsid w:val="04E92909"/>
    <w:rsid w:val="04F45844"/>
    <w:rsid w:val="052426EB"/>
    <w:rsid w:val="05581B67"/>
    <w:rsid w:val="05620E62"/>
    <w:rsid w:val="057129C0"/>
    <w:rsid w:val="058E0707"/>
    <w:rsid w:val="05D551DA"/>
    <w:rsid w:val="05ED0B48"/>
    <w:rsid w:val="05F26F6E"/>
    <w:rsid w:val="05F837E7"/>
    <w:rsid w:val="065B6E44"/>
    <w:rsid w:val="06672329"/>
    <w:rsid w:val="066C3249"/>
    <w:rsid w:val="06706DAB"/>
    <w:rsid w:val="06A0724D"/>
    <w:rsid w:val="06BB2F9E"/>
    <w:rsid w:val="06ED11FA"/>
    <w:rsid w:val="06F347DF"/>
    <w:rsid w:val="06F42F66"/>
    <w:rsid w:val="072006F5"/>
    <w:rsid w:val="074F2541"/>
    <w:rsid w:val="0754529B"/>
    <w:rsid w:val="07756731"/>
    <w:rsid w:val="07937DE6"/>
    <w:rsid w:val="07C33188"/>
    <w:rsid w:val="07EA0593"/>
    <w:rsid w:val="08027866"/>
    <w:rsid w:val="08466DF2"/>
    <w:rsid w:val="087957BE"/>
    <w:rsid w:val="08B01CDC"/>
    <w:rsid w:val="08BF06F0"/>
    <w:rsid w:val="08C11C8D"/>
    <w:rsid w:val="08CF101A"/>
    <w:rsid w:val="08D1257D"/>
    <w:rsid w:val="08D343CC"/>
    <w:rsid w:val="08EB1EE6"/>
    <w:rsid w:val="09076957"/>
    <w:rsid w:val="09480ECE"/>
    <w:rsid w:val="09487B9E"/>
    <w:rsid w:val="09624B8B"/>
    <w:rsid w:val="096915D0"/>
    <w:rsid w:val="096B47D0"/>
    <w:rsid w:val="09970B85"/>
    <w:rsid w:val="09AB55EB"/>
    <w:rsid w:val="09B27B24"/>
    <w:rsid w:val="09B47117"/>
    <w:rsid w:val="09F02663"/>
    <w:rsid w:val="0A3733C2"/>
    <w:rsid w:val="0A536EDC"/>
    <w:rsid w:val="0A6424AA"/>
    <w:rsid w:val="0AA74CD1"/>
    <w:rsid w:val="0AB52653"/>
    <w:rsid w:val="0ADD629B"/>
    <w:rsid w:val="0AE54A29"/>
    <w:rsid w:val="0AE844ED"/>
    <w:rsid w:val="0AF402C5"/>
    <w:rsid w:val="0B003D38"/>
    <w:rsid w:val="0B717128"/>
    <w:rsid w:val="0B9D1553"/>
    <w:rsid w:val="0BB75764"/>
    <w:rsid w:val="0BD15698"/>
    <w:rsid w:val="0BEA45A8"/>
    <w:rsid w:val="0C474AE5"/>
    <w:rsid w:val="0C4C4DA8"/>
    <w:rsid w:val="0C566F06"/>
    <w:rsid w:val="0C7334CF"/>
    <w:rsid w:val="0C76003F"/>
    <w:rsid w:val="0C9C0A71"/>
    <w:rsid w:val="0C9E0666"/>
    <w:rsid w:val="0C9E106C"/>
    <w:rsid w:val="0CBB0387"/>
    <w:rsid w:val="0CD04C89"/>
    <w:rsid w:val="0CD85C73"/>
    <w:rsid w:val="0CFF0859"/>
    <w:rsid w:val="0D013842"/>
    <w:rsid w:val="0D132E7A"/>
    <w:rsid w:val="0DC74610"/>
    <w:rsid w:val="0DCF74C3"/>
    <w:rsid w:val="0DE10B00"/>
    <w:rsid w:val="0DE639BA"/>
    <w:rsid w:val="0DFB6F83"/>
    <w:rsid w:val="0DFF47E7"/>
    <w:rsid w:val="0E6179B4"/>
    <w:rsid w:val="0E7B64BA"/>
    <w:rsid w:val="0E921491"/>
    <w:rsid w:val="0EB26482"/>
    <w:rsid w:val="0EFD4B02"/>
    <w:rsid w:val="0F0E18EA"/>
    <w:rsid w:val="0F211F00"/>
    <w:rsid w:val="0F6310DF"/>
    <w:rsid w:val="0F930853"/>
    <w:rsid w:val="0F9F0937"/>
    <w:rsid w:val="0FB82358"/>
    <w:rsid w:val="0FCB674F"/>
    <w:rsid w:val="0FD30D4A"/>
    <w:rsid w:val="0FF95063"/>
    <w:rsid w:val="1005259F"/>
    <w:rsid w:val="103D4E5B"/>
    <w:rsid w:val="10675CF0"/>
    <w:rsid w:val="10A937D7"/>
    <w:rsid w:val="10BB7251"/>
    <w:rsid w:val="10BE6BA5"/>
    <w:rsid w:val="10DF0BC6"/>
    <w:rsid w:val="110264F3"/>
    <w:rsid w:val="112371A2"/>
    <w:rsid w:val="114222E1"/>
    <w:rsid w:val="117A1F4B"/>
    <w:rsid w:val="11B5677E"/>
    <w:rsid w:val="11C97D4A"/>
    <w:rsid w:val="11DD0B99"/>
    <w:rsid w:val="120B5F02"/>
    <w:rsid w:val="12424D25"/>
    <w:rsid w:val="1260476C"/>
    <w:rsid w:val="12740755"/>
    <w:rsid w:val="12764EC4"/>
    <w:rsid w:val="127957A1"/>
    <w:rsid w:val="128A1436"/>
    <w:rsid w:val="128D6AA9"/>
    <w:rsid w:val="12A738C8"/>
    <w:rsid w:val="12C744E4"/>
    <w:rsid w:val="12C74C01"/>
    <w:rsid w:val="12CE783B"/>
    <w:rsid w:val="12E368B5"/>
    <w:rsid w:val="130D251E"/>
    <w:rsid w:val="131C4310"/>
    <w:rsid w:val="134D648D"/>
    <w:rsid w:val="13556C69"/>
    <w:rsid w:val="135A0468"/>
    <w:rsid w:val="135E65C1"/>
    <w:rsid w:val="137D589E"/>
    <w:rsid w:val="13907BB6"/>
    <w:rsid w:val="13AC065A"/>
    <w:rsid w:val="13B10A95"/>
    <w:rsid w:val="13DD5FDA"/>
    <w:rsid w:val="13E81A1E"/>
    <w:rsid w:val="13F52000"/>
    <w:rsid w:val="14217181"/>
    <w:rsid w:val="142F202D"/>
    <w:rsid w:val="14481D3D"/>
    <w:rsid w:val="144C111C"/>
    <w:rsid w:val="145A2A7E"/>
    <w:rsid w:val="145D3DD8"/>
    <w:rsid w:val="146A0835"/>
    <w:rsid w:val="14CB685A"/>
    <w:rsid w:val="14DD4BFA"/>
    <w:rsid w:val="14E36233"/>
    <w:rsid w:val="14FB52ED"/>
    <w:rsid w:val="15196B8D"/>
    <w:rsid w:val="151B60A4"/>
    <w:rsid w:val="1534496E"/>
    <w:rsid w:val="15436ADA"/>
    <w:rsid w:val="156A6F50"/>
    <w:rsid w:val="15721DC4"/>
    <w:rsid w:val="159C398E"/>
    <w:rsid w:val="15AC1059"/>
    <w:rsid w:val="15B164B7"/>
    <w:rsid w:val="15C51BDE"/>
    <w:rsid w:val="15CB6EBD"/>
    <w:rsid w:val="15D179AE"/>
    <w:rsid w:val="15D36524"/>
    <w:rsid w:val="160A3FBA"/>
    <w:rsid w:val="1619687D"/>
    <w:rsid w:val="166B499D"/>
    <w:rsid w:val="166E1D75"/>
    <w:rsid w:val="167664C6"/>
    <w:rsid w:val="167F131F"/>
    <w:rsid w:val="168146C3"/>
    <w:rsid w:val="16CC419B"/>
    <w:rsid w:val="16CF5E02"/>
    <w:rsid w:val="16D13AE6"/>
    <w:rsid w:val="17035500"/>
    <w:rsid w:val="17150879"/>
    <w:rsid w:val="171C6B6E"/>
    <w:rsid w:val="172D3ECA"/>
    <w:rsid w:val="174332CA"/>
    <w:rsid w:val="176543D6"/>
    <w:rsid w:val="17712703"/>
    <w:rsid w:val="17883046"/>
    <w:rsid w:val="179924D9"/>
    <w:rsid w:val="17B130AE"/>
    <w:rsid w:val="180856D2"/>
    <w:rsid w:val="181843B4"/>
    <w:rsid w:val="181E41E8"/>
    <w:rsid w:val="183D31A5"/>
    <w:rsid w:val="18677415"/>
    <w:rsid w:val="1867767F"/>
    <w:rsid w:val="187F012D"/>
    <w:rsid w:val="1881137E"/>
    <w:rsid w:val="189C1059"/>
    <w:rsid w:val="18B169F7"/>
    <w:rsid w:val="18C722DA"/>
    <w:rsid w:val="18D623D6"/>
    <w:rsid w:val="18DE66B8"/>
    <w:rsid w:val="18F132EC"/>
    <w:rsid w:val="190061FC"/>
    <w:rsid w:val="19223206"/>
    <w:rsid w:val="19230F4C"/>
    <w:rsid w:val="195547AB"/>
    <w:rsid w:val="196C13D6"/>
    <w:rsid w:val="197446EE"/>
    <w:rsid w:val="19AB1623"/>
    <w:rsid w:val="19AB1A74"/>
    <w:rsid w:val="19B0444F"/>
    <w:rsid w:val="19B62625"/>
    <w:rsid w:val="19BC5A35"/>
    <w:rsid w:val="19D802E2"/>
    <w:rsid w:val="19E34F90"/>
    <w:rsid w:val="19EE21E3"/>
    <w:rsid w:val="1A051CAA"/>
    <w:rsid w:val="1A0E4D84"/>
    <w:rsid w:val="1A4C314F"/>
    <w:rsid w:val="1A846CC0"/>
    <w:rsid w:val="1A940043"/>
    <w:rsid w:val="1AC61372"/>
    <w:rsid w:val="1AD21DDE"/>
    <w:rsid w:val="1AD50363"/>
    <w:rsid w:val="1B062D60"/>
    <w:rsid w:val="1B2A4740"/>
    <w:rsid w:val="1B2E0623"/>
    <w:rsid w:val="1B514CD3"/>
    <w:rsid w:val="1B5B574F"/>
    <w:rsid w:val="1BEE08D9"/>
    <w:rsid w:val="1BF704FB"/>
    <w:rsid w:val="1C3C4D04"/>
    <w:rsid w:val="1C4154C2"/>
    <w:rsid w:val="1C420957"/>
    <w:rsid w:val="1C6E0AF1"/>
    <w:rsid w:val="1C722721"/>
    <w:rsid w:val="1C8D4427"/>
    <w:rsid w:val="1C8F7F62"/>
    <w:rsid w:val="1CE47591"/>
    <w:rsid w:val="1CEC0D90"/>
    <w:rsid w:val="1D203CB2"/>
    <w:rsid w:val="1D253F62"/>
    <w:rsid w:val="1D4F1563"/>
    <w:rsid w:val="1DBC1420"/>
    <w:rsid w:val="1DD053FF"/>
    <w:rsid w:val="1E354AED"/>
    <w:rsid w:val="1E4B3BF7"/>
    <w:rsid w:val="1E5B639E"/>
    <w:rsid w:val="1E5E2898"/>
    <w:rsid w:val="1E62308B"/>
    <w:rsid w:val="1E625A1B"/>
    <w:rsid w:val="1E642047"/>
    <w:rsid w:val="1E782E38"/>
    <w:rsid w:val="1E934A4F"/>
    <w:rsid w:val="1E974867"/>
    <w:rsid w:val="1E9A5587"/>
    <w:rsid w:val="1EB47DBD"/>
    <w:rsid w:val="1EB6219B"/>
    <w:rsid w:val="1ED96E7F"/>
    <w:rsid w:val="1EE21BD8"/>
    <w:rsid w:val="1EE50723"/>
    <w:rsid w:val="1F014BAA"/>
    <w:rsid w:val="1F047610"/>
    <w:rsid w:val="1F433DE7"/>
    <w:rsid w:val="1F4E7B71"/>
    <w:rsid w:val="1F5C233E"/>
    <w:rsid w:val="1F660CD3"/>
    <w:rsid w:val="1F833721"/>
    <w:rsid w:val="1F8E51B8"/>
    <w:rsid w:val="1FF67686"/>
    <w:rsid w:val="1FF8414A"/>
    <w:rsid w:val="206200A8"/>
    <w:rsid w:val="2082188F"/>
    <w:rsid w:val="2087171E"/>
    <w:rsid w:val="209042C7"/>
    <w:rsid w:val="209377B8"/>
    <w:rsid w:val="20B03F7F"/>
    <w:rsid w:val="20EB305C"/>
    <w:rsid w:val="21622FE6"/>
    <w:rsid w:val="216408F9"/>
    <w:rsid w:val="219957D9"/>
    <w:rsid w:val="21B96760"/>
    <w:rsid w:val="21DE62DE"/>
    <w:rsid w:val="21E035E5"/>
    <w:rsid w:val="21EC1864"/>
    <w:rsid w:val="220053D5"/>
    <w:rsid w:val="22294026"/>
    <w:rsid w:val="2257304C"/>
    <w:rsid w:val="225C2514"/>
    <w:rsid w:val="22663A1C"/>
    <w:rsid w:val="22901386"/>
    <w:rsid w:val="22944907"/>
    <w:rsid w:val="22963C78"/>
    <w:rsid w:val="230B27C1"/>
    <w:rsid w:val="23873CBC"/>
    <w:rsid w:val="23931F66"/>
    <w:rsid w:val="23A641C7"/>
    <w:rsid w:val="23CA7E50"/>
    <w:rsid w:val="23CB7725"/>
    <w:rsid w:val="23D63690"/>
    <w:rsid w:val="23E7098E"/>
    <w:rsid w:val="23FB7A24"/>
    <w:rsid w:val="240D2E92"/>
    <w:rsid w:val="24196D80"/>
    <w:rsid w:val="24215DEA"/>
    <w:rsid w:val="242D289B"/>
    <w:rsid w:val="24550BD9"/>
    <w:rsid w:val="245B290A"/>
    <w:rsid w:val="245C1D65"/>
    <w:rsid w:val="248F3055"/>
    <w:rsid w:val="248F723E"/>
    <w:rsid w:val="24CB478F"/>
    <w:rsid w:val="24EC7B7F"/>
    <w:rsid w:val="24F00A01"/>
    <w:rsid w:val="25193055"/>
    <w:rsid w:val="251D626C"/>
    <w:rsid w:val="25232A7A"/>
    <w:rsid w:val="25267380"/>
    <w:rsid w:val="25396B3D"/>
    <w:rsid w:val="25724E31"/>
    <w:rsid w:val="257657E8"/>
    <w:rsid w:val="25787421"/>
    <w:rsid w:val="25826E67"/>
    <w:rsid w:val="258417B0"/>
    <w:rsid w:val="25A91C46"/>
    <w:rsid w:val="25AD0EEB"/>
    <w:rsid w:val="25B54EEB"/>
    <w:rsid w:val="25BC5F46"/>
    <w:rsid w:val="25DE11FA"/>
    <w:rsid w:val="2621010D"/>
    <w:rsid w:val="264478BB"/>
    <w:rsid w:val="26581242"/>
    <w:rsid w:val="267970FF"/>
    <w:rsid w:val="2683629D"/>
    <w:rsid w:val="268624F2"/>
    <w:rsid w:val="268A58A2"/>
    <w:rsid w:val="268A6F06"/>
    <w:rsid w:val="26B87D36"/>
    <w:rsid w:val="26CF4E5D"/>
    <w:rsid w:val="26DE2593"/>
    <w:rsid w:val="26DE6AD6"/>
    <w:rsid w:val="270B4452"/>
    <w:rsid w:val="270D21BA"/>
    <w:rsid w:val="276310CA"/>
    <w:rsid w:val="276D655D"/>
    <w:rsid w:val="27925789"/>
    <w:rsid w:val="2793795B"/>
    <w:rsid w:val="279B4D92"/>
    <w:rsid w:val="27C60AAB"/>
    <w:rsid w:val="27C90592"/>
    <w:rsid w:val="27CB182B"/>
    <w:rsid w:val="27DA7E10"/>
    <w:rsid w:val="27EC5216"/>
    <w:rsid w:val="27F51A4F"/>
    <w:rsid w:val="2800403F"/>
    <w:rsid w:val="281967A1"/>
    <w:rsid w:val="28426231"/>
    <w:rsid w:val="284856D5"/>
    <w:rsid w:val="2869225D"/>
    <w:rsid w:val="28725B96"/>
    <w:rsid w:val="287E730E"/>
    <w:rsid w:val="289C7C46"/>
    <w:rsid w:val="28A44A91"/>
    <w:rsid w:val="28D66C38"/>
    <w:rsid w:val="28E67221"/>
    <w:rsid w:val="2931018B"/>
    <w:rsid w:val="299B0A2F"/>
    <w:rsid w:val="29BC5386"/>
    <w:rsid w:val="29DC0DE4"/>
    <w:rsid w:val="29EC7FBF"/>
    <w:rsid w:val="2A0004E5"/>
    <w:rsid w:val="2A1F5B73"/>
    <w:rsid w:val="2A2B097C"/>
    <w:rsid w:val="2A4B34DC"/>
    <w:rsid w:val="2A606C02"/>
    <w:rsid w:val="2A6C2996"/>
    <w:rsid w:val="2A76603C"/>
    <w:rsid w:val="2A791292"/>
    <w:rsid w:val="2A8673CC"/>
    <w:rsid w:val="2AAD41F6"/>
    <w:rsid w:val="2AD4139F"/>
    <w:rsid w:val="2AE23BB4"/>
    <w:rsid w:val="2B1B2250"/>
    <w:rsid w:val="2B2A381F"/>
    <w:rsid w:val="2B326508"/>
    <w:rsid w:val="2B4562BE"/>
    <w:rsid w:val="2B626AEF"/>
    <w:rsid w:val="2B7D6336"/>
    <w:rsid w:val="2B89706A"/>
    <w:rsid w:val="2B9B30E3"/>
    <w:rsid w:val="2BF808D8"/>
    <w:rsid w:val="2C117E34"/>
    <w:rsid w:val="2C2968CA"/>
    <w:rsid w:val="2C471B3F"/>
    <w:rsid w:val="2C4F2372"/>
    <w:rsid w:val="2C4F5451"/>
    <w:rsid w:val="2C5D6392"/>
    <w:rsid w:val="2C6124F5"/>
    <w:rsid w:val="2C6B0E5A"/>
    <w:rsid w:val="2C6E788F"/>
    <w:rsid w:val="2C9A4DE9"/>
    <w:rsid w:val="2CA61A50"/>
    <w:rsid w:val="2CAB36BB"/>
    <w:rsid w:val="2CD63EF4"/>
    <w:rsid w:val="2D124BD1"/>
    <w:rsid w:val="2D184335"/>
    <w:rsid w:val="2D2F2A27"/>
    <w:rsid w:val="2D5A4F80"/>
    <w:rsid w:val="2D6107DF"/>
    <w:rsid w:val="2D966F38"/>
    <w:rsid w:val="2DF469B8"/>
    <w:rsid w:val="2E3715B7"/>
    <w:rsid w:val="2E5F1724"/>
    <w:rsid w:val="2E6828E8"/>
    <w:rsid w:val="2E7A5203"/>
    <w:rsid w:val="2E81435F"/>
    <w:rsid w:val="2E8D1EB2"/>
    <w:rsid w:val="2EB96EE2"/>
    <w:rsid w:val="2EC30D97"/>
    <w:rsid w:val="2ED21F8D"/>
    <w:rsid w:val="2ED53B12"/>
    <w:rsid w:val="2EEB32DE"/>
    <w:rsid w:val="2EED3A57"/>
    <w:rsid w:val="2EFC2B58"/>
    <w:rsid w:val="2F1813C8"/>
    <w:rsid w:val="2F7B237E"/>
    <w:rsid w:val="2F844076"/>
    <w:rsid w:val="2F8E1818"/>
    <w:rsid w:val="2F9C0B47"/>
    <w:rsid w:val="2FA53B50"/>
    <w:rsid w:val="2FA93164"/>
    <w:rsid w:val="2FAF45C9"/>
    <w:rsid w:val="2FE80F35"/>
    <w:rsid w:val="2FF036FC"/>
    <w:rsid w:val="304402DB"/>
    <w:rsid w:val="304D3871"/>
    <w:rsid w:val="305402E6"/>
    <w:rsid w:val="30757063"/>
    <w:rsid w:val="30A1283C"/>
    <w:rsid w:val="30B7098A"/>
    <w:rsid w:val="30BD7EB5"/>
    <w:rsid w:val="30C947D0"/>
    <w:rsid w:val="30F11CA1"/>
    <w:rsid w:val="31082637"/>
    <w:rsid w:val="310D1A23"/>
    <w:rsid w:val="31222DDE"/>
    <w:rsid w:val="31286732"/>
    <w:rsid w:val="313A56CB"/>
    <w:rsid w:val="313B5938"/>
    <w:rsid w:val="31562ED0"/>
    <w:rsid w:val="31675373"/>
    <w:rsid w:val="317B4814"/>
    <w:rsid w:val="319A0654"/>
    <w:rsid w:val="31C561C1"/>
    <w:rsid w:val="31CB5EF9"/>
    <w:rsid w:val="31D20CD6"/>
    <w:rsid w:val="31E60B34"/>
    <w:rsid w:val="326569F4"/>
    <w:rsid w:val="32765F32"/>
    <w:rsid w:val="331B27F3"/>
    <w:rsid w:val="333F4E84"/>
    <w:rsid w:val="335D48E6"/>
    <w:rsid w:val="3379142A"/>
    <w:rsid w:val="33AC7F1A"/>
    <w:rsid w:val="33C4712A"/>
    <w:rsid w:val="33E31717"/>
    <w:rsid w:val="341546C7"/>
    <w:rsid w:val="342B3A81"/>
    <w:rsid w:val="342E1618"/>
    <w:rsid w:val="349D1AEE"/>
    <w:rsid w:val="34B8581C"/>
    <w:rsid w:val="34E85B90"/>
    <w:rsid w:val="351153A6"/>
    <w:rsid w:val="35127347"/>
    <w:rsid w:val="351A2075"/>
    <w:rsid w:val="352B3CDE"/>
    <w:rsid w:val="353B3DD0"/>
    <w:rsid w:val="355E63A9"/>
    <w:rsid w:val="3572263D"/>
    <w:rsid w:val="357D3A30"/>
    <w:rsid w:val="358B4600"/>
    <w:rsid w:val="358E3777"/>
    <w:rsid w:val="35AC27CE"/>
    <w:rsid w:val="35BC28DF"/>
    <w:rsid w:val="35C271DD"/>
    <w:rsid w:val="35E87898"/>
    <w:rsid w:val="35EC646D"/>
    <w:rsid w:val="35F03248"/>
    <w:rsid w:val="360407A7"/>
    <w:rsid w:val="362C0724"/>
    <w:rsid w:val="36341386"/>
    <w:rsid w:val="364926AF"/>
    <w:rsid w:val="366362C5"/>
    <w:rsid w:val="366E17BE"/>
    <w:rsid w:val="36A24189"/>
    <w:rsid w:val="36A44F75"/>
    <w:rsid w:val="36B43ADB"/>
    <w:rsid w:val="36BA13CD"/>
    <w:rsid w:val="36BF74C3"/>
    <w:rsid w:val="36CB2CF1"/>
    <w:rsid w:val="36F179B8"/>
    <w:rsid w:val="36FD5C1C"/>
    <w:rsid w:val="370A5D67"/>
    <w:rsid w:val="37145187"/>
    <w:rsid w:val="371D5288"/>
    <w:rsid w:val="375B08D5"/>
    <w:rsid w:val="37615DFD"/>
    <w:rsid w:val="376E1CF9"/>
    <w:rsid w:val="379B3CEC"/>
    <w:rsid w:val="37A0313B"/>
    <w:rsid w:val="37A57C5B"/>
    <w:rsid w:val="37DF6006"/>
    <w:rsid w:val="37EC4B4C"/>
    <w:rsid w:val="37F86104"/>
    <w:rsid w:val="382C4A0B"/>
    <w:rsid w:val="38515A60"/>
    <w:rsid w:val="3851724A"/>
    <w:rsid w:val="38675C18"/>
    <w:rsid w:val="386B0666"/>
    <w:rsid w:val="38746B20"/>
    <w:rsid w:val="388F4F35"/>
    <w:rsid w:val="38C72FE8"/>
    <w:rsid w:val="38CC58A6"/>
    <w:rsid w:val="38D32063"/>
    <w:rsid w:val="38DB74DA"/>
    <w:rsid w:val="38E3651A"/>
    <w:rsid w:val="38EC7806"/>
    <w:rsid w:val="38F20100"/>
    <w:rsid w:val="3918740D"/>
    <w:rsid w:val="391A765C"/>
    <w:rsid w:val="39447E26"/>
    <w:rsid w:val="39622C7E"/>
    <w:rsid w:val="398054F9"/>
    <w:rsid w:val="398A5136"/>
    <w:rsid w:val="39A00D1B"/>
    <w:rsid w:val="39C671D8"/>
    <w:rsid w:val="39D900EE"/>
    <w:rsid w:val="39E01200"/>
    <w:rsid w:val="39E520C6"/>
    <w:rsid w:val="3A3F02FA"/>
    <w:rsid w:val="3A493B27"/>
    <w:rsid w:val="3A633FBD"/>
    <w:rsid w:val="3A7E7BD3"/>
    <w:rsid w:val="3ACC5836"/>
    <w:rsid w:val="3ACC5ABC"/>
    <w:rsid w:val="3ADE5E1E"/>
    <w:rsid w:val="3AE07E45"/>
    <w:rsid w:val="3B2326FD"/>
    <w:rsid w:val="3B32452A"/>
    <w:rsid w:val="3B882893"/>
    <w:rsid w:val="3B89215E"/>
    <w:rsid w:val="3B8E5219"/>
    <w:rsid w:val="3B9B3C4F"/>
    <w:rsid w:val="3B9C1FDC"/>
    <w:rsid w:val="3BAF716B"/>
    <w:rsid w:val="3BC24527"/>
    <w:rsid w:val="3BDC65A8"/>
    <w:rsid w:val="3C041324"/>
    <w:rsid w:val="3C701095"/>
    <w:rsid w:val="3C7B5CC9"/>
    <w:rsid w:val="3CA915DE"/>
    <w:rsid w:val="3CAB7C73"/>
    <w:rsid w:val="3CBC1EB2"/>
    <w:rsid w:val="3CC112A0"/>
    <w:rsid w:val="3CC879F2"/>
    <w:rsid w:val="3CDF4B1B"/>
    <w:rsid w:val="3CF81D16"/>
    <w:rsid w:val="3D142226"/>
    <w:rsid w:val="3D5A3DC8"/>
    <w:rsid w:val="3D7A31B3"/>
    <w:rsid w:val="3D99317E"/>
    <w:rsid w:val="3DE827D2"/>
    <w:rsid w:val="3DEB772D"/>
    <w:rsid w:val="3E22733A"/>
    <w:rsid w:val="3E3D2DA2"/>
    <w:rsid w:val="3E405DA0"/>
    <w:rsid w:val="3E483DEA"/>
    <w:rsid w:val="3E6A4028"/>
    <w:rsid w:val="3E6E07E2"/>
    <w:rsid w:val="3E7743CE"/>
    <w:rsid w:val="3E824D7C"/>
    <w:rsid w:val="3E8E01DA"/>
    <w:rsid w:val="3E9560B7"/>
    <w:rsid w:val="3EB43064"/>
    <w:rsid w:val="3ECB4729"/>
    <w:rsid w:val="3ED72B9F"/>
    <w:rsid w:val="3EDB446B"/>
    <w:rsid w:val="3EDE16A2"/>
    <w:rsid w:val="3EF24502"/>
    <w:rsid w:val="3F036F55"/>
    <w:rsid w:val="3F1A7C8D"/>
    <w:rsid w:val="3F2327AF"/>
    <w:rsid w:val="3F670284"/>
    <w:rsid w:val="3F7B606A"/>
    <w:rsid w:val="3FA535C4"/>
    <w:rsid w:val="3FB9375D"/>
    <w:rsid w:val="3FC6744C"/>
    <w:rsid w:val="3FE94584"/>
    <w:rsid w:val="401B4E9D"/>
    <w:rsid w:val="4036633B"/>
    <w:rsid w:val="404544F3"/>
    <w:rsid w:val="40771707"/>
    <w:rsid w:val="40866EAC"/>
    <w:rsid w:val="408F05F9"/>
    <w:rsid w:val="40A614D2"/>
    <w:rsid w:val="40CD7AD4"/>
    <w:rsid w:val="40F2123F"/>
    <w:rsid w:val="41094A2B"/>
    <w:rsid w:val="411A4A12"/>
    <w:rsid w:val="412634B5"/>
    <w:rsid w:val="414A7A91"/>
    <w:rsid w:val="417706F9"/>
    <w:rsid w:val="41D9226F"/>
    <w:rsid w:val="41DA0206"/>
    <w:rsid w:val="41DC535C"/>
    <w:rsid w:val="41ED5B9B"/>
    <w:rsid w:val="42143D75"/>
    <w:rsid w:val="421F1331"/>
    <w:rsid w:val="423468DA"/>
    <w:rsid w:val="42381211"/>
    <w:rsid w:val="4247037C"/>
    <w:rsid w:val="42490827"/>
    <w:rsid w:val="425F6603"/>
    <w:rsid w:val="427A0BED"/>
    <w:rsid w:val="427E1C59"/>
    <w:rsid w:val="428F13D0"/>
    <w:rsid w:val="429566D2"/>
    <w:rsid w:val="42A719F5"/>
    <w:rsid w:val="42CD7A1E"/>
    <w:rsid w:val="4303313E"/>
    <w:rsid w:val="430C716C"/>
    <w:rsid w:val="43133B30"/>
    <w:rsid w:val="43314587"/>
    <w:rsid w:val="43430E5B"/>
    <w:rsid w:val="434A7159"/>
    <w:rsid w:val="434C53D8"/>
    <w:rsid w:val="434F4931"/>
    <w:rsid w:val="4352068D"/>
    <w:rsid w:val="43612BE0"/>
    <w:rsid w:val="43852595"/>
    <w:rsid w:val="438F2C9E"/>
    <w:rsid w:val="43904FB8"/>
    <w:rsid w:val="43AF25B8"/>
    <w:rsid w:val="43C4525A"/>
    <w:rsid w:val="43CE208D"/>
    <w:rsid w:val="43E45C91"/>
    <w:rsid w:val="44434376"/>
    <w:rsid w:val="4444495C"/>
    <w:rsid w:val="444A39F2"/>
    <w:rsid w:val="44521E33"/>
    <w:rsid w:val="445930EE"/>
    <w:rsid w:val="44800789"/>
    <w:rsid w:val="44A86C5A"/>
    <w:rsid w:val="44AE6EE3"/>
    <w:rsid w:val="44B64E97"/>
    <w:rsid w:val="44B725DD"/>
    <w:rsid w:val="44B94AE1"/>
    <w:rsid w:val="44BB66D8"/>
    <w:rsid w:val="44C207CB"/>
    <w:rsid w:val="44F17A51"/>
    <w:rsid w:val="45076225"/>
    <w:rsid w:val="450C6879"/>
    <w:rsid w:val="451157C7"/>
    <w:rsid w:val="45126A32"/>
    <w:rsid w:val="451A1A98"/>
    <w:rsid w:val="45295FBB"/>
    <w:rsid w:val="453B6FFE"/>
    <w:rsid w:val="453F7E99"/>
    <w:rsid w:val="45400B8C"/>
    <w:rsid w:val="455B2150"/>
    <w:rsid w:val="459B015E"/>
    <w:rsid w:val="45A356FD"/>
    <w:rsid w:val="45B264B8"/>
    <w:rsid w:val="45B611C6"/>
    <w:rsid w:val="45E701C3"/>
    <w:rsid w:val="45ED1043"/>
    <w:rsid w:val="45F4468E"/>
    <w:rsid w:val="45FC6F12"/>
    <w:rsid w:val="46260C5D"/>
    <w:rsid w:val="463F1017"/>
    <w:rsid w:val="464106B4"/>
    <w:rsid w:val="466A1532"/>
    <w:rsid w:val="4689127A"/>
    <w:rsid w:val="469A4D52"/>
    <w:rsid w:val="46BA3F82"/>
    <w:rsid w:val="46C201FE"/>
    <w:rsid w:val="46DE02B9"/>
    <w:rsid w:val="46E9505D"/>
    <w:rsid w:val="46FE58A6"/>
    <w:rsid w:val="470A5B11"/>
    <w:rsid w:val="47166D8A"/>
    <w:rsid w:val="47376F90"/>
    <w:rsid w:val="47412FF1"/>
    <w:rsid w:val="475965BB"/>
    <w:rsid w:val="477433E3"/>
    <w:rsid w:val="4779314D"/>
    <w:rsid w:val="47833827"/>
    <w:rsid w:val="478D3A7F"/>
    <w:rsid w:val="478F6E44"/>
    <w:rsid w:val="479A7CF0"/>
    <w:rsid w:val="479B4462"/>
    <w:rsid w:val="47A21058"/>
    <w:rsid w:val="47B304A5"/>
    <w:rsid w:val="47BC5B55"/>
    <w:rsid w:val="47C4729A"/>
    <w:rsid w:val="47DE18DD"/>
    <w:rsid w:val="48004EE6"/>
    <w:rsid w:val="48166F4D"/>
    <w:rsid w:val="48546076"/>
    <w:rsid w:val="48660E40"/>
    <w:rsid w:val="487F39D8"/>
    <w:rsid w:val="48B35C99"/>
    <w:rsid w:val="48CA1165"/>
    <w:rsid w:val="48DE3668"/>
    <w:rsid w:val="48F134B2"/>
    <w:rsid w:val="491A09C5"/>
    <w:rsid w:val="491C5A79"/>
    <w:rsid w:val="49252DD2"/>
    <w:rsid w:val="49626AB7"/>
    <w:rsid w:val="49721D1E"/>
    <w:rsid w:val="497E2A1A"/>
    <w:rsid w:val="49A27F6C"/>
    <w:rsid w:val="49A61D13"/>
    <w:rsid w:val="49AB775A"/>
    <w:rsid w:val="49C1048D"/>
    <w:rsid w:val="49C434E0"/>
    <w:rsid w:val="49DE41BE"/>
    <w:rsid w:val="49EB16C7"/>
    <w:rsid w:val="49EF4693"/>
    <w:rsid w:val="4A0C644A"/>
    <w:rsid w:val="4A0D7A08"/>
    <w:rsid w:val="4A1C75EF"/>
    <w:rsid w:val="4A29038C"/>
    <w:rsid w:val="4A44223F"/>
    <w:rsid w:val="4A8D05CC"/>
    <w:rsid w:val="4A990A1D"/>
    <w:rsid w:val="4AAD3EC1"/>
    <w:rsid w:val="4AC1028F"/>
    <w:rsid w:val="4AC419AB"/>
    <w:rsid w:val="4AEB7C66"/>
    <w:rsid w:val="4B020A9D"/>
    <w:rsid w:val="4B1011F2"/>
    <w:rsid w:val="4B245E32"/>
    <w:rsid w:val="4B4734DA"/>
    <w:rsid w:val="4B5F579B"/>
    <w:rsid w:val="4B6B2643"/>
    <w:rsid w:val="4B71239F"/>
    <w:rsid w:val="4B853EC1"/>
    <w:rsid w:val="4B946370"/>
    <w:rsid w:val="4BB978EE"/>
    <w:rsid w:val="4BC66ACD"/>
    <w:rsid w:val="4BEA4569"/>
    <w:rsid w:val="4C136D28"/>
    <w:rsid w:val="4C401863"/>
    <w:rsid w:val="4C68349D"/>
    <w:rsid w:val="4C6B0803"/>
    <w:rsid w:val="4C713FEF"/>
    <w:rsid w:val="4C773CD7"/>
    <w:rsid w:val="4C85729D"/>
    <w:rsid w:val="4C9D623D"/>
    <w:rsid w:val="4CB07691"/>
    <w:rsid w:val="4CB370FA"/>
    <w:rsid w:val="4CBD0D73"/>
    <w:rsid w:val="4CC31285"/>
    <w:rsid w:val="4CFD5200"/>
    <w:rsid w:val="4D1B3ED6"/>
    <w:rsid w:val="4D3F628C"/>
    <w:rsid w:val="4D64216A"/>
    <w:rsid w:val="4D741C94"/>
    <w:rsid w:val="4D7B477F"/>
    <w:rsid w:val="4D836650"/>
    <w:rsid w:val="4D912DFE"/>
    <w:rsid w:val="4E050766"/>
    <w:rsid w:val="4E072E32"/>
    <w:rsid w:val="4E505E23"/>
    <w:rsid w:val="4E756E39"/>
    <w:rsid w:val="4E7652A2"/>
    <w:rsid w:val="4E8C71C7"/>
    <w:rsid w:val="4E9E5C37"/>
    <w:rsid w:val="4EB54204"/>
    <w:rsid w:val="4EED5F75"/>
    <w:rsid w:val="4EF13725"/>
    <w:rsid w:val="4EFD2083"/>
    <w:rsid w:val="4EFF5393"/>
    <w:rsid w:val="4F062691"/>
    <w:rsid w:val="4F074BE5"/>
    <w:rsid w:val="4F1753BF"/>
    <w:rsid w:val="4F9D5B71"/>
    <w:rsid w:val="4FAF40CA"/>
    <w:rsid w:val="4FBC3F4E"/>
    <w:rsid w:val="4FD976D5"/>
    <w:rsid w:val="4FE626BF"/>
    <w:rsid w:val="50000A8E"/>
    <w:rsid w:val="504D5403"/>
    <w:rsid w:val="505301A3"/>
    <w:rsid w:val="50622777"/>
    <w:rsid w:val="506A6A8B"/>
    <w:rsid w:val="506F05A1"/>
    <w:rsid w:val="507F5F24"/>
    <w:rsid w:val="50827D9A"/>
    <w:rsid w:val="50843944"/>
    <w:rsid w:val="50906FD7"/>
    <w:rsid w:val="50942CF5"/>
    <w:rsid w:val="50A02E6C"/>
    <w:rsid w:val="50B33723"/>
    <w:rsid w:val="50E147A4"/>
    <w:rsid w:val="50F0222C"/>
    <w:rsid w:val="51216774"/>
    <w:rsid w:val="513738CA"/>
    <w:rsid w:val="51540497"/>
    <w:rsid w:val="51751F68"/>
    <w:rsid w:val="51835FBF"/>
    <w:rsid w:val="518F0A2C"/>
    <w:rsid w:val="51A47BE3"/>
    <w:rsid w:val="51DE0059"/>
    <w:rsid w:val="521640C9"/>
    <w:rsid w:val="522936A5"/>
    <w:rsid w:val="523C1920"/>
    <w:rsid w:val="52482453"/>
    <w:rsid w:val="528B5E01"/>
    <w:rsid w:val="52A1292B"/>
    <w:rsid w:val="52AB5837"/>
    <w:rsid w:val="52C53DFE"/>
    <w:rsid w:val="52DA1A7C"/>
    <w:rsid w:val="52E21865"/>
    <w:rsid w:val="52E601A4"/>
    <w:rsid w:val="530724E4"/>
    <w:rsid w:val="530C4011"/>
    <w:rsid w:val="531829B6"/>
    <w:rsid w:val="53186936"/>
    <w:rsid w:val="531956D3"/>
    <w:rsid w:val="531962FC"/>
    <w:rsid w:val="53213A4C"/>
    <w:rsid w:val="533377FA"/>
    <w:rsid w:val="533C483B"/>
    <w:rsid w:val="533E5A9F"/>
    <w:rsid w:val="535634F9"/>
    <w:rsid w:val="53643FA9"/>
    <w:rsid w:val="538F2E7C"/>
    <w:rsid w:val="53950BE0"/>
    <w:rsid w:val="539B60E1"/>
    <w:rsid w:val="53BC74DB"/>
    <w:rsid w:val="53D03313"/>
    <w:rsid w:val="53D14275"/>
    <w:rsid w:val="53E661A0"/>
    <w:rsid w:val="53FC1520"/>
    <w:rsid w:val="541B4400"/>
    <w:rsid w:val="54257A11"/>
    <w:rsid w:val="5437274A"/>
    <w:rsid w:val="547365D3"/>
    <w:rsid w:val="549C03CB"/>
    <w:rsid w:val="549D35C9"/>
    <w:rsid w:val="54C05C09"/>
    <w:rsid w:val="54C730EE"/>
    <w:rsid w:val="54CB6BE1"/>
    <w:rsid w:val="55342A34"/>
    <w:rsid w:val="553800FD"/>
    <w:rsid w:val="553B3FF0"/>
    <w:rsid w:val="55661910"/>
    <w:rsid w:val="55A51337"/>
    <w:rsid w:val="55B2365E"/>
    <w:rsid w:val="55B44EE8"/>
    <w:rsid w:val="55BF54FB"/>
    <w:rsid w:val="55FC40BC"/>
    <w:rsid w:val="56052631"/>
    <w:rsid w:val="5624571C"/>
    <w:rsid w:val="563163EF"/>
    <w:rsid w:val="565B3178"/>
    <w:rsid w:val="566D4096"/>
    <w:rsid w:val="56AC09BF"/>
    <w:rsid w:val="56AF58E0"/>
    <w:rsid w:val="56C06275"/>
    <w:rsid w:val="56C61E97"/>
    <w:rsid w:val="56CA56C3"/>
    <w:rsid w:val="56DA6E58"/>
    <w:rsid w:val="56E541F9"/>
    <w:rsid w:val="56F779D3"/>
    <w:rsid w:val="56FD2E64"/>
    <w:rsid w:val="57007C70"/>
    <w:rsid w:val="570263EE"/>
    <w:rsid w:val="572C48DC"/>
    <w:rsid w:val="573C6F55"/>
    <w:rsid w:val="57772233"/>
    <w:rsid w:val="578D1B23"/>
    <w:rsid w:val="57AE34DD"/>
    <w:rsid w:val="57D85B41"/>
    <w:rsid w:val="58122B02"/>
    <w:rsid w:val="584E47B5"/>
    <w:rsid w:val="585039A6"/>
    <w:rsid w:val="58504F64"/>
    <w:rsid w:val="585E3C3E"/>
    <w:rsid w:val="58730450"/>
    <w:rsid w:val="58767259"/>
    <w:rsid w:val="58777E71"/>
    <w:rsid w:val="58A84558"/>
    <w:rsid w:val="58B12121"/>
    <w:rsid w:val="58B41C1C"/>
    <w:rsid w:val="58B633A9"/>
    <w:rsid w:val="58BE196B"/>
    <w:rsid w:val="58CE13D1"/>
    <w:rsid w:val="58F40CFE"/>
    <w:rsid w:val="59335B5F"/>
    <w:rsid w:val="59375BE3"/>
    <w:rsid w:val="59413C36"/>
    <w:rsid w:val="59441031"/>
    <w:rsid w:val="597B41FC"/>
    <w:rsid w:val="599C3704"/>
    <w:rsid w:val="59E44979"/>
    <w:rsid w:val="5A010DEB"/>
    <w:rsid w:val="5A014E51"/>
    <w:rsid w:val="5A0228E9"/>
    <w:rsid w:val="5A046897"/>
    <w:rsid w:val="5A113568"/>
    <w:rsid w:val="5A3F0176"/>
    <w:rsid w:val="5A5753F8"/>
    <w:rsid w:val="5A5A3074"/>
    <w:rsid w:val="5A5A393E"/>
    <w:rsid w:val="5A7B5BFA"/>
    <w:rsid w:val="5A7B625A"/>
    <w:rsid w:val="5A9718D0"/>
    <w:rsid w:val="5AA36DA0"/>
    <w:rsid w:val="5AC93C88"/>
    <w:rsid w:val="5ACD39D4"/>
    <w:rsid w:val="5AD23F3D"/>
    <w:rsid w:val="5B0D588D"/>
    <w:rsid w:val="5B2E1B25"/>
    <w:rsid w:val="5B486086"/>
    <w:rsid w:val="5B544115"/>
    <w:rsid w:val="5B5D5DC9"/>
    <w:rsid w:val="5B894531"/>
    <w:rsid w:val="5BBD5CD7"/>
    <w:rsid w:val="5C002440"/>
    <w:rsid w:val="5C447519"/>
    <w:rsid w:val="5C570000"/>
    <w:rsid w:val="5C5B61D5"/>
    <w:rsid w:val="5C7C618F"/>
    <w:rsid w:val="5C7E2B41"/>
    <w:rsid w:val="5C8D30C6"/>
    <w:rsid w:val="5C973C68"/>
    <w:rsid w:val="5CBA75E0"/>
    <w:rsid w:val="5CC532E0"/>
    <w:rsid w:val="5CDD5A18"/>
    <w:rsid w:val="5CF333E4"/>
    <w:rsid w:val="5CFE60C6"/>
    <w:rsid w:val="5D1D51F2"/>
    <w:rsid w:val="5D4D6EFD"/>
    <w:rsid w:val="5D5B20F0"/>
    <w:rsid w:val="5D675037"/>
    <w:rsid w:val="5D7214A4"/>
    <w:rsid w:val="5DB0645A"/>
    <w:rsid w:val="5DB723C2"/>
    <w:rsid w:val="5DEE081D"/>
    <w:rsid w:val="5DF15AD0"/>
    <w:rsid w:val="5DF61C5D"/>
    <w:rsid w:val="5E0C24E0"/>
    <w:rsid w:val="5E154550"/>
    <w:rsid w:val="5E24232C"/>
    <w:rsid w:val="5E281A99"/>
    <w:rsid w:val="5E39530B"/>
    <w:rsid w:val="5E641BA6"/>
    <w:rsid w:val="5EA32A35"/>
    <w:rsid w:val="5EB04BD5"/>
    <w:rsid w:val="5EC755CA"/>
    <w:rsid w:val="5EE674E7"/>
    <w:rsid w:val="5F027E72"/>
    <w:rsid w:val="5F11068A"/>
    <w:rsid w:val="5F1F71AA"/>
    <w:rsid w:val="5F2A45F6"/>
    <w:rsid w:val="5F2F5D78"/>
    <w:rsid w:val="5F4720D0"/>
    <w:rsid w:val="5F4F3A37"/>
    <w:rsid w:val="5F572FB0"/>
    <w:rsid w:val="5F5B506F"/>
    <w:rsid w:val="5F64088E"/>
    <w:rsid w:val="5F7B44F8"/>
    <w:rsid w:val="5F83642C"/>
    <w:rsid w:val="5F8524A2"/>
    <w:rsid w:val="5FD13731"/>
    <w:rsid w:val="5FD84729"/>
    <w:rsid w:val="5FE00C4E"/>
    <w:rsid w:val="5FE8105E"/>
    <w:rsid w:val="5FF26BFA"/>
    <w:rsid w:val="5FF9522F"/>
    <w:rsid w:val="60255718"/>
    <w:rsid w:val="604069F6"/>
    <w:rsid w:val="604F05EC"/>
    <w:rsid w:val="604F128A"/>
    <w:rsid w:val="605D0D2F"/>
    <w:rsid w:val="60670929"/>
    <w:rsid w:val="60B62419"/>
    <w:rsid w:val="60C70EED"/>
    <w:rsid w:val="60DB486A"/>
    <w:rsid w:val="611D6DCA"/>
    <w:rsid w:val="6126686F"/>
    <w:rsid w:val="61272CB7"/>
    <w:rsid w:val="613025C6"/>
    <w:rsid w:val="613921C4"/>
    <w:rsid w:val="614155E6"/>
    <w:rsid w:val="614357E7"/>
    <w:rsid w:val="615B167C"/>
    <w:rsid w:val="616011E1"/>
    <w:rsid w:val="61774699"/>
    <w:rsid w:val="619631D1"/>
    <w:rsid w:val="61BB5FC2"/>
    <w:rsid w:val="6203705A"/>
    <w:rsid w:val="621D6164"/>
    <w:rsid w:val="62390619"/>
    <w:rsid w:val="6242536A"/>
    <w:rsid w:val="624E3817"/>
    <w:rsid w:val="6260512D"/>
    <w:rsid w:val="62916F78"/>
    <w:rsid w:val="629A67D7"/>
    <w:rsid w:val="62AD40F6"/>
    <w:rsid w:val="62BA485E"/>
    <w:rsid w:val="62D761F5"/>
    <w:rsid w:val="62ED5F67"/>
    <w:rsid w:val="62F04EA1"/>
    <w:rsid w:val="63141A74"/>
    <w:rsid w:val="6322385F"/>
    <w:rsid w:val="6332768E"/>
    <w:rsid w:val="6336568E"/>
    <w:rsid w:val="63375F1A"/>
    <w:rsid w:val="635C0AF6"/>
    <w:rsid w:val="63654AA2"/>
    <w:rsid w:val="636F356D"/>
    <w:rsid w:val="639B69E6"/>
    <w:rsid w:val="63AE655B"/>
    <w:rsid w:val="63EA1225"/>
    <w:rsid w:val="64180B75"/>
    <w:rsid w:val="642A783A"/>
    <w:rsid w:val="644B4006"/>
    <w:rsid w:val="645C36D2"/>
    <w:rsid w:val="64902EB9"/>
    <w:rsid w:val="64914A9C"/>
    <w:rsid w:val="64A14FF1"/>
    <w:rsid w:val="64AC3B8A"/>
    <w:rsid w:val="64D01358"/>
    <w:rsid w:val="64E10755"/>
    <w:rsid w:val="65013FCF"/>
    <w:rsid w:val="655A53AB"/>
    <w:rsid w:val="655B1BDC"/>
    <w:rsid w:val="658A28DC"/>
    <w:rsid w:val="659F6A91"/>
    <w:rsid w:val="65BD2836"/>
    <w:rsid w:val="65E63183"/>
    <w:rsid w:val="65F12802"/>
    <w:rsid w:val="65FC2397"/>
    <w:rsid w:val="65FE0EE5"/>
    <w:rsid w:val="6631490C"/>
    <w:rsid w:val="663D24C4"/>
    <w:rsid w:val="66BB083F"/>
    <w:rsid w:val="66D01003"/>
    <w:rsid w:val="66EF4D92"/>
    <w:rsid w:val="672B2A54"/>
    <w:rsid w:val="6732662B"/>
    <w:rsid w:val="67870603"/>
    <w:rsid w:val="679B2764"/>
    <w:rsid w:val="67F1298D"/>
    <w:rsid w:val="67F21FF0"/>
    <w:rsid w:val="67FC4730"/>
    <w:rsid w:val="68004911"/>
    <w:rsid w:val="68355AF8"/>
    <w:rsid w:val="683A1C07"/>
    <w:rsid w:val="68955840"/>
    <w:rsid w:val="68B50DC9"/>
    <w:rsid w:val="68EC149F"/>
    <w:rsid w:val="68F80968"/>
    <w:rsid w:val="69004F74"/>
    <w:rsid w:val="690B3E88"/>
    <w:rsid w:val="69484CAE"/>
    <w:rsid w:val="69495A92"/>
    <w:rsid w:val="696703C0"/>
    <w:rsid w:val="69AA26AA"/>
    <w:rsid w:val="69AA354B"/>
    <w:rsid w:val="69F22667"/>
    <w:rsid w:val="6A090832"/>
    <w:rsid w:val="6A1419DD"/>
    <w:rsid w:val="6A282DB1"/>
    <w:rsid w:val="6A7A16F4"/>
    <w:rsid w:val="6AB379F3"/>
    <w:rsid w:val="6ACD460B"/>
    <w:rsid w:val="6AD33189"/>
    <w:rsid w:val="6AE74987"/>
    <w:rsid w:val="6AF672D5"/>
    <w:rsid w:val="6B185F9A"/>
    <w:rsid w:val="6B3E6D6C"/>
    <w:rsid w:val="6B623FD0"/>
    <w:rsid w:val="6B6B4914"/>
    <w:rsid w:val="6B7243A0"/>
    <w:rsid w:val="6B832B7A"/>
    <w:rsid w:val="6BBF004F"/>
    <w:rsid w:val="6BC62B4F"/>
    <w:rsid w:val="6C151E93"/>
    <w:rsid w:val="6C3C552F"/>
    <w:rsid w:val="6C517895"/>
    <w:rsid w:val="6C721F3D"/>
    <w:rsid w:val="6C8968D4"/>
    <w:rsid w:val="6C9131A1"/>
    <w:rsid w:val="6CC71D33"/>
    <w:rsid w:val="6CCB691F"/>
    <w:rsid w:val="6CEB70C0"/>
    <w:rsid w:val="6D222AAF"/>
    <w:rsid w:val="6D301B2E"/>
    <w:rsid w:val="6DB024D9"/>
    <w:rsid w:val="6DB763D0"/>
    <w:rsid w:val="6DB91EF9"/>
    <w:rsid w:val="6DC01FF6"/>
    <w:rsid w:val="6DD45663"/>
    <w:rsid w:val="6DDE7A63"/>
    <w:rsid w:val="6DE365A2"/>
    <w:rsid w:val="6E0D65EE"/>
    <w:rsid w:val="6E2D5A4E"/>
    <w:rsid w:val="6E36086D"/>
    <w:rsid w:val="6E374674"/>
    <w:rsid w:val="6E5B3B66"/>
    <w:rsid w:val="6E6D47E6"/>
    <w:rsid w:val="6E73366A"/>
    <w:rsid w:val="6E763098"/>
    <w:rsid w:val="6E79786D"/>
    <w:rsid w:val="6E7A7577"/>
    <w:rsid w:val="6E9B1EE4"/>
    <w:rsid w:val="6E9D6EBF"/>
    <w:rsid w:val="6EB637E1"/>
    <w:rsid w:val="6EBA20D9"/>
    <w:rsid w:val="6EE527A5"/>
    <w:rsid w:val="6EF96ADF"/>
    <w:rsid w:val="6F136FF4"/>
    <w:rsid w:val="6F1F29F7"/>
    <w:rsid w:val="6F4875B9"/>
    <w:rsid w:val="6F612ABB"/>
    <w:rsid w:val="6F800BBD"/>
    <w:rsid w:val="6F9D39F9"/>
    <w:rsid w:val="6FC07AE5"/>
    <w:rsid w:val="6FC83345"/>
    <w:rsid w:val="6FF66E62"/>
    <w:rsid w:val="70043FFA"/>
    <w:rsid w:val="700D4E16"/>
    <w:rsid w:val="700E0621"/>
    <w:rsid w:val="70113542"/>
    <w:rsid w:val="7018170F"/>
    <w:rsid w:val="70454C42"/>
    <w:rsid w:val="70480FAF"/>
    <w:rsid w:val="705D5083"/>
    <w:rsid w:val="70891CF3"/>
    <w:rsid w:val="708977CC"/>
    <w:rsid w:val="70B11E33"/>
    <w:rsid w:val="70BC6D60"/>
    <w:rsid w:val="710261B8"/>
    <w:rsid w:val="713044EC"/>
    <w:rsid w:val="71350B4F"/>
    <w:rsid w:val="718930EF"/>
    <w:rsid w:val="71B65422"/>
    <w:rsid w:val="71C66037"/>
    <w:rsid w:val="71E85803"/>
    <w:rsid w:val="71E960E9"/>
    <w:rsid w:val="71FA110A"/>
    <w:rsid w:val="721970A7"/>
    <w:rsid w:val="72340912"/>
    <w:rsid w:val="724006C9"/>
    <w:rsid w:val="72676D7F"/>
    <w:rsid w:val="72965AC2"/>
    <w:rsid w:val="72B91446"/>
    <w:rsid w:val="72C25ED6"/>
    <w:rsid w:val="72C62E8F"/>
    <w:rsid w:val="730833A3"/>
    <w:rsid w:val="73146EFC"/>
    <w:rsid w:val="731C66B6"/>
    <w:rsid w:val="73347E2F"/>
    <w:rsid w:val="734431AF"/>
    <w:rsid w:val="73626089"/>
    <w:rsid w:val="736F5C2F"/>
    <w:rsid w:val="738547D2"/>
    <w:rsid w:val="73D74111"/>
    <w:rsid w:val="73DD5247"/>
    <w:rsid w:val="73FF593A"/>
    <w:rsid w:val="7400370B"/>
    <w:rsid w:val="74041CC7"/>
    <w:rsid w:val="74117311"/>
    <w:rsid w:val="741663DB"/>
    <w:rsid w:val="74212363"/>
    <w:rsid w:val="74504FA6"/>
    <w:rsid w:val="746413E5"/>
    <w:rsid w:val="747340D8"/>
    <w:rsid w:val="74895648"/>
    <w:rsid w:val="74902172"/>
    <w:rsid w:val="74A03D75"/>
    <w:rsid w:val="74CE29DC"/>
    <w:rsid w:val="750850DA"/>
    <w:rsid w:val="751E51E9"/>
    <w:rsid w:val="75341DD7"/>
    <w:rsid w:val="75436159"/>
    <w:rsid w:val="754B1168"/>
    <w:rsid w:val="75805E53"/>
    <w:rsid w:val="7586412F"/>
    <w:rsid w:val="7590155A"/>
    <w:rsid w:val="75973F3D"/>
    <w:rsid w:val="75DA7B6D"/>
    <w:rsid w:val="75DE546F"/>
    <w:rsid w:val="75E459CB"/>
    <w:rsid w:val="75EC3BF9"/>
    <w:rsid w:val="76140A70"/>
    <w:rsid w:val="762E759E"/>
    <w:rsid w:val="76515EBE"/>
    <w:rsid w:val="769D6AA6"/>
    <w:rsid w:val="769E31B9"/>
    <w:rsid w:val="76A446E6"/>
    <w:rsid w:val="76AE06A2"/>
    <w:rsid w:val="76D9557C"/>
    <w:rsid w:val="76DF14BC"/>
    <w:rsid w:val="771A0FB3"/>
    <w:rsid w:val="772947CA"/>
    <w:rsid w:val="77451819"/>
    <w:rsid w:val="77662A58"/>
    <w:rsid w:val="777850C3"/>
    <w:rsid w:val="77A02634"/>
    <w:rsid w:val="77B777CA"/>
    <w:rsid w:val="77CF0901"/>
    <w:rsid w:val="77E94C0A"/>
    <w:rsid w:val="77F70311"/>
    <w:rsid w:val="780A3D7C"/>
    <w:rsid w:val="783F0EE9"/>
    <w:rsid w:val="78580A05"/>
    <w:rsid w:val="786F0FED"/>
    <w:rsid w:val="78914656"/>
    <w:rsid w:val="78926FD8"/>
    <w:rsid w:val="789A0300"/>
    <w:rsid w:val="78A0622F"/>
    <w:rsid w:val="78C837A0"/>
    <w:rsid w:val="78FE2090"/>
    <w:rsid w:val="79102FB2"/>
    <w:rsid w:val="79227CA0"/>
    <w:rsid w:val="793B5B55"/>
    <w:rsid w:val="797169EA"/>
    <w:rsid w:val="797B41A3"/>
    <w:rsid w:val="799139C7"/>
    <w:rsid w:val="799F3149"/>
    <w:rsid w:val="79AD3FFF"/>
    <w:rsid w:val="79EA61EA"/>
    <w:rsid w:val="79F41A84"/>
    <w:rsid w:val="79F53920"/>
    <w:rsid w:val="7AA05B01"/>
    <w:rsid w:val="7AAC0793"/>
    <w:rsid w:val="7AAE27F4"/>
    <w:rsid w:val="7AC568A9"/>
    <w:rsid w:val="7ADE6E5D"/>
    <w:rsid w:val="7B004F63"/>
    <w:rsid w:val="7B315BCA"/>
    <w:rsid w:val="7B5778E5"/>
    <w:rsid w:val="7B5D193D"/>
    <w:rsid w:val="7BD05638"/>
    <w:rsid w:val="7BE42D84"/>
    <w:rsid w:val="7BEB0DFD"/>
    <w:rsid w:val="7BF91654"/>
    <w:rsid w:val="7C29117A"/>
    <w:rsid w:val="7C373A29"/>
    <w:rsid w:val="7C6E3F65"/>
    <w:rsid w:val="7C8B22DF"/>
    <w:rsid w:val="7CB576D6"/>
    <w:rsid w:val="7CEC4AC2"/>
    <w:rsid w:val="7D100C82"/>
    <w:rsid w:val="7D173C1C"/>
    <w:rsid w:val="7D1B1F25"/>
    <w:rsid w:val="7D4E1A42"/>
    <w:rsid w:val="7D5778C2"/>
    <w:rsid w:val="7D59012A"/>
    <w:rsid w:val="7D5C4E4F"/>
    <w:rsid w:val="7D6013F3"/>
    <w:rsid w:val="7D6D2FD5"/>
    <w:rsid w:val="7D850AE8"/>
    <w:rsid w:val="7DA204B4"/>
    <w:rsid w:val="7DAA02E9"/>
    <w:rsid w:val="7DBA0E68"/>
    <w:rsid w:val="7DDE31B9"/>
    <w:rsid w:val="7DE12D1D"/>
    <w:rsid w:val="7DF75ECF"/>
    <w:rsid w:val="7E065C22"/>
    <w:rsid w:val="7E542271"/>
    <w:rsid w:val="7E5A0714"/>
    <w:rsid w:val="7E6D7C69"/>
    <w:rsid w:val="7E7828DC"/>
    <w:rsid w:val="7EBD38F9"/>
    <w:rsid w:val="7EC64656"/>
    <w:rsid w:val="7EF16272"/>
    <w:rsid w:val="7EFD5193"/>
    <w:rsid w:val="7F0B3B5E"/>
    <w:rsid w:val="7F0F2248"/>
    <w:rsid w:val="7F415A4E"/>
    <w:rsid w:val="7F43111F"/>
    <w:rsid w:val="7F736048"/>
    <w:rsid w:val="7F88512E"/>
    <w:rsid w:val="7FA66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numPr>
        <w:ilvl w:val="0"/>
        <w:numId w:val="1"/>
      </w:numPr>
      <w:tabs>
        <w:tab w:val="left" w:pos="0"/>
      </w:tabs>
      <w:spacing w:before="50" w:beforeLines="50" w:after="50" w:afterLines="50" w:line="580" w:lineRule="exact"/>
      <w:ind w:left="0" w:firstLine="880" w:firstLineChars="200"/>
      <w:jc w:val="left"/>
      <w:outlineLvl w:val="0"/>
    </w:pPr>
    <w:rPr>
      <w:rFonts w:ascii="黑体" w:hAnsi="黑体" w:eastAsia="黑体"/>
      <w:bCs/>
      <w:kern w:val="44"/>
      <w:szCs w:val="44"/>
    </w:rPr>
  </w:style>
  <w:style w:type="paragraph" w:styleId="3">
    <w:name w:val="heading 2"/>
    <w:basedOn w:val="1"/>
    <w:next w:val="1"/>
    <w:link w:val="44"/>
    <w:autoRedefine/>
    <w:semiHidden/>
    <w:unhideWhenUsed/>
    <w:qFormat/>
    <w:uiPriority w:val="0"/>
    <w:pPr>
      <w:keepNext/>
      <w:keepLines/>
      <w:widowControl w:val="0"/>
      <w:numPr>
        <w:ilvl w:val="1"/>
        <w:numId w:val="1"/>
      </w:numPr>
      <w:tabs>
        <w:tab w:val="left" w:pos="567"/>
        <w:tab w:val="left" w:pos="1440"/>
      </w:tabs>
      <w:adjustRightInd w:val="0"/>
      <w:snapToGrid w:val="0"/>
      <w:spacing w:line="580" w:lineRule="exact"/>
      <w:ind w:left="0" w:firstLine="0" w:firstLineChars="0"/>
      <w:jc w:val="both"/>
      <w:outlineLvl w:val="1"/>
    </w:pPr>
    <w:rPr>
      <w:rFonts w:ascii="楷体" w:hAnsi="楷体" w:eastAsia="楷体"/>
      <w:color w:val="000000"/>
      <w:kern w:val="0"/>
      <w:szCs w:val="28"/>
    </w:rPr>
  </w:style>
  <w:style w:type="paragraph" w:styleId="4">
    <w:name w:val="heading 3"/>
    <w:basedOn w:val="1"/>
    <w:next w:val="1"/>
    <w:link w:val="46"/>
    <w:autoRedefine/>
    <w:semiHidden/>
    <w:unhideWhenUsed/>
    <w:qFormat/>
    <w:uiPriority w:val="0"/>
    <w:pPr>
      <w:keepNext/>
      <w:keepLines/>
      <w:numPr>
        <w:ilvl w:val="2"/>
        <w:numId w:val="1"/>
      </w:numPr>
      <w:tabs>
        <w:tab w:val="left" w:pos="0"/>
      </w:tabs>
      <w:adjustRightInd w:val="0"/>
      <w:ind w:left="0" w:firstLine="400" w:firstLineChars="0"/>
      <w:jc w:val="left"/>
      <w:outlineLvl w:val="2"/>
    </w:pPr>
    <w:rPr>
      <w:rFonts w:ascii="Times New Roman" w:hAnsi="Times New Roman" w:eastAsia="黑体" w:cs="方正仿宋_GB2312"/>
      <w:szCs w:val="24"/>
    </w:rPr>
  </w:style>
  <w:style w:type="paragraph" w:styleId="5">
    <w:name w:val="heading 4"/>
    <w:basedOn w:val="1"/>
    <w:next w:val="1"/>
    <w:link w:val="43"/>
    <w:autoRedefine/>
    <w:semiHidden/>
    <w:unhideWhenUsed/>
    <w:qFormat/>
    <w:uiPriority w:val="0"/>
    <w:pPr>
      <w:keepNext/>
      <w:keepLines/>
      <w:numPr>
        <w:ilvl w:val="3"/>
        <w:numId w:val="1"/>
      </w:numPr>
      <w:tabs>
        <w:tab w:val="left" w:pos="0"/>
      </w:tabs>
      <w:spacing w:line="580" w:lineRule="exact"/>
      <w:ind w:left="0" w:firstLine="402" w:firstLineChars="0"/>
      <w:outlineLvl w:val="3"/>
    </w:pPr>
    <w:rPr>
      <w:bCs/>
      <w:sz w:val="32"/>
    </w:rPr>
  </w:style>
  <w:style w:type="paragraph" w:styleId="6">
    <w:name w:val="heading 5"/>
    <w:basedOn w:val="1"/>
    <w:next w:val="1"/>
    <w:link w:val="47"/>
    <w:autoRedefine/>
    <w:semiHidden/>
    <w:unhideWhenUsed/>
    <w:qFormat/>
    <w:uiPriority w:val="0"/>
    <w:pPr>
      <w:keepNext/>
      <w:keepLines/>
      <w:numPr>
        <w:ilvl w:val="4"/>
        <w:numId w:val="1"/>
      </w:numPr>
      <w:tabs>
        <w:tab w:val="left" w:pos="2718"/>
      </w:tabs>
      <w:spacing w:line="580" w:lineRule="exact"/>
      <w:ind w:left="0" w:firstLine="402" w:firstLineChars="0"/>
      <w:outlineLvl w:val="4"/>
    </w:pPr>
    <w:rPr>
      <w:rFonts w:ascii="Times New Roman" w:hAnsi="Times New Roman"/>
      <w:bCs/>
      <w:kern w:val="0"/>
      <w:sz w:val="32"/>
      <w:szCs w:val="28"/>
    </w:rPr>
  </w:style>
  <w:style w:type="paragraph" w:styleId="7">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0" w:firstLine="402" w:firstLineChars="0"/>
      <w:outlineLvl w:val="5"/>
    </w:pPr>
    <w:rPr>
      <w:rFonts w:ascii="Arial" w:hAnsi="Arial" w:eastAsia="黑体"/>
      <w:b/>
      <w:sz w:val="24"/>
    </w:rPr>
  </w:style>
  <w:style w:type="paragraph" w:styleId="8">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0" w:firstLine="402" w:firstLineChars="0"/>
      <w:outlineLvl w:val="6"/>
    </w:pPr>
    <w:rPr>
      <w:b/>
      <w:sz w:val="24"/>
    </w:rPr>
  </w:style>
  <w:style w:type="paragraph" w:styleId="9">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0" w:firstLine="402" w:firstLineChars="0"/>
      <w:outlineLvl w:val="7"/>
    </w:pPr>
    <w:rPr>
      <w:rFonts w:ascii="Arial" w:hAnsi="Arial" w:eastAsia="黑体"/>
      <w:sz w:val="24"/>
    </w:rPr>
  </w:style>
  <w:style w:type="paragraph" w:styleId="10">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0" w:firstLine="402" w:firstLineChars="0"/>
      <w:outlineLvl w:val="8"/>
    </w:pPr>
    <w:rPr>
      <w:rFonts w:ascii="Arial" w:hAnsi="Arial" w:eastAsia="黑体"/>
      <w:sz w:val="21"/>
    </w:rPr>
  </w:style>
  <w:style w:type="character" w:default="1" w:styleId="20">
    <w:name w:val="Default Paragraph Font"/>
    <w:semiHidden/>
    <w:unhideWhenUsed/>
    <w:qFormat/>
    <w:uiPriority w:val="1"/>
    <w:rPr>
      <w:rFonts w:hint="eastAsia" w:cs="方正仿宋_GB2312"/>
      <w:kern w:val="44"/>
      <w:szCs w:val="28"/>
    </w:rPr>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11">
    <w:name w:val="Normal Indent"/>
    <w:basedOn w:val="1"/>
    <w:qFormat/>
    <w:uiPriority w:val="0"/>
    <w:pPr>
      <w:ind w:firstLine="420" w:firstLineChars="200"/>
    </w:pPr>
  </w:style>
  <w:style w:type="paragraph" w:styleId="12">
    <w:name w:val="caption"/>
    <w:basedOn w:val="1"/>
    <w:next w:val="1"/>
    <w:link w:val="48"/>
    <w:semiHidden/>
    <w:unhideWhenUsed/>
    <w:qFormat/>
    <w:uiPriority w:val="0"/>
    <w:pPr>
      <w:ind w:firstLine="0" w:firstLineChars="0"/>
      <w:jc w:val="center"/>
    </w:pPr>
    <w:rPr>
      <w:rFonts w:ascii="Times New Roman" w:hAnsi="Times New Roman" w:eastAsia="微软雅黑" w:cstheme="majorBidi"/>
      <w:sz w:val="24"/>
      <w:szCs w:val="20"/>
    </w:rPr>
  </w:style>
  <w:style w:type="paragraph" w:styleId="13">
    <w:name w:val="annotation text"/>
    <w:basedOn w:val="1"/>
    <w:qFormat/>
    <w:uiPriority w:val="0"/>
    <w:pPr>
      <w:jc w:val="left"/>
    </w:pPr>
  </w:style>
  <w:style w:type="paragraph" w:styleId="14">
    <w:name w:val="Body Text"/>
    <w:basedOn w:val="1"/>
    <w:autoRedefine/>
    <w:qFormat/>
    <w:uiPriority w:val="0"/>
    <w:pPr>
      <w:ind w:left="0" w:firstLine="883" w:firstLineChars="200"/>
    </w:pPr>
    <w:rPr>
      <w:rFonts w:ascii="宋体" w:hAnsi="宋体" w:eastAsia="宋体" w:cs="宋体"/>
      <w:szCs w:val="19"/>
      <w:lang w:val="zh-CN" w:bidi="zh-CN"/>
    </w:rPr>
  </w:style>
  <w:style w:type="paragraph" w:styleId="15">
    <w:name w:val="Body Text Indent 2"/>
    <w:basedOn w:val="1"/>
    <w:qFormat/>
    <w:uiPriority w:val="0"/>
    <w:pPr>
      <w:adjustRightInd w:val="0"/>
      <w:ind w:right="0" w:rightChars="0" w:firstLine="420" w:firstLineChars="200"/>
    </w:pPr>
    <w:rPr>
      <w:rFonts w:ascii="Times New Roman" w:hAnsi="Times New Roman" w:eastAsia="宋体" w:cs="Times New Roman"/>
      <w:sz w:val="21"/>
      <w:szCs w:val="21"/>
    </w:rPr>
  </w:style>
  <w:style w:type="paragraph" w:styleId="16">
    <w:name w:val="footer"/>
    <w:basedOn w:val="1"/>
    <w:qFormat/>
    <w:uiPriority w:val="99"/>
    <w:pPr>
      <w:tabs>
        <w:tab w:val="center" w:pos="4153"/>
        <w:tab w:val="right" w:pos="8306"/>
      </w:tabs>
      <w:snapToGrid w:val="0"/>
      <w:jc w:val="left"/>
    </w:pPr>
    <w:rPr>
      <w:kern w:val="0"/>
      <w:sz w:val="18"/>
      <w:szCs w:val="18"/>
    </w:rPr>
  </w:style>
  <w:style w:type="paragraph" w:styleId="17">
    <w:name w:val="toc 1"/>
    <w:basedOn w:val="1"/>
    <w:next w:val="1"/>
    <w:qFormat/>
    <w:uiPriority w:val="39"/>
    <w:pPr>
      <w:tabs>
        <w:tab w:val="right" w:leader="dot" w:pos="9241"/>
      </w:tabs>
      <w:spacing w:before="25" w:beforeLines="25" w:after="25" w:afterLines="25"/>
      <w:jc w:val="left"/>
    </w:pPr>
    <w:rPr>
      <w:rFonts w:ascii="宋体" w:hAnsi="Times New Roman"/>
      <w:szCs w:val="21"/>
    </w:rPr>
  </w:style>
  <w:style w:type="paragraph" w:styleId="18">
    <w:name w:val="Title"/>
    <w:basedOn w:val="1"/>
    <w:next w:val="1"/>
    <w:qFormat/>
    <w:uiPriority w:val="0"/>
    <w:pPr>
      <w:spacing w:before="240" w:after="60"/>
      <w:jc w:val="center"/>
      <w:outlineLvl w:val="0"/>
    </w:pPr>
    <w:rPr>
      <w:rFonts w:ascii="Cambria" w:hAnsi="Cambria"/>
      <w:b/>
      <w:bCs/>
      <w:sz w:val="32"/>
      <w:szCs w:val="32"/>
    </w:rPr>
  </w:style>
  <w:style w:type="character" w:styleId="21">
    <w:name w:val="Strong"/>
    <w:basedOn w:val="20"/>
    <w:qFormat/>
    <w:uiPriority w:val="0"/>
    <w:rPr>
      <w:b/>
    </w:rPr>
  </w:style>
  <w:style w:type="character" w:styleId="22">
    <w:name w:val="page number"/>
    <w:qFormat/>
    <w:uiPriority w:val="0"/>
    <w:rPr>
      <w:rFonts w:ascii="Times New Roman" w:hAnsi="Times New Roman" w:eastAsia="宋体"/>
      <w:sz w:val="18"/>
    </w:rPr>
  </w:style>
  <w:style w:type="character" w:styleId="23">
    <w:name w:val="Hyperlink"/>
    <w:qFormat/>
    <w:uiPriority w:val="99"/>
    <w:rPr>
      <w:rFonts w:cs="Times New Roman"/>
      <w:color w:val="0563C1"/>
      <w:u w:val="single"/>
    </w:rPr>
  </w:style>
  <w:style w:type="paragraph" w:customStyle="1" w:styleId="24">
    <w:name w:val="中文摘要"/>
    <w:basedOn w:val="1"/>
    <w:autoRedefine/>
    <w:qFormat/>
    <w:uiPriority w:val="0"/>
    <w:pPr>
      <w:jc w:val="both"/>
    </w:pPr>
    <w:rPr>
      <w:rFonts w:eastAsia="楷体" w:asciiTheme="minorAscii" w:hAnsiTheme="minorAscii"/>
    </w:rPr>
  </w:style>
  <w:style w:type="paragraph" w:customStyle="1" w:styleId="25">
    <w:name w:val="1级标题"/>
    <w:basedOn w:val="1"/>
    <w:autoRedefine/>
    <w:qFormat/>
    <w:uiPriority w:val="0"/>
    <w:pPr>
      <w:numPr>
        <w:ilvl w:val="0"/>
        <w:numId w:val="2"/>
      </w:numPr>
      <w:tabs>
        <w:tab w:val="left" w:pos="240"/>
      </w:tabs>
      <w:spacing w:before="50" w:beforeLines="50" w:after="50" w:afterLines="50" w:line="560" w:lineRule="exact"/>
      <w:ind w:firstLine="0" w:firstLineChars="0"/>
      <w:jc w:val="both"/>
      <w:outlineLvl w:val="0"/>
    </w:pPr>
    <w:rPr>
      <w:rFonts w:ascii="Times New Roman" w:hAnsi="Times New Roman" w:eastAsia="黑体"/>
      <w:b/>
    </w:rPr>
  </w:style>
  <w:style w:type="paragraph" w:customStyle="1" w:styleId="26">
    <w:name w:val="2级标题"/>
    <w:basedOn w:val="1"/>
    <w:autoRedefine/>
    <w:qFormat/>
    <w:uiPriority w:val="0"/>
    <w:pPr>
      <w:numPr>
        <w:ilvl w:val="1"/>
        <w:numId w:val="3"/>
      </w:numPr>
      <w:tabs>
        <w:tab w:val="left" w:pos="0"/>
      </w:tabs>
      <w:spacing w:before="50" w:beforeLines="50" w:after="50" w:afterLines="50" w:line="560" w:lineRule="exact"/>
      <w:ind w:firstLineChars="0"/>
      <w:jc w:val="left"/>
      <w:outlineLvl w:val="1"/>
    </w:pPr>
    <w:rPr>
      <w:rFonts w:ascii="Times New Roman" w:hAnsi="Times New Roman" w:eastAsia="楷体"/>
      <w:b/>
      <w:sz w:val="32"/>
    </w:rPr>
  </w:style>
  <w:style w:type="paragraph" w:customStyle="1" w:styleId="27">
    <w:name w:val="3级标题"/>
    <w:basedOn w:val="1"/>
    <w:link w:val="31"/>
    <w:autoRedefine/>
    <w:qFormat/>
    <w:uiPriority w:val="0"/>
    <w:pPr>
      <w:numPr>
        <w:ilvl w:val="2"/>
        <w:numId w:val="4"/>
      </w:numPr>
      <w:spacing w:before="50" w:beforeLines="50" w:after="50" w:afterLines="50" w:line="560" w:lineRule="exact"/>
      <w:ind w:firstLine="0" w:firstLineChars="0"/>
      <w:jc w:val="left"/>
      <w:outlineLvl w:val="2"/>
    </w:pPr>
    <w:rPr>
      <w:rFonts w:ascii="Times New Roman" w:hAnsi="Times New Roman" w:cs="Times New Roman"/>
    </w:rPr>
  </w:style>
  <w:style w:type="paragraph" w:customStyle="1" w:styleId="28">
    <w:name w:val="公式"/>
    <w:basedOn w:val="1"/>
    <w:autoRedefine/>
    <w:qFormat/>
    <w:uiPriority w:val="0"/>
    <w:pPr>
      <w:widowControl/>
      <w:ind w:firstLine="0" w:firstLineChars="0"/>
      <w:jc w:val="right"/>
    </w:pPr>
    <w:rPr>
      <w:rFonts w:ascii="Times New Roman" w:hAnsi="Times New Roman"/>
      <w:kern w:val="0"/>
      <w:sz w:val="24"/>
      <w:lang w:bidi="ar"/>
    </w:rPr>
  </w:style>
  <w:style w:type="paragraph" w:customStyle="1" w:styleId="29">
    <w:name w:val="图题"/>
    <w:basedOn w:val="1"/>
    <w:link w:val="30"/>
    <w:autoRedefine/>
    <w:qFormat/>
    <w:uiPriority w:val="0"/>
    <w:rPr>
      <w:sz w:val="21"/>
    </w:rPr>
  </w:style>
  <w:style w:type="character" w:customStyle="1" w:styleId="30">
    <w:name w:val="图题 Char"/>
    <w:link w:val="29"/>
    <w:autoRedefine/>
    <w:qFormat/>
    <w:uiPriority w:val="0"/>
    <w:rPr>
      <w:rFonts w:ascii="Times New Roman" w:hAnsi="Times New Roman" w:eastAsia="宋体"/>
      <w:sz w:val="21"/>
    </w:rPr>
  </w:style>
  <w:style w:type="character" w:customStyle="1" w:styleId="31">
    <w:name w:val="3级标题 Char"/>
    <w:link w:val="27"/>
    <w:autoRedefine/>
    <w:qFormat/>
    <w:uiPriority w:val="0"/>
    <w:rPr>
      <w:rFonts w:ascii="Times New Roman" w:hAnsi="Times New Roman" w:eastAsia="方正仿宋_GB2312" w:cs="Times New Roman"/>
    </w:rPr>
  </w:style>
  <w:style w:type="paragraph" w:customStyle="1" w:styleId="32">
    <w:name w:val="一级条标题"/>
    <w:autoRedefine/>
    <w:qFormat/>
    <w:uiPriority w:val="0"/>
    <w:pPr>
      <w:numPr>
        <w:ilvl w:val="1"/>
        <w:numId w:val="5"/>
      </w:numPr>
      <w:spacing w:before="50" w:beforeLines="50" w:after="50" w:afterLines="50"/>
      <w:ind w:left="0"/>
      <w:outlineLvl w:val="2"/>
    </w:pPr>
    <w:rPr>
      <w:rFonts w:ascii="黑体" w:hAnsi="黑体" w:eastAsia="黑体" w:cs="Times New Roman"/>
      <w:sz w:val="21"/>
      <w:lang w:val="en-US" w:eastAsia="zh-CN" w:bidi="ar-SA"/>
    </w:rPr>
  </w:style>
  <w:style w:type="paragraph" w:customStyle="1" w:styleId="33">
    <w:name w:val="章标题"/>
    <w:basedOn w:val="1"/>
    <w:next w:val="34"/>
    <w:autoRedefine/>
    <w:qFormat/>
    <w:uiPriority w:val="0"/>
    <w:pPr>
      <w:numPr>
        <w:ilvl w:val="0"/>
        <w:numId w:val="5"/>
      </w:numPr>
      <w:ind w:firstLine="0" w:firstLineChars="0"/>
    </w:pPr>
    <w:rPr>
      <w:rFonts w:ascii="Times New Roman" w:hAnsi="Times New Roman" w:eastAsia="黑体"/>
      <w:sz w:val="28"/>
    </w:rPr>
  </w:style>
  <w:style w:type="paragraph" w:customStyle="1" w:styleId="34">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35">
    <w:name w:val="二级条标题"/>
    <w:basedOn w:val="1"/>
    <w:autoRedefine/>
    <w:qFormat/>
    <w:uiPriority w:val="0"/>
    <w:pPr>
      <w:numPr>
        <w:ilvl w:val="2"/>
        <w:numId w:val="5"/>
      </w:numPr>
      <w:ind w:firstLine="0" w:firstLineChars="0"/>
    </w:pPr>
    <w:rPr>
      <w:rFonts w:ascii="Times New Roman" w:hAnsi="Times New Roman" w:eastAsia="黑体"/>
      <w:sz w:val="28"/>
    </w:rPr>
  </w:style>
  <w:style w:type="paragraph" w:customStyle="1" w:styleId="36">
    <w:name w:val="新闻稿正标题"/>
    <w:qFormat/>
    <w:uiPriority w:val="0"/>
    <w:pPr>
      <w:spacing w:line="720" w:lineRule="exact"/>
      <w:ind w:firstLine="0" w:firstLineChars="0"/>
      <w:jc w:val="center"/>
    </w:pPr>
    <w:rPr>
      <w:rFonts w:ascii="Times New Roman" w:hAnsi="Times New Roman" w:eastAsia="方正小标宋_GBK" w:cs="方正小标宋_GBK"/>
      <w:b/>
      <w:sz w:val="44"/>
      <w:szCs w:val="44"/>
    </w:rPr>
  </w:style>
  <w:style w:type="paragraph" w:customStyle="1" w:styleId="37">
    <w:name w:val="新闻稿副标题"/>
    <w:qFormat/>
    <w:uiPriority w:val="0"/>
    <w:pPr>
      <w:spacing w:line="720" w:lineRule="exact"/>
      <w:jc w:val="right"/>
    </w:pPr>
    <w:rPr>
      <w:rFonts w:hint="eastAsia" w:ascii="Times New Roman" w:hAnsi="Times New Roman" w:eastAsia="方正小标宋_GBK" w:cstheme="minorBidi"/>
      <w:b/>
      <w:sz w:val="36"/>
    </w:rPr>
  </w:style>
  <w:style w:type="paragraph" w:customStyle="1" w:styleId="38">
    <w:name w:val="新闻稿正文"/>
    <w:basedOn w:val="1"/>
    <w:qFormat/>
    <w:uiPriority w:val="0"/>
    <w:rPr>
      <w:rFonts w:hint="eastAsia" w:eastAsia="方正仿宋_GBK"/>
    </w:rPr>
  </w:style>
  <w:style w:type="paragraph" w:customStyle="1" w:styleId="39">
    <w:name w:val="书籍标题1"/>
    <w:basedOn w:val="1"/>
    <w:qFormat/>
    <w:uiPriority w:val="0"/>
    <w:pPr>
      <w:numPr>
        <w:ilvl w:val="0"/>
        <w:numId w:val="6"/>
      </w:numPr>
      <w:spacing w:before="50" w:beforeLines="50" w:after="50" w:afterLines="50"/>
      <w:jc w:val="left"/>
    </w:pPr>
    <w:rPr>
      <w:rFonts w:ascii="Times New Roman" w:hAnsi="Times New Roman" w:eastAsia="黑体" w:cs="Times New Roman"/>
      <w:b/>
      <w:sz w:val="36"/>
    </w:rPr>
  </w:style>
  <w:style w:type="paragraph" w:customStyle="1" w:styleId="40">
    <w:name w:val="书标题1"/>
    <w:basedOn w:val="1"/>
    <w:link w:val="58"/>
    <w:qFormat/>
    <w:uiPriority w:val="0"/>
    <w:pPr>
      <w:keepNext/>
      <w:keepLines/>
      <w:numPr>
        <w:ilvl w:val="0"/>
        <w:numId w:val="7"/>
      </w:numPr>
      <w:spacing w:before="50" w:beforeLines="50" w:after="50" w:afterLines="50"/>
      <w:ind w:left="425" w:hanging="425" w:firstLineChars="0"/>
      <w:jc w:val="center"/>
      <w:outlineLvl w:val="0"/>
    </w:pPr>
    <w:rPr>
      <w:rFonts w:hint="eastAsia" w:ascii="Times New Roman" w:hAnsi="Times New Roman" w:cs="Times New Roman"/>
      <w:b/>
      <w:bCs/>
      <w:kern w:val="44"/>
      <w:sz w:val="28"/>
      <w:szCs w:val="44"/>
    </w:rPr>
  </w:style>
  <w:style w:type="paragraph" w:customStyle="1" w:styleId="41">
    <w:name w:val="书标题2"/>
    <w:basedOn w:val="1"/>
    <w:qFormat/>
    <w:uiPriority w:val="0"/>
    <w:pPr>
      <w:keepNext/>
      <w:keepLines/>
      <w:numPr>
        <w:ilvl w:val="1"/>
        <w:numId w:val="7"/>
      </w:numPr>
      <w:tabs>
        <w:tab w:val="left" w:pos="360"/>
        <w:tab w:val="clear" w:pos="0"/>
      </w:tabs>
      <w:spacing w:before="50" w:beforeLines="50" w:after="50" w:afterLines="50"/>
      <w:ind w:firstLineChars="0"/>
      <w:jc w:val="left"/>
      <w:outlineLvl w:val="1"/>
    </w:pPr>
    <w:rPr>
      <w:rFonts w:hint="eastAsia" w:ascii="Times New Roman" w:hAnsi="Times New Roman" w:eastAsia="黑体"/>
      <w:b/>
      <w:bCs/>
      <w:sz w:val="30"/>
      <w:szCs w:val="30"/>
    </w:rPr>
  </w:style>
  <w:style w:type="paragraph" w:customStyle="1" w:styleId="42">
    <w:name w:val="书标题3"/>
    <w:basedOn w:val="1"/>
    <w:qFormat/>
    <w:uiPriority w:val="0"/>
    <w:pPr>
      <w:keepNext/>
      <w:keepLines/>
      <w:numPr>
        <w:ilvl w:val="2"/>
        <w:numId w:val="8"/>
      </w:numPr>
      <w:tabs>
        <w:tab w:val="left" w:pos="360"/>
      </w:tabs>
      <w:spacing w:before="50" w:beforeLines="50" w:after="50" w:afterLines="50"/>
      <w:ind w:left="0" w:firstLine="723" w:firstLineChars="200"/>
      <w:jc w:val="left"/>
      <w:outlineLvl w:val="2"/>
    </w:pPr>
    <w:rPr>
      <w:rFonts w:hint="eastAsia" w:ascii="Times New Roman" w:hAnsi="Times New Roman" w:cs="Times New Roman"/>
      <w:b/>
      <w:bCs/>
      <w:sz w:val="28"/>
      <w:szCs w:val="28"/>
    </w:rPr>
  </w:style>
  <w:style w:type="character" w:customStyle="1" w:styleId="43">
    <w:name w:val="标题 4 字符"/>
    <w:basedOn w:val="20"/>
    <w:link w:val="5"/>
    <w:qFormat/>
    <w:uiPriority w:val="9"/>
    <w:rPr>
      <w:rFonts w:ascii="仿宋_GB2312" w:hAnsi="仿宋_GB2312" w:cs="仿宋_GB2312"/>
      <w:bCs/>
      <w:kern w:val="2"/>
      <w:sz w:val="32"/>
      <w:szCs w:val="32"/>
    </w:rPr>
  </w:style>
  <w:style w:type="character" w:customStyle="1" w:styleId="44">
    <w:name w:val="标题 2 字符"/>
    <w:basedOn w:val="20"/>
    <w:link w:val="3"/>
    <w:qFormat/>
    <w:uiPriority w:val="0"/>
    <w:rPr>
      <w:rFonts w:ascii="楷体" w:hAnsi="楷体" w:eastAsia="楷体"/>
      <w:color w:val="000000"/>
      <w:sz w:val="32"/>
      <w:szCs w:val="28"/>
    </w:rPr>
  </w:style>
  <w:style w:type="paragraph" w:customStyle="1" w:styleId="45">
    <w:name w:val="书正文"/>
    <w:basedOn w:val="1"/>
    <w:link w:val="60"/>
    <w:qFormat/>
    <w:uiPriority w:val="0"/>
    <w:pPr>
      <w:keepNext w:val="0"/>
      <w:keepLines w:val="0"/>
      <w:tabs>
        <w:tab w:val="left" w:pos="360"/>
      </w:tabs>
      <w:ind w:left="0" w:firstLine="643" w:firstLineChars="200"/>
      <w:jc w:val="both"/>
      <w:outlineLvl w:val="9"/>
    </w:pPr>
    <w:rPr>
      <w:bCs/>
      <w:sz w:val="28"/>
      <w:szCs w:val="28"/>
    </w:rPr>
  </w:style>
  <w:style w:type="character" w:customStyle="1" w:styleId="46">
    <w:name w:val="标题 3 字符"/>
    <w:basedOn w:val="20"/>
    <w:link w:val="4"/>
    <w:qFormat/>
    <w:uiPriority w:val="0"/>
    <w:rPr>
      <w:rFonts w:ascii="Times New Roman" w:hAnsi="Times New Roman" w:eastAsia="仿宋_GB2312" w:cs="方正仿宋_GB2312"/>
      <w:b/>
      <w:bCs/>
      <w:sz w:val="32"/>
      <w:szCs w:val="32"/>
      <w:lang w:val="zh-CN"/>
    </w:rPr>
  </w:style>
  <w:style w:type="character" w:customStyle="1" w:styleId="47">
    <w:name w:val="标题 5 字符"/>
    <w:basedOn w:val="20"/>
    <w:link w:val="6"/>
    <w:qFormat/>
    <w:uiPriority w:val="0"/>
    <w:rPr>
      <w:rFonts w:ascii="Times New Roman" w:hAnsi="Times New Roman" w:cs="仿宋_GB2312"/>
      <w:bCs/>
      <w:sz w:val="32"/>
      <w:szCs w:val="28"/>
    </w:rPr>
  </w:style>
  <w:style w:type="character" w:customStyle="1" w:styleId="48">
    <w:name w:val="题注 Char"/>
    <w:link w:val="12"/>
    <w:qFormat/>
    <w:uiPriority w:val="35"/>
    <w:rPr>
      <w:rFonts w:ascii="Times New Roman" w:hAnsi="Times New Roman" w:eastAsia="微软雅黑" w:cstheme="majorBidi"/>
      <w:sz w:val="24"/>
      <w:szCs w:val="20"/>
    </w:rPr>
  </w:style>
  <w:style w:type="paragraph" w:customStyle="1" w:styleId="49">
    <w:name w:val="书正文二级标题"/>
    <w:basedOn w:val="1"/>
    <w:link w:val="61"/>
    <w:qFormat/>
    <w:uiPriority w:val="0"/>
    <w:pPr>
      <w:numPr>
        <w:ilvl w:val="3"/>
        <w:numId w:val="7"/>
      </w:numPr>
      <w:tabs>
        <w:tab w:val="left" w:pos="0"/>
        <w:tab w:val="clear" w:pos="420"/>
      </w:tabs>
      <w:spacing w:before="50" w:beforeLines="50" w:after="50" w:afterLines="50" w:line="580" w:lineRule="exact"/>
      <w:ind w:left="6160" w:firstLine="0" w:firstLineChars="0"/>
      <w:outlineLvl w:val="3"/>
    </w:pPr>
    <w:rPr>
      <w:rFonts w:hint="eastAsia" w:cs="方正仿宋_GB2312"/>
      <w:kern w:val="44"/>
      <w:sz w:val="28"/>
      <w:szCs w:val="28"/>
    </w:rPr>
  </w:style>
  <w:style w:type="paragraph" w:customStyle="1" w:styleId="50">
    <w:name w:val="书正文一级标题"/>
    <w:basedOn w:val="1"/>
    <w:link w:val="59"/>
    <w:qFormat/>
    <w:uiPriority w:val="0"/>
    <w:pPr>
      <w:keepNext w:val="0"/>
      <w:keepLines w:val="0"/>
      <w:numPr>
        <w:ilvl w:val="2"/>
        <w:numId w:val="7"/>
      </w:numPr>
      <w:tabs>
        <w:tab w:val="left" w:pos="360"/>
      </w:tabs>
      <w:spacing w:line="580" w:lineRule="exact"/>
      <w:ind w:left="560" w:firstLine="0" w:firstLineChars="0"/>
      <w:jc w:val="both"/>
      <w:outlineLvl w:val="2"/>
    </w:pPr>
    <w:rPr>
      <w:rFonts w:cs="Times New Roman"/>
      <w:bCs/>
      <w:sz w:val="28"/>
      <w:szCs w:val="28"/>
    </w:rPr>
  </w:style>
  <w:style w:type="paragraph" w:customStyle="1" w:styleId="51">
    <w:name w:val="样式1"/>
    <w:basedOn w:val="1"/>
    <w:qFormat/>
    <w:uiPriority w:val="0"/>
    <w:pPr>
      <w:numPr>
        <w:ilvl w:val="0"/>
        <w:numId w:val="9"/>
      </w:numPr>
      <w:ind w:left="425" w:hanging="425" w:firstLineChars="0"/>
    </w:pPr>
    <w:rPr>
      <w:rFonts w:hint="eastAsia" w:cs="方正仿宋_GB2312"/>
      <w:kern w:val="44"/>
      <w:szCs w:val="28"/>
    </w:rPr>
  </w:style>
  <w:style w:type="paragraph" w:customStyle="1" w:styleId="52">
    <w:name w:val="书正文三级标题"/>
    <w:basedOn w:val="1"/>
    <w:link w:val="57"/>
    <w:qFormat/>
    <w:uiPriority w:val="0"/>
    <w:pPr>
      <w:numPr>
        <w:ilvl w:val="4"/>
        <w:numId w:val="7"/>
      </w:numPr>
      <w:tabs>
        <w:tab w:val="left" w:pos="0"/>
        <w:tab w:val="clear" w:pos="420"/>
      </w:tabs>
      <w:spacing w:before="50" w:beforeLines="50" w:after="50" w:afterLines="50" w:line="580" w:lineRule="exact"/>
      <w:ind w:left="0" w:firstLine="883" w:firstLineChars="200"/>
      <w:outlineLvl w:val="9"/>
    </w:pPr>
    <w:rPr>
      <w:rFonts w:cs="方正仿宋_GB2312"/>
      <w:kern w:val="44"/>
      <w:sz w:val="28"/>
      <w:szCs w:val="28"/>
    </w:rPr>
  </w:style>
  <w:style w:type="paragraph" w:customStyle="1" w:styleId="53">
    <w:name w:val="书正文四级标题"/>
    <w:basedOn w:val="1"/>
    <w:link w:val="56"/>
    <w:qFormat/>
    <w:uiPriority w:val="0"/>
    <w:pPr>
      <w:keepNext w:val="0"/>
      <w:keepLines w:val="0"/>
      <w:numPr>
        <w:ilvl w:val="5"/>
        <w:numId w:val="7"/>
      </w:numPr>
      <w:tabs>
        <w:tab w:val="left" w:pos="360"/>
        <w:tab w:val="left" w:pos="420"/>
      </w:tabs>
      <w:spacing w:line="580" w:lineRule="exact"/>
      <w:ind w:left="-1566" w:firstLine="2126" w:firstLineChars="0"/>
      <w:outlineLvl w:val="9"/>
    </w:pPr>
    <w:rPr>
      <w:rFonts w:hint="eastAsia" w:cs="Times New Roman"/>
      <w:sz w:val="28"/>
      <w:szCs w:val="28"/>
    </w:rPr>
  </w:style>
  <w:style w:type="paragraph" w:customStyle="1" w:styleId="54">
    <w:name w:val="样式2"/>
    <w:basedOn w:val="1"/>
    <w:qFormat/>
    <w:uiPriority w:val="0"/>
    <w:pPr>
      <w:keepNext/>
      <w:keepLines/>
      <w:numPr>
        <w:ilvl w:val="6"/>
        <w:numId w:val="10"/>
      </w:numPr>
      <w:tabs>
        <w:tab w:val="left" w:pos="360"/>
      </w:tabs>
      <w:spacing w:line="580" w:lineRule="exact"/>
      <w:ind w:left="0" w:firstLine="560"/>
      <w:outlineLvl w:val="9"/>
    </w:pPr>
    <w:rPr>
      <w:rFonts w:hint="eastAsia" w:cs="Times New Roman"/>
      <w:bCs/>
      <w:szCs w:val="28"/>
    </w:rPr>
  </w:style>
  <w:style w:type="paragraph" w:customStyle="1" w:styleId="55">
    <w:name w:val="书正文五级标题"/>
    <w:basedOn w:val="1"/>
    <w:link w:val="62"/>
    <w:qFormat/>
    <w:uiPriority w:val="0"/>
    <w:pPr>
      <w:keepNext w:val="0"/>
      <w:keepLines w:val="0"/>
      <w:numPr>
        <w:ilvl w:val="6"/>
        <w:numId w:val="7"/>
      </w:numPr>
      <w:tabs>
        <w:tab w:val="left" w:pos="360"/>
        <w:tab w:val="clear" w:pos="420"/>
      </w:tabs>
      <w:spacing w:line="580" w:lineRule="exact"/>
      <w:ind w:left="1836" w:hanging="1276" w:firstLineChars="0"/>
      <w:outlineLvl w:val="9"/>
    </w:pPr>
    <w:rPr>
      <w:rFonts w:hint="eastAsia" w:cs="Times New Roman"/>
      <w:bCs/>
      <w:sz w:val="28"/>
      <w:szCs w:val="28"/>
    </w:rPr>
  </w:style>
  <w:style w:type="character" w:customStyle="1" w:styleId="56">
    <w:name w:val="书正文四级标题 Char"/>
    <w:link w:val="53"/>
    <w:qFormat/>
    <w:uiPriority w:val="0"/>
    <w:rPr>
      <w:rFonts w:hint="eastAsia" w:eastAsia="方正仿宋_GB2312" w:cs="Times New Roman"/>
      <w:sz w:val="28"/>
      <w:szCs w:val="28"/>
    </w:rPr>
  </w:style>
  <w:style w:type="character" w:customStyle="1" w:styleId="57">
    <w:name w:val="书正文三级标题 Char"/>
    <w:link w:val="52"/>
    <w:qFormat/>
    <w:uiPriority w:val="0"/>
    <w:rPr>
      <w:rFonts w:ascii="方正仿宋_GB2312" w:hAnsi="方正仿宋_GB2312" w:eastAsia="方正仿宋_GB2312" w:cs="方正仿宋_GB2312"/>
      <w:kern w:val="44"/>
      <w:sz w:val="28"/>
      <w:szCs w:val="28"/>
      <w:lang w:val="en-US" w:eastAsia="zh-CN" w:bidi="ar-SA"/>
    </w:rPr>
  </w:style>
  <w:style w:type="character" w:customStyle="1" w:styleId="58">
    <w:name w:val="书标题1 Char"/>
    <w:link w:val="40"/>
    <w:qFormat/>
    <w:uiPriority w:val="0"/>
    <w:rPr>
      <w:rFonts w:hint="eastAsia" w:ascii="Times New Roman" w:hAnsi="Times New Roman" w:eastAsia="方正仿宋_GB2312" w:cs="Times New Roman"/>
      <w:b/>
      <w:bCs/>
      <w:kern w:val="44"/>
      <w:sz w:val="28"/>
      <w:szCs w:val="44"/>
    </w:rPr>
  </w:style>
  <w:style w:type="character" w:customStyle="1" w:styleId="59">
    <w:name w:val="书正文一级标题 Char"/>
    <w:link w:val="50"/>
    <w:qFormat/>
    <w:uiPriority w:val="0"/>
    <w:rPr>
      <w:rFonts w:eastAsia="方正仿宋_GB2312" w:cs="Times New Roman"/>
      <w:bCs/>
      <w:sz w:val="28"/>
      <w:szCs w:val="28"/>
    </w:rPr>
  </w:style>
  <w:style w:type="character" w:customStyle="1" w:styleId="60">
    <w:name w:val="书正文 Char"/>
    <w:link w:val="45"/>
    <w:qFormat/>
    <w:uiPriority w:val="0"/>
    <w:rPr>
      <w:rFonts w:eastAsia="方正仿宋_GB2312"/>
      <w:bCs/>
      <w:sz w:val="28"/>
      <w:szCs w:val="28"/>
    </w:rPr>
  </w:style>
  <w:style w:type="character" w:customStyle="1" w:styleId="61">
    <w:name w:val="书正文二级标题 Char"/>
    <w:link w:val="49"/>
    <w:qFormat/>
    <w:uiPriority w:val="0"/>
    <w:rPr>
      <w:rFonts w:hint="eastAsia" w:eastAsia="方正仿宋_GB2312" w:cs="方正仿宋_GB2312"/>
      <w:kern w:val="44"/>
      <w:sz w:val="28"/>
      <w:szCs w:val="28"/>
    </w:rPr>
  </w:style>
  <w:style w:type="character" w:customStyle="1" w:styleId="62">
    <w:name w:val="书正文五级标题 Char"/>
    <w:link w:val="55"/>
    <w:qFormat/>
    <w:uiPriority w:val="0"/>
    <w:rPr>
      <w:rFonts w:hint="eastAsia" w:eastAsia="方正仿宋_GB2312" w:cs="Times New Roman"/>
      <w:bCs/>
      <w:sz w:val="28"/>
      <w:szCs w:val="28"/>
    </w:rPr>
  </w:style>
  <w:style w:type="paragraph" w:customStyle="1" w:styleId="63">
    <w:name w:val="目次、标准名称标题"/>
    <w:basedOn w:val="64"/>
    <w:next w:val="34"/>
    <w:qFormat/>
    <w:uiPriority w:val="0"/>
    <w:pPr>
      <w:keepNext/>
      <w:pageBreakBefore/>
      <w:spacing w:line="460" w:lineRule="exact"/>
    </w:pPr>
  </w:style>
  <w:style w:type="paragraph" w:customStyle="1" w:styleId="64">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5">
    <w:name w:val="样式 标题 1 + 非加粗"/>
    <w:basedOn w:val="2"/>
    <w:qFormat/>
    <w:uiPriority w:val="0"/>
    <w:pPr>
      <w:spacing w:before="100" w:beforeLines="100" w:after="100" w:afterLines="100" w:line="240" w:lineRule="auto"/>
    </w:pPr>
    <w:rPr>
      <w:rFonts w:eastAsia="黑体"/>
      <w:bCs w:val="0"/>
      <w:sz w:val="21"/>
    </w:rPr>
  </w:style>
  <w:style w:type="paragraph" w:customStyle="1" w:styleId="66">
    <w:name w:val="附录章标题"/>
    <w:next w:val="34"/>
    <w:qFormat/>
    <w:uiPriority w:val="0"/>
    <w:pPr>
      <w:numPr>
        <w:ilvl w:val="1"/>
        <w:numId w:val="11"/>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styleId="67">
    <w:name w:val="List Paragraph"/>
    <w:basedOn w:val="1"/>
    <w:qFormat/>
    <w:uiPriority w:val="34"/>
    <w:pPr>
      <w:ind w:firstLine="420" w:firstLineChars="200"/>
    </w:pPr>
  </w:style>
  <w:style w:type="paragraph" w:customStyle="1" w:styleId="68">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69">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3999</Words>
  <Characters>4208</Characters>
  <Lines>0</Lines>
  <Paragraphs>0</Paragraphs>
  <TotalTime>3</TotalTime>
  <ScaleCrop>false</ScaleCrop>
  <LinksUpToDate>false</LinksUpToDate>
  <CharactersWithSpaces>4243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2025-09-15T08:45:00Z</dcterms:created>
  <dc:creator>鑫</dc:creator>
  <cp:lastModifiedBy>guoguanglai</cp:lastModifiedBy>
  <dcterms:modified xsi:type="dcterms:W3CDTF">2026-03-04T08:47:15Z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AEC2D9031F3A40A28E47594DD8220E4C_13</vt:lpwstr>
  </property>
  <property fmtid="{D5CDD505-2E9C-101B-9397-08002B2CF9AE}" pid="4" name="KSOTemplateDocerSaveRecord">
    <vt:lpwstr>eyJoZGlkIjoiZGJjYjI5N2EzNTgwNmJhZDcyMzA0ZjY4NzU3NmRkYjQiLCJ1c2VySWQiOiI3NTg2MjIyNTIifQ==</vt:lpwstr>
  </property>
</Properties>
</file>