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BDFBB"/>
  <w:body>
    <w:p w14:paraId="667A7DB0" w14:textId="77777777" w:rsidR="00220B7F" w:rsidRDefault="00000000">
      <w:pPr>
        <w:pStyle w:val="af"/>
        <w:rPr>
          <w:rFonts w:ascii="Times New Roman"/>
        </w:rPr>
      </w:pPr>
      <w:r>
        <w:rPr>
          <w:sz w:val="32"/>
          <w:szCs w:val="32"/>
        </w:rPr>
        <w:tab/>
      </w:r>
      <w:r>
        <w:rPr>
          <w:sz w:val="32"/>
          <w:szCs w:val="32"/>
        </w:rPr>
        <w:tab/>
      </w:r>
      <w:r>
        <w:rPr>
          <w:rFonts w:ascii="Times New Roman"/>
        </w:rPr>
        <w:t>T/CSEE####—XXXX</w:t>
      </w:r>
    </w:p>
    <w:p w14:paraId="0434C386" w14:textId="77777777" w:rsidR="00220B7F" w:rsidRDefault="00220B7F">
      <w:pPr>
        <w:pStyle w:val="ae"/>
        <w:ind w:firstLineChars="0" w:firstLine="0"/>
        <w:jc w:val="center"/>
        <w:rPr>
          <w:rFonts w:ascii="黑体" w:eastAsia="黑体"/>
          <w:sz w:val="32"/>
          <w:szCs w:val="32"/>
        </w:rPr>
      </w:pPr>
    </w:p>
    <w:p w14:paraId="773DA572" w14:textId="77777777" w:rsidR="00220B7F" w:rsidRDefault="00220B7F">
      <w:pPr>
        <w:pStyle w:val="ae"/>
        <w:ind w:firstLineChars="0" w:firstLine="0"/>
        <w:jc w:val="center"/>
        <w:rPr>
          <w:rFonts w:ascii="黑体" w:eastAsia="黑体"/>
          <w:sz w:val="32"/>
          <w:szCs w:val="32"/>
        </w:rPr>
      </w:pPr>
    </w:p>
    <w:p w14:paraId="13010858" w14:textId="77777777" w:rsidR="00220B7F" w:rsidRDefault="00220B7F">
      <w:pPr>
        <w:pStyle w:val="ae"/>
        <w:ind w:firstLineChars="0" w:firstLine="0"/>
        <w:jc w:val="center"/>
        <w:rPr>
          <w:rFonts w:ascii="黑体" w:eastAsia="黑体"/>
          <w:sz w:val="32"/>
          <w:szCs w:val="32"/>
        </w:rPr>
      </w:pPr>
    </w:p>
    <w:p w14:paraId="29A9CA3F" w14:textId="77777777" w:rsidR="00220B7F" w:rsidRDefault="00220B7F">
      <w:pPr>
        <w:pStyle w:val="ae"/>
        <w:ind w:firstLineChars="0" w:firstLine="0"/>
        <w:jc w:val="center"/>
        <w:rPr>
          <w:rFonts w:ascii="黑体" w:eastAsia="黑体"/>
          <w:sz w:val="32"/>
          <w:szCs w:val="32"/>
        </w:rPr>
      </w:pPr>
    </w:p>
    <w:p w14:paraId="71C0A827" w14:textId="77777777" w:rsidR="00220B7F" w:rsidRDefault="00220B7F">
      <w:pPr>
        <w:pStyle w:val="ae"/>
        <w:ind w:firstLineChars="0" w:firstLine="0"/>
        <w:jc w:val="center"/>
        <w:rPr>
          <w:rFonts w:ascii="黑体" w:eastAsia="黑体"/>
          <w:sz w:val="32"/>
          <w:szCs w:val="32"/>
        </w:rPr>
      </w:pPr>
    </w:p>
    <w:p w14:paraId="06FFD523" w14:textId="77777777" w:rsidR="00220B7F" w:rsidRDefault="00000000">
      <w:pPr>
        <w:pStyle w:val="ae"/>
        <w:ind w:firstLineChars="0" w:firstLine="0"/>
        <w:jc w:val="center"/>
        <w:rPr>
          <w:rFonts w:ascii="黑体" w:eastAsia="黑体"/>
          <w:sz w:val="32"/>
          <w:szCs w:val="32"/>
        </w:rPr>
      </w:pPr>
      <w:r>
        <w:rPr>
          <w:rFonts w:ascii="黑体" w:eastAsia="黑体" w:hint="eastAsia"/>
          <w:sz w:val="32"/>
          <w:szCs w:val="32"/>
        </w:rPr>
        <w:t>电力企业二氧化碳捕集、运输、封存及利用过程温室气体排放核算和报告指南</w:t>
      </w:r>
    </w:p>
    <w:p w14:paraId="1FA041A9" w14:textId="77777777" w:rsidR="00220B7F" w:rsidRDefault="00000000">
      <w:pPr>
        <w:pStyle w:val="a"/>
        <w:numPr>
          <w:ilvl w:val="0"/>
          <w:numId w:val="0"/>
        </w:numPr>
        <w:spacing w:before="312" w:after="312"/>
        <w:jc w:val="center"/>
        <w:rPr>
          <w:sz w:val="28"/>
          <w:szCs w:val="28"/>
        </w:rPr>
      </w:pPr>
      <w:bookmarkStart w:id="0" w:name="_Toc298937333"/>
      <w:bookmarkStart w:id="1" w:name="_Toc298937368"/>
      <w:bookmarkStart w:id="2" w:name="_Toc309993200"/>
      <w:bookmarkStart w:id="3" w:name="_Toc320020914"/>
      <w:bookmarkStart w:id="4" w:name="_Toc310002657"/>
      <w:bookmarkStart w:id="5" w:name="_Toc309997060"/>
      <w:bookmarkStart w:id="6" w:name="_Toc304825020"/>
      <w:bookmarkStart w:id="7" w:name="_Toc309994571"/>
      <w:bookmarkStart w:id="8" w:name="_Toc309995492"/>
      <w:bookmarkStart w:id="9" w:name="_Toc500248018"/>
      <w:bookmarkStart w:id="10" w:name="_Toc304828086"/>
      <w:bookmarkStart w:id="11" w:name="_Toc298937620"/>
      <w:bookmarkStart w:id="12" w:name="_Toc298937560"/>
      <w:bookmarkStart w:id="13" w:name="_Toc318613715"/>
      <w:bookmarkStart w:id="14" w:name="_Toc50620361"/>
      <w:bookmarkStart w:id="15" w:name="_Toc298938646"/>
      <w:bookmarkStart w:id="16" w:name="_Toc298938794"/>
      <w:bookmarkStart w:id="17" w:name="_Toc304825093"/>
      <w:bookmarkStart w:id="18" w:name="_Toc309995598"/>
      <w:bookmarkStart w:id="19" w:name="_Toc309995410"/>
      <w:bookmarkStart w:id="20" w:name="_Toc304402675"/>
      <w:bookmarkStart w:id="21" w:name="_Toc304824981"/>
      <w:bookmarkStart w:id="22" w:name="_Toc309996019"/>
      <w:bookmarkStart w:id="23" w:name="_Toc298937430"/>
      <w:bookmarkStart w:id="24" w:name="_Toc298937473"/>
      <w:bookmarkStart w:id="25" w:name="_Toc17901691"/>
      <w:bookmarkStart w:id="26" w:name="_Toc71548717"/>
      <w:r>
        <w:rPr>
          <w:rFonts w:hint="eastAsia"/>
          <w:sz w:val="28"/>
          <w:szCs w:val="28"/>
        </w:rPr>
        <w:t>编 制 说</w:t>
      </w:r>
      <w:bookmarkEnd w:id="0"/>
      <w:bookmarkEnd w:id="1"/>
      <w:r>
        <w:rPr>
          <w:rFonts w:hint="eastAsia"/>
          <w:sz w:val="28"/>
          <w:szCs w:val="28"/>
        </w:rPr>
        <w:t> 明</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203AEBC" w14:textId="77777777" w:rsidR="00220B7F" w:rsidRDefault="00220B7F">
      <w:pPr>
        <w:pStyle w:val="ae"/>
        <w:ind w:firstLine="560"/>
        <w:jc w:val="center"/>
        <w:rPr>
          <w:rFonts w:ascii="黑体" w:eastAsia="黑体"/>
          <w:sz w:val="28"/>
          <w:szCs w:val="28"/>
        </w:rPr>
      </w:pPr>
    </w:p>
    <w:p w14:paraId="425340EE" w14:textId="77777777" w:rsidR="00220B7F" w:rsidRDefault="00220B7F">
      <w:pPr>
        <w:pStyle w:val="ae"/>
        <w:ind w:firstLine="560"/>
        <w:jc w:val="center"/>
        <w:rPr>
          <w:rFonts w:ascii="黑体" w:eastAsia="黑体"/>
          <w:sz w:val="28"/>
          <w:szCs w:val="28"/>
        </w:rPr>
      </w:pPr>
    </w:p>
    <w:p w14:paraId="0EEED41D" w14:textId="77777777" w:rsidR="00220B7F" w:rsidRDefault="00220B7F">
      <w:pPr>
        <w:pStyle w:val="ae"/>
        <w:sectPr w:rsidR="00220B7F">
          <w:footerReference w:type="even" r:id="rId8"/>
          <w:footerReference w:type="default" r:id="rId9"/>
          <w:pgSz w:w="11906" w:h="16838"/>
          <w:pgMar w:top="1440" w:right="1797" w:bottom="1440" w:left="1797" w:header="1418" w:footer="1134" w:gutter="0"/>
          <w:cols w:space="425"/>
          <w:formProt w:val="0"/>
          <w:docGrid w:type="linesAndChars" w:linePitch="312"/>
        </w:sectPr>
      </w:pPr>
    </w:p>
    <w:p w14:paraId="7B4C145A" w14:textId="77777777" w:rsidR="00220B7F" w:rsidRDefault="00000000">
      <w:pPr>
        <w:pStyle w:val="af0"/>
      </w:pPr>
      <w:bookmarkStart w:id="27" w:name="_Toc309992160"/>
      <w:bookmarkStart w:id="28" w:name="_Toc18925"/>
      <w:bookmarkStart w:id="29" w:name="_Toc17902082"/>
      <w:bookmarkStart w:id="30" w:name="_Toc17901692"/>
      <w:bookmarkStart w:id="31" w:name="_Toc20296667"/>
      <w:bookmarkStart w:id="32" w:name="_Toc44600861"/>
      <w:bookmarkStart w:id="33" w:name="_Toc50620362"/>
      <w:bookmarkStart w:id="34" w:name="_Toc500248019"/>
      <w:bookmarkStart w:id="35" w:name="_Toc71548718"/>
      <w:r>
        <w:rPr>
          <w:rFonts w:hint="eastAsia"/>
        </w:rPr>
        <w:lastRenderedPageBreak/>
        <w:t xml:space="preserve">目 </w:t>
      </w:r>
      <w:r>
        <w:t xml:space="preserve"> </w:t>
      </w:r>
      <w:r>
        <w:rPr>
          <w:rFonts w:hint="eastAsia"/>
        </w:rPr>
        <w:t>次</w:t>
      </w:r>
      <w:bookmarkEnd w:id="27"/>
      <w:bookmarkEnd w:id="28"/>
      <w:bookmarkEnd w:id="29"/>
      <w:bookmarkEnd w:id="30"/>
      <w:bookmarkEnd w:id="31"/>
      <w:bookmarkEnd w:id="32"/>
      <w:bookmarkEnd w:id="33"/>
      <w:bookmarkEnd w:id="34"/>
      <w:bookmarkEnd w:id="35"/>
    </w:p>
    <w:p w14:paraId="30B5CD43" w14:textId="77777777" w:rsidR="00220B7F" w:rsidRDefault="00000000">
      <w:pPr>
        <w:pStyle w:val="TOC1"/>
      </w:pPr>
      <w:r>
        <w:rPr>
          <w:rFonts w:hAnsi="宋体"/>
        </w:rPr>
        <w:fldChar w:fldCharType="begin"/>
      </w:r>
      <w:r>
        <w:rPr>
          <w:rFonts w:hAnsi="宋体"/>
        </w:rPr>
        <w:instrText xml:space="preserve"> </w:instrText>
      </w:r>
      <w:r>
        <w:rPr>
          <w:rFonts w:hAnsi="宋体" w:hint="eastAsia"/>
        </w:rPr>
        <w:instrText>TOC \o "1-1" \h \z \u</w:instrText>
      </w:r>
      <w:r>
        <w:rPr>
          <w:rFonts w:hAnsi="宋体"/>
        </w:rPr>
        <w:instrText xml:space="preserve"> </w:instrText>
      </w:r>
      <w:r>
        <w:rPr>
          <w:rFonts w:hAnsi="宋体"/>
        </w:rPr>
        <w:fldChar w:fldCharType="separate"/>
      </w:r>
      <w:hyperlink w:anchor="_Toc17902083" w:history="1">
        <w:r>
          <w:rPr>
            <w:rStyle w:val="ad"/>
            <w:rFonts w:hAnsi="宋体"/>
          </w:rPr>
          <w:t xml:space="preserve">1 </w:t>
        </w:r>
        <w:r>
          <w:rPr>
            <w:rStyle w:val="ad"/>
            <w:rFonts w:hAnsi="宋体"/>
          </w:rPr>
          <w:t>编制背景</w:t>
        </w:r>
        <w:r>
          <w:tab/>
        </w:r>
        <w:r>
          <w:fldChar w:fldCharType="begin"/>
        </w:r>
        <w:r>
          <w:instrText xml:space="preserve"> PAGEREF _Toc17902083 \h </w:instrText>
        </w:r>
        <w:r>
          <w:fldChar w:fldCharType="separate"/>
        </w:r>
        <w:r>
          <w:t>1</w:t>
        </w:r>
        <w:r>
          <w:fldChar w:fldCharType="end"/>
        </w:r>
      </w:hyperlink>
    </w:p>
    <w:p w14:paraId="499053E3" w14:textId="77777777" w:rsidR="00220B7F" w:rsidRDefault="00000000">
      <w:pPr>
        <w:pStyle w:val="TOC1"/>
        <w:rPr>
          <w:rFonts w:asciiTheme="minorHAnsi" w:eastAsiaTheme="minorEastAsia" w:hAnsiTheme="minorHAnsi" w:cstheme="minorBidi" w:hint="eastAsia"/>
          <w:szCs w:val="22"/>
        </w:rPr>
      </w:pPr>
      <w:hyperlink w:anchor="_Toc17902084" w:history="1">
        <w:r>
          <w:rPr>
            <w:rStyle w:val="ad"/>
            <w:rFonts w:hAnsi="宋体" w:hint="eastAsia"/>
          </w:rPr>
          <w:t>2</w:t>
        </w:r>
        <w:r>
          <w:rPr>
            <w:rStyle w:val="ad"/>
            <w:rFonts w:hAnsi="宋体"/>
          </w:rPr>
          <w:t xml:space="preserve"> </w:t>
        </w:r>
        <w:r>
          <w:rPr>
            <w:rStyle w:val="ad"/>
            <w:rFonts w:hAnsi="宋体" w:hint="eastAsia"/>
          </w:rPr>
          <w:t>编制主要原则</w:t>
        </w:r>
        <w:r>
          <w:tab/>
        </w:r>
        <w:r>
          <w:fldChar w:fldCharType="begin"/>
        </w:r>
        <w:r>
          <w:instrText xml:space="preserve"> PAGEREF _Toc17902084 \h </w:instrText>
        </w:r>
        <w:r>
          <w:fldChar w:fldCharType="separate"/>
        </w:r>
        <w:r>
          <w:t>1</w:t>
        </w:r>
        <w:r>
          <w:fldChar w:fldCharType="end"/>
        </w:r>
      </w:hyperlink>
    </w:p>
    <w:p w14:paraId="40EF0F6B" w14:textId="77777777" w:rsidR="00220B7F" w:rsidRDefault="00000000">
      <w:pPr>
        <w:pStyle w:val="TOC1"/>
        <w:rPr>
          <w:rFonts w:asciiTheme="minorHAnsi" w:eastAsiaTheme="minorEastAsia" w:hAnsiTheme="minorHAnsi" w:cstheme="minorBidi" w:hint="eastAsia"/>
          <w:szCs w:val="22"/>
        </w:rPr>
      </w:pPr>
      <w:hyperlink w:anchor="_Toc17902084" w:history="1">
        <w:r>
          <w:rPr>
            <w:rStyle w:val="ad"/>
            <w:rFonts w:hAnsi="宋体"/>
          </w:rPr>
          <w:t xml:space="preserve">3 </w:t>
        </w:r>
        <w:r>
          <w:rPr>
            <w:rStyle w:val="ad"/>
            <w:rFonts w:hAnsi="宋体"/>
          </w:rPr>
          <w:t>与其他标准文件的关系</w:t>
        </w:r>
        <w:r>
          <w:tab/>
        </w:r>
        <w:r>
          <w:fldChar w:fldCharType="begin"/>
        </w:r>
        <w:r>
          <w:instrText xml:space="preserve"> PAGEREF _Toc17902084 \h </w:instrText>
        </w:r>
        <w:r>
          <w:fldChar w:fldCharType="separate"/>
        </w:r>
        <w:r>
          <w:t>1</w:t>
        </w:r>
        <w:r>
          <w:fldChar w:fldCharType="end"/>
        </w:r>
      </w:hyperlink>
    </w:p>
    <w:p w14:paraId="2E2F618D" w14:textId="77777777" w:rsidR="00220B7F" w:rsidRDefault="00000000">
      <w:pPr>
        <w:pStyle w:val="TOC1"/>
        <w:rPr>
          <w:rFonts w:asciiTheme="minorHAnsi" w:eastAsiaTheme="minorEastAsia" w:hAnsiTheme="minorHAnsi" w:cstheme="minorBidi" w:hint="eastAsia"/>
          <w:szCs w:val="22"/>
        </w:rPr>
      </w:pPr>
      <w:hyperlink w:anchor="_Toc17902085" w:history="1">
        <w:r>
          <w:rPr>
            <w:rStyle w:val="ad"/>
            <w:rFonts w:hAnsi="宋体"/>
          </w:rPr>
          <w:t xml:space="preserve">4 </w:t>
        </w:r>
        <w:r>
          <w:rPr>
            <w:rStyle w:val="ad"/>
            <w:rFonts w:hAnsi="宋体"/>
          </w:rPr>
          <w:t>主要工作过程</w:t>
        </w:r>
        <w:r>
          <w:tab/>
          <w:t>2</w:t>
        </w:r>
      </w:hyperlink>
    </w:p>
    <w:p w14:paraId="6ABE245A" w14:textId="77777777" w:rsidR="00220B7F" w:rsidRDefault="00000000">
      <w:pPr>
        <w:pStyle w:val="TOC1"/>
        <w:rPr>
          <w:rFonts w:asciiTheme="minorHAnsi" w:eastAsiaTheme="minorEastAsia" w:hAnsiTheme="minorHAnsi" w:cstheme="minorBidi" w:hint="eastAsia"/>
          <w:szCs w:val="22"/>
        </w:rPr>
      </w:pPr>
      <w:hyperlink w:anchor="_Toc17902086" w:history="1">
        <w:r>
          <w:rPr>
            <w:rStyle w:val="ad"/>
            <w:rFonts w:hAnsi="宋体"/>
          </w:rPr>
          <w:t>5</w:t>
        </w:r>
        <w:r>
          <w:rPr>
            <w:rStyle w:val="ad"/>
          </w:rPr>
          <w:t xml:space="preserve"> </w:t>
        </w:r>
        <w:r>
          <w:rPr>
            <w:rStyle w:val="ad"/>
          </w:rPr>
          <w:t>标准结构和内容</w:t>
        </w:r>
        <w:r>
          <w:tab/>
        </w:r>
        <w:r>
          <w:rPr>
            <w:rFonts w:hint="eastAsia"/>
          </w:rPr>
          <w:t>3</w:t>
        </w:r>
      </w:hyperlink>
    </w:p>
    <w:p w14:paraId="1B859180" w14:textId="77777777" w:rsidR="00220B7F" w:rsidRDefault="00000000">
      <w:pPr>
        <w:pStyle w:val="TOC1"/>
        <w:rPr>
          <w:rFonts w:asciiTheme="minorHAnsi" w:eastAsiaTheme="minorEastAsia" w:hAnsiTheme="minorHAnsi" w:cstheme="minorBidi" w:hint="eastAsia"/>
          <w:szCs w:val="22"/>
        </w:rPr>
      </w:pPr>
      <w:hyperlink w:anchor="_Toc17902087" w:history="1">
        <w:r>
          <w:rPr>
            <w:rStyle w:val="ad"/>
            <w:rFonts w:hAnsi="宋体"/>
          </w:rPr>
          <w:t>6</w:t>
        </w:r>
        <w:r>
          <w:rPr>
            <w:rStyle w:val="ad"/>
          </w:rPr>
          <w:t xml:space="preserve"> </w:t>
        </w:r>
        <w:r>
          <w:rPr>
            <w:rStyle w:val="ad"/>
          </w:rPr>
          <w:t>条文说明</w:t>
        </w:r>
        <w:r>
          <w:tab/>
        </w:r>
        <w:r>
          <w:rPr>
            <w:rFonts w:hint="eastAsia"/>
          </w:rPr>
          <w:t>3</w:t>
        </w:r>
      </w:hyperlink>
    </w:p>
    <w:p w14:paraId="6E2B9830" w14:textId="77777777" w:rsidR="00220B7F" w:rsidRDefault="00000000">
      <w:pPr>
        <w:pStyle w:val="ae"/>
        <w:rPr>
          <w:rFonts w:hAnsi="宋体" w:hint="eastAsia"/>
          <w:szCs w:val="21"/>
        </w:rPr>
        <w:sectPr w:rsidR="00220B7F">
          <w:headerReference w:type="default" r:id="rId10"/>
          <w:footerReference w:type="default" r:id="rId11"/>
          <w:pgSz w:w="11906" w:h="16838"/>
          <w:pgMar w:top="567" w:right="1134" w:bottom="1134" w:left="1417" w:header="1418" w:footer="1134" w:gutter="0"/>
          <w:pgNumType w:fmt="upperRoman" w:start="1"/>
          <w:cols w:space="425"/>
          <w:formProt w:val="0"/>
          <w:docGrid w:type="linesAndChars" w:linePitch="312"/>
        </w:sectPr>
      </w:pPr>
      <w:r>
        <w:rPr>
          <w:rFonts w:hAnsi="宋体"/>
          <w:szCs w:val="21"/>
        </w:rPr>
        <w:fldChar w:fldCharType="end"/>
      </w:r>
    </w:p>
    <w:p w14:paraId="197A6E96" w14:textId="77777777" w:rsidR="00220B7F" w:rsidRDefault="00000000">
      <w:pPr>
        <w:pStyle w:val="11"/>
        <w:spacing w:before="312" w:after="312"/>
        <w:rPr>
          <w:rFonts w:ascii="黑体" w:hAnsi="黑体" w:cs="黑体" w:hint="eastAsia"/>
          <w:szCs w:val="21"/>
        </w:rPr>
      </w:pPr>
      <w:bookmarkStart w:id="36" w:name="_Toc17901693"/>
      <w:bookmarkStart w:id="37" w:name="_Toc50620363"/>
      <w:bookmarkStart w:id="38" w:name="_Toc71548719"/>
      <w:bookmarkStart w:id="39" w:name="_Toc500248020"/>
      <w:bookmarkStart w:id="40" w:name="_Toc17902083"/>
      <w:bookmarkStart w:id="41" w:name="_Toc44600862"/>
      <w:bookmarkStart w:id="42" w:name="_Toc20296668"/>
      <w:bookmarkStart w:id="43" w:name="_Toc13244"/>
      <w:r>
        <w:rPr>
          <w:rFonts w:ascii="黑体" w:hAnsi="黑体" w:cs="黑体" w:hint="eastAsia"/>
          <w:szCs w:val="21"/>
        </w:rPr>
        <w:lastRenderedPageBreak/>
        <w:t>1 编制背景</w:t>
      </w:r>
      <w:bookmarkEnd w:id="36"/>
      <w:bookmarkEnd w:id="37"/>
      <w:bookmarkEnd w:id="38"/>
      <w:bookmarkEnd w:id="39"/>
      <w:bookmarkEnd w:id="40"/>
      <w:bookmarkEnd w:id="41"/>
      <w:bookmarkEnd w:id="42"/>
      <w:bookmarkEnd w:id="43"/>
    </w:p>
    <w:p w14:paraId="08F141CB" w14:textId="77777777" w:rsidR="00220B7F" w:rsidRDefault="00000000">
      <w:pPr>
        <w:pStyle w:val="ae"/>
      </w:pPr>
      <w:r>
        <w:rPr>
          <w:rFonts w:hint="eastAsia"/>
        </w:rPr>
        <w:t>《</w:t>
      </w:r>
      <w:r>
        <w:t>IPCC</w:t>
      </w:r>
      <w:r>
        <w:rPr>
          <w:rFonts w:hint="eastAsia"/>
        </w:rPr>
        <w:t>全球升温1.5℃特别报告》中指出为保证全球升温不超过1.5℃，</w:t>
      </w:r>
      <w:r>
        <w:t>碳捕集、利用与封存技术（CCUS，Carbon Capture, Utilization and Storage）被寄予厚望</w:t>
      </w:r>
      <w:r>
        <w:rPr>
          <w:rFonts w:hint="eastAsia"/>
        </w:rPr>
        <w:t>，是目前减少碳排放的重要方法之一。</w:t>
      </w:r>
    </w:p>
    <w:p w14:paraId="2A75BF4C" w14:textId="77777777" w:rsidR="00220B7F" w:rsidRDefault="00000000">
      <w:pPr>
        <w:pStyle w:val="ae"/>
        <w:rPr>
          <w:rFonts w:ascii="Times New Roman"/>
        </w:rPr>
      </w:pPr>
      <w:r>
        <w:rPr>
          <w:rFonts w:hint="eastAsia"/>
        </w:rPr>
        <w:t>2020年9月22日，中国向国际社会宣布了2030年前碳排放达峰目标，以及努力争取2060年前碳中和的愿景，但中国“富煤，贫油，少气”的能源结构，短期内煤炭的“压舱石”地位很难改变。据清华大学研究，到2</w:t>
      </w:r>
      <w:r>
        <w:t>050</w:t>
      </w:r>
      <w:r>
        <w:rPr>
          <w:rFonts w:hint="eastAsia"/>
        </w:rPr>
        <w:t>年我国仍存在能源二氧化碳排放约1</w:t>
      </w:r>
      <w:r>
        <w:t>4.7</w:t>
      </w:r>
      <w:r>
        <w:rPr>
          <w:rFonts w:hint="eastAsia"/>
        </w:rPr>
        <w:t>亿吨，工业过程2</w:t>
      </w:r>
      <w:r>
        <w:t>.5</w:t>
      </w:r>
      <w:r>
        <w:rPr>
          <w:rFonts w:hint="eastAsia"/>
        </w:rPr>
        <w:t>亿吨，该部分排放将通过C</w:t>
      </w:r>
      <w:r>
        <w:t>CUS</w:t>
      </w:r>
      <w:r>
        <w:rPr>
          <w:rFonts w:hint="eastAsia"/>
        </w:rPr>
        <w:t>清</w:t>
      </w:r>
      <w:r>
        <w:rPr>
          <w:rFonts w:ascii="Times New Roman"/>
        </w:rPr>
        <w:t>除</w:t>
      </w:r>
      <w:r>
        <w:rPr>
          <w:rFonts w:ascii="Times New Roman"/>
        </w:rPr>
        <w:t>8.8</w:t>
      </w:r>
      <w:r>
        <w:rPr>
          <w:rFonts w:ascii="Times New Roman"/>
        </w:rPr>
        <w:t>亿吨，</w:t>
      </w:r>
      <w:proofErr w:type="gramStart"/>
      <w:r>
        <w:rPr>
          <w:rFonts w:ascii="Times New Roman"/>
        </w:rPr>
        <w:t>碳汇清除</w:t>
      </w:r>
      <w:proofErr w:type="gramEnd"/>
      <w:r>
        <w:rPr>
          <w:rFonts w:ascii="Times New Roman"/>
        </w:rPr>
        <w:t>7.8</w:t>
      </w:r>
      <w:r>
        <w:rPr>
          <w:rFonts w:ascii="Times New Roman"/>
        </w:rPr>
        <w:t>亿吨。可见</w:t>
      </w:r>
      <w:r>
        <w:rPr>
          <w:rFonts w:ascii="Times New Roman"/>
        </w:rPr>
        <w:t>CCUS</w:t>
      </w:r>
      <w:r>
        <w:rPr>
          <w:rFonts w:ascii="Times New Roman"/>
        </w:rPr>
        <w:t>技术是实现碳</w:t>
      </w:r>
      <w:proofErr w:type="gramStart"/>
      <w:r>
        <w:rPr>
          <w:rFonts w:ascii="Times New Roman"/>
        </w:rPr>
        <w:t>中和愿景一项</w:t>
      </w:r>
      <w:proofErr w:type="gramEnd"/>
      <w:r>
        <w:rPr>
          <w:rFonts w:ascii="Times New Roman"/>
        </w:rPr>
        <w:t>十分重要的减排技术，随着技术不断成熟，经济</w:t>
      </w:r>
      <w:r>
        <w:rPr>
          <w:rFonts w:hint="eastAsia"/>
        </w:rPr>
        <w:t>性逐步提高，在中长期将迎来规模化的部署。</w:t>
      </w:r>
    </w:p>
    <w:p w14:paraId="02388315" w14:textId="77777777" w:rsidR="00220B7F" w:rsidRDefault="00000000">
      <w:pPr>
        <w:ind w:firstLine="560"/>
      </w:pPr>
      <w:r>
        <w:rPr>
          <w:rFonts w:hint="eastAsia"/>
        </w:rPr>
        <w:t>CCUS</w:t>
      </w:r>
      <w:r>
        <w:rPr>
          <w:rFonts w:hint="eastAsia"/>
        </w:rPr>
        <w:t>技术作为一项重要</w:t>
      </w:r>
      <w:proofErr w:type="gramStart"/>
      <w:r>
        <w:rPr>
          <w:rFonts w:hint="eastAsia"/>
        </w:rPr>
        <w:t>的碳减排</w:t>
      </w:r>
      <w:proofErr w:type="gramEnd"/>
      <w:r>
        <w:rPr>
          <w:rFonts w:hint="eastAsia"/>
        </w:rPr>
        <w:t>技术，截至目前仍没有一项标准或指南可准确核算其各流程减排效果，一定程度上阻碍了</w:t>
      </w:r>
      <w:r>
        <w:rPr>
          <w:rFonts w:hint="eastAsia"/>
        </w:rPr>
        <w:t>CCUS</w:t>
      </w:r>
      <w:r>
        <w:rPr>
          <w:rFonts w:hint="eastAsia"/>
        </w:rPr>
        <w:t>技术的深入推进。</w:t>
      </w:r>
      <w:r>
        <w:rPr>
          <w:rFonts w:hint="eastAsia"/>
        </w:rPr>
        <w:t>2017</w:t>
      </w:r>
      <w:r>
        <w:rPr>
          <w:rFonts w:hint="eastAsia"/>
        </w:rPr>
        <w:t>年，国家已经明确将发电企业纳入</w:t>
      </w:r>
      <w:proofErr w:type="gramStart"/>
      <w:r>
        <w:rPr>
          <w:rFonts w:hint="eastAsia"/>
        </w:rPr>
        <w:t>全国碳排放权</w:t>
      </w:r>
      <w:proofErr w:type="gramEnd"/>
      <w:r>
        <w:rPr>
          <w:rFonts w:hint="eastAsia"/>
        </w:rPr>
        <w:t>交易市场，并将逐步扩大行业范围。未来企业欲实现“碳达峰、碳中和”目标，将采用</w:t>
      </w:r>
      <w:r>
        <w:rPr>
          <w:rFonts w:hint="eastAsia"/>
        </w:rPr>
        <w:t>CC</w:t>
      </w:r>
      <w:r>
        <w:t>U</w:t>
      </w:r>
      <w:r>
        <w:rPr>
          <w:rFonts w:hint="eastAsia"/>
        </w:rPr>
        <w:t>S</w:t>
      </w:r>
      <w:r>
        <w:rPr>
          <w:rFonts w:hint="eastAsia"/>
        </w:rPr>
        <w:t>技术减排企业温室气体，进而大幅降低企业的碳排放水平，因此形成由需求拉动的良性发展模式。然而，现阶段国家发展改革委颁布的</w:t>
      </w:r>
      <w:r>
        <w:rPr>
          <w:rFonts w:hint="eastAsia"/>
        </w:rPr>
        <w:t>24</w:t>
      </w:r>
      <w:r>
        <w:rPr>
          <w:rFonts w:hint="eastAsia"/>
        </w:rPr>
        <w:t>个重点行业的温室气体排放核算和报告指南，没有关于二氧化碳在捕集、运输、利用、封存不同阶段的温室气体排放量化方法的详细规定。虽然在国外已有一些对于</w:t>
      </w:r>
      <w:r>
        <w:rPr>
          <w:rFonts w:hint="eastAsia"/>
        </w:rPr>
        <w:t>CCUS</w:t>
      </w:r>
      <w:r>
        <w:rPr>
          <w:rFonts w:hint="eastAsia"/>
        </w:rPr>
        <w:t>全流程碳排放核算方法的初步研究，例如</w:t>
      </w:r>
      <w:r>
        <w:rPr>
          <w:rFonts w:hint="eastAsia"/>
        </w:rPr>
        <w:t>IPCC 2006</w:t>
      </w:r>
      <w:r>
        <w:rPr>
          <w:rFonts w:hint="eastAsia"/>
        </w:rPr>
        <w:t>、</w:t>
      </w:r>
      <w:r>
        <w:rPr>
          <w:rFonts w:hint="eastAsia"/>
        </w:rPr>
        <w:t>ISO/TR 27915-2017</w:t>
      </w:r>
      <w:r>
        <w:rPr>
          <w:rFonts w:hint="eastAsia"/>
        </w:rPr>
        <w:t>、欧盟监测和报告温室气体排放条例、加州温室气体排放强制报告条例以及澳大利亚温室气体核算指南等有涉及</w:t>
      </w:r>
      <w:r>
        <w:rPr>
          <w:rFonts w:hint="eastAsia"/>
        </w:rPr>
        <w:t>CCUS</w:t>
      </w:r>
      <w:r>
        <w:rPr>
          <w:rFonts w:hint="eastAsia"/>
        </w:rPr>
        <w:t>相关的核算内容，但在电力设施涉及</w:t>
      </w:r>
      <w:r>
        <w:rPr>
          <w:rFonts w:hint="eastAsia"/>
        </w:rPr>
        <w:t>C</w:t>
      </w:r>
      <w:r>
        <w:t>CUS</w:t>
      </w:r>
      <w:r>
        <w:rPr>
          <w:rFonts w:hint="eastAsia"/>
        </w:rPr>
        <w:t>的情景中尚存在一些问题，主要问题在于：</w:t>
      </w:r>
      <w:r>
        <w:rPr>
          <w:rFonts w:hint="eastAsia"/>
        </w:rPr>
        <w:t>1</w:t>
      </w:r>
      <w:r>
        <w:rPr>
          <w:rFonts w:hint="eastAsia"/>
        </w:rPr>
        <w:t>）覆盖环节不完整，普遍缺乏对利用环节碳排放核算方法的研究；</w:t>
      </w:r>
      <w:r>
        <w:rPr>
          <w:rFonts w:hint="eastAsia"/>
        </w:rPr>
        <w:t>2</w:t>
      </w:r>
      <w:r>
        <w:rPr>
          <w:rFonts w:hint="eastAsia"/>
        </w:rPr>
        <w:t>）核算边界不明确，没有对核算边界做出易于判断的界定，更没有针对电力企业的碳捕集活动的边界和排放源给出清晰的界定；</w:t>
      </w:r>
      <w:r>
        <w:t>3</w:t>
      </w:r>
      <w:r>
        <w:rPr>
          <w:rFonts w:hint="eastAsia"/>
        </w:rPr>
        <w:t>）核算方法不具体，国际上现有的技术方法没有对于每一项排放源都给出详细具体的核算公式，对于公式中参数的含义也存在不明确的地方。上述问题导致国际标准尚不能直接用于指导我国</w:t>
      </w:r>
      <w:r>
        <w:t>CCUS</w:t>
      </w:r>
      <w:r>
        <w:rPr>
          <w:rFonts w:hint="eastAsia"/>
        </w:rPr>
        <w:t>产业链中的企业开展二氧化碳排放核算工作。</w:t>
      </w:r>
    </w:p>
    <w:p w14:paraId="4D096025" w14:textId="77777777" w:rsidR="00220B7F" w:rsidRDefault="00000000">
      <w:pPr>
        <w:pStyle w:val="ae"/>
      </w:pPr>
      <w:r>
        <w:rPr>
          <w:rFonts w:hint="eastAsia"/>
        </w:rPr>
        <w:t>综上，技术进步迫切需求形成电力企业二氧化碳捕集、运输、封存及利用过程温室气体排放核算和报告指南，对后续采用</w:t>
      </w:r>
      <w:r>
        <w:t>CCUS</w:t>
      </w:r>
      <w:r>
        <w:rPr>
          <w:rFonts w:hint="eastAsia"/>
        </w:rPr>
        <w:t>技术的电力企业及相关企业提供减排量的量化十分必要。</w:t>
      </w:r>
    </w:p>
    <w:p w14:paraId="7BBA4907" w14:textId="77777777" w:rsidR="00220B7F" w:rsidRDefault="00000000">
      <w:pPr>
        <w:pStyle w:val="ae"/>
        <w:rPr>
          <w:rFonts w:ascii="Times New Roman"/>
        </w:rPr>
      </w:pPr>
      <w:r>
        <w:rPr>
          <w:rFonts w:hint="eastAsia"/>
        </w:rPr>
        <w:t>本标准研究形成电力企业</w:t>
      </w:r>
      <w:r>
        <w:t>CCUS</w:t>
      </w:r>
      <w:r>
        <w:rPr>
          <w:rFonts w:hint="eastAsia"/>
        </w:rPr>
        <w:t>全流程的温室气体排放核算方法，准确量化</w:t>
      </w:r>
      <w:r>
        <w:t>CCUS</w:t>
      </w:r>
      <w:r>
        <w:rPr>
          <w:rFonts w:hint="eastAsia"/>
        </w:rPr>
        <w:t>技术的减排效果，电力企业在</w:t>
      </w:r>
      <w:proofErr w:type="gramStart"/>
      <w:r>
        <w:rPr>
          <w:rFonts w:hint="eastAsia"/>
        </w:rPr>
        <w:t>碳市场</w:t>
      </w:r>
      <w:proofErr w:type="gramEnd"/>
      <w:r>
        <w:rPr>
          <w:rFonts w:hint="eastAsia"/>
        </w:rPr>
        <w:t>中即可依据可靠的核算方法扣减实施</w:t>
      </w:r>
      <w:r>
        <w:t>CCUS</w:t>
      </w:r>
      <w:r>
        <w:rPr>
          <w:rFonts w:hint="eastAsia"/>
        </w:rPr>
        <w:t>技术的减排量，从而可以在</w:t>
      </w:r>
      <w:proofErr w:type="gramStart"/>
      <w:r>
        <w:rPr>
          <w:rFonts w:hint="eastAsia"/>
        </w:rPr>
        <w:t>碳市场</w:t>
      </w:r>
      <w:proofErr w:type="gramEnd"/>
      <w:r>
        <w:rPr>
          <w:rFonts w:hint="eastAsia"/>
        </w:rPr>
        <w:t>中交易盈余碳配额获利，达到降低</w:t>
      </w:r>
      <w:r>
        <w:t>CCUS</w:t>
      </w:r>
      <w:r>
        <w:rPr>
          <w:rFonts w:hint="eastAsia"/>
        </w:rPr>
        <w:t>技术成本的目的。形成良性循环后将吸引更多燃煤电厂实施</w:t>
      </w:r>
      <w:r>
        <w:t>CCUS</w:t>
      </w:r>
      <w:r>
        <w:rPr>
          <w:rFonts w:hint="eastAsia"/>
        </w:rPr>
        <w:t>技术，加快我国电力行业的减排进程，助力实现</w:t>
      </w:r>
      <w:proofErr w:type="gramStart"/>
      <w:r>
        <w:rPr>
          <w:rFonts w:hint="eastAsia"/>
        </w:rPr>
        <w:t>碳达峰碳中和愿景</w:t>
      </w:r>
      <w:proofErr w:type="gramEnd"/>
      <w:r>
        <w:rPr>
          <w:rFonts w:hint="eastAsia"/>
        </w:rPr>
        <w:t>目标。</w:t>
      </w:r>
    </w:p>
    <w:p w14:paraId="34907D5E" w14:textId="77777777" w:rsidR="00220B7F" w:rsidRDefault="00000000">
      <w:pPr>
        <w:pStyle w:val="11"/>
        <w:spacing w:before="312" w:after="312"/>
        <w:rPr>
          <w:rFonts w:ascii="宋体" w:hAnsi="宋体" w:hint="eastAsia"/>
          <w:szCs w:val="21"/>
        </w:rPr>
      </w:pPr>
      <w:bookmarkStart w:id="44" w:name="_Toc500248021"/>
      <w:bookmarkStart w:id="45" w:name="_Toc20296669"/>
      <w:bookmarkStart w:id="46" w:name="_Toc17901694"/>
      <w:bookmarkStart w:id="47" w:name="_Toc26131"/>
      <w:bookmarkStart w:id="48" w:name="_Toc44600863"/>
      <w:bookmarkStart w:id="49" w:name="_Toc50620364"/>
      <w:bookmarkStart w:id="50" w:name="_Toc71548720"/>
      <w:r>
        <w:rPr>
          <w:rFonts w:ascii="黑体" w:hAnsi="黑体" w:hint="eastAsia"/>
          <w:szCs w:val="21"/>
        </w:rPr>
        <w:t>2</w:t>
      </w:r>
      <w:r>
        <w:rPr>
          <w:rFonts w:ascii="宋体" w:hAnsi="宋体"/>
          <w:szCs w:val="21"/>
        </w:rPr>
        <w:t xml:space="preserve"> </w:t>
      </w:r>
      <w:r>
        <w:rPr>
          <w:rFonts w:ascii="宋体" w:hAnsi="宋体" w:hint="eastAsia"/>
          <w:szCs w:val="21"/>
        </w:rPr>
        <w:t>编制主要原则</w:t>
      </w:r>
      <w:bookmarkEnd w:id="44"/>
      <w:bookmarkEnd w:id="45"/>
      <w:bookmarkEnd w:id="46"/>
      <w:bookmarkEnd w:id="47"/>
      <w:bookmarkEnd w:id="48"/>
      <w:bookmarkEnd w:id="49"/>
      <w:bookmarkEnd w:id="50"/>
    </w:p>
    <w:p w14:paraId="26264150" w14:textId="77777777" w:rsidR="00220B7F" w:rsidRDefault="00000000">
      <w:pPr>
        <w:widowControl/>
        <w:tabs>
          <w:tab w:val="center" w:pos="4201"/>
          <w:tab w:val="right" w:leader="dot" w:pos="9298"/>
        </w:tabs>
        <w:autoSpaceDE w:val="0"/>
        <w:autoSpaceDN w:val="0"/>
        <w:ind w:firstLine="420"/>
        <w:rPr>
          <w:kern w:val="0"/>
        </w:rPr>
      </w:pPr>
      <w:r>
        <w:rPr>
          <w:rFonts w:hint="eastAsia"/>
          <w:kern w:val="0"/>
        </w:rPr>
        <w:t>本文件的编制</w:t>
      </w:r>
      <w:r>
        <w:rPr>
          <w:kern w:val="0"/>
        </w:rPr>
        <w:t>按照</w:t>
      </w:r>
      <w:r>
        <w:rPr>
          <w:rFonts w:hint="eastAsia"/>
          <w:kern w:val="0"/>
        </w:rPr>
        <w:t>GB/T 1.1</w:t>
      </w:r>
      <w:r>
        <w:rPr>
          <w:rFonts w:hint="eastAsia"/>
          <w:kern w:val="0"/>
        </w:rPr>
        <w:t>—</w:t>
      </w:r>
      <w:r>
        <w:rPr>
          <w:rFonts w:hint="eastAsia"/>
          <w:kern w:val="0"/>
        </w:rPr>
        <w:t>2020</w:t>
      </w:r>
      <w:r>
        <w:rPr>
          <w:rFonts w:hint="eastAsia"/>
          <w:kern w:val="0"/>
        </w:rPr>
        <w:t>《标准化工作导则第</w:t>
      </w:r>
      <w:r>
        <w:rPr>
          <w:rFonts w:hint="eastAsia"/>
          <w:kern w:val="0"/>
        </w:rPr>
        <w:t>1</w:t>
      </w:r>
      <w:r>
        <w:rPr>
          <w:rFonts w:hint="eastAsia"/>
          <w:kern w:val="0"/>
        </w:rPr>
        <w:t>部分：标准化文件的结构和起草规则》</w:t>
      </w:r>
      <w:r>
        <w:rPr>
          <w:kern w:val="0"/>
        </w:rPr>
        <w:t>的总体目标要求</w:t>
      </w:r>
      <w:r>
        <w:rPr>
          <w:rFonts w:hint="eastAsia"/>
          <w:kern w:val="0"/>
        </w:rPr>
        <w:t>，即</w:t>
      </w:r>
      <w:r>
        <w:rPr>
          <w:kern w:val="0"/>
        </w:rPr>
        <w:t>：统一性、协调性、适应性、一致性、规范性</w:t>
      </w:r>
      <w:r>
        <w:rPr>
          <w:rFonts w:hint="eastAsia"/>
          <w:kern w:val="0"/>
        </w:rPr>
        <w:t>而进行编制</w:t>
      </w:r>
      <w:r>
        <w:rPr>
          <w:kern w:val="0"/>
        </w:rPr>
        <w:t>，</w:t>
      </w:r>
      <w:r>
        <w:rPr>
          <w:rFonts w:hint="eastAsia"/>
          <w:kern w:val="0"/>
        </w:rPr>
        <w:t>原则</w:t>
      </w:r>
      <w:r>
        <w:rPr>
          <w:kern w:val="0"/>
        </w:rPr>
        <w:t>要点如下：</w:t>
      </w:r>
    </w:p>
    <w:p w14:paraId="24A45C73" w14:textId="77777777" w:rsidR="00220B7F" w:rsidRDefault="00000000">
      <w:pPr>
        <w:widowControl/>
        <w:tabs>
          <w:tab w:val="center" w:pos="4201"/>
          <w:tab w:val="right" w:leader="dot" w:pos="9298"/>
        </w:tabs>
        <w:autoSpaceDE w:val="0"/>
        <w:autoSpaceDN w:val="0"/>
        <w:ind w:firstLine="420"/>
        <w:rPr>
          <w:kern w:val="0"/>
        </w:rPr>
      </w:pPr>
      <w:r>
        <w:rPr>
          <w:kern w:val="0"/>
        </w:rPr>
        <w:t>（</w:t>
      </w:r>
      <w:r>
        <w:rPr>
          <w:kern w:val="0"/>
        </w:rPr>
        <w:t>1</w:t>
      </w:r>
      <w:r>
        <w:rPr>
          <w:kern w:val="0"/>
        </w:rPr>
        <w:t>）符合国家的</w:t>
      </w:r>
      <w:r>
        <w:rPr>
          <w:rFonts w:hint="eastAsia"/>
          <w:kern w:val="0"/>
        </w:rPr>
        <w:t>环保</w:t>
      </w:r>
      <w:r>
        <w:rPr>
          <w:kern w:val="0"/>
        </w:rPr>
        <w:t>政策，贯彻国家相关法律法规；</w:t>
      </w:r>
    </w:p>
    <w:p w14:paraId="507B7F11" w14:textId="77777777" w:rsidR="00220B7F" w:rsidRDefault="00000000">
      <w:pPr>
        <w:widowControl/>
        <w:tabs>
          <w:tab w:val="center" w:pos="4201"/>
          <w:tab w:val="right" w:leader="dot" w:pos="9298"/>
        </w:tabs>
        <w:autoSpaceDE w:val="0"/>
        <w:autoSpaceDN w:val="0"/>
        <w:ind w:firstLine="420"/>
        <w:rPr>
          <w:kern w:val="0"/>
        </w:rPr>
      </w:pPr>
      <w:r>
        <w:rPr>
          <w:kern w:val="0"/>
        </w:rPr>
        <w:t>（</w:t>
      </w:r>
      <w:r>
        <w:rPr>
          <w:kern w:val="0"/>
        </w:rPr>
        <w:t>2</w:t>
      </w:r>
      <w:r>
        <w:rPr>
          <w:kern w:val="0"/>
        </w:rPr>
        <w:t>）充分考虑使用要求，确保适用范围明确，针对性强；</w:t>
      </w:r>
    </w:p>
    <w:p w14:paraId="2CC6A078" w14:textId="77777777" w:rsidR="00220B7F" w:rsidRDefault="00000000">
      <w:pPr>
        <w:widowControl/>
        <w:tabs>
          <w:tab w:val="center" w:pos="4201"/>
          <w:tab w:val="right" w:leader="dot" w:pos="9298"/>
        </w:tabs>
        <w:autoSpaceDE w:val="0"/>
        <w:autoSpaceDN w:val="0"/>
        <w:ind w:firstLine="420"/>
        <w:rPr>
          <w:kern w:val="0"/>
        </w:rPr>
      </w:pPr>
      <w:r>
        <w:rPr>
          <w:kern w:val="0"/>
        </w:rPr>
        <w:t>（</w:t>
      </w:r>
      <w:r>
        <w:rPr>
          <w:kern w:val="0"/>
        </w:rPr>
        <w:t>3</w:t>
      </w:r>
      <w:r>
        <w:rPr>
          <w:kern w:val="0"/>
        </w:rPr>
        <w:t>）与国内现行相关或同类标准协调配套使用；</w:t>
      </w:r>
    </w:p>
    <w:p w14:paraId="5B06E7A5" w14:textId="77777777" w:rsidR="00220B7F" w:rsidRDefault="00000000">
      <w:pPr>
        <w:widowControl/>
        <w:tabs>
          <w:tab w:val="center" w:pos="4201"/>
          <w:tab w:val="right" w:leader="dot" w:pos="9298"/>
        </w:tabs>
        <w:autoSpaceDE w:val="0"/>
        <w:autoSpaceDN w:val="0"/>
        <w:ind w:firstLine="420"/>
        <w:rPr>
          <w:kern w:val="0"/>
        </w:rPr>
      </w:pPr>
      <w:r>
        <w:rPr>
          <w:kern w:val="0"/>
        </w:rPr>
        <w:lastRenderedPageBreak/>
        <w:t>（</w:t>
      </w:r>
      <w:r>
        <w:rPr>
          <w:kern w:val="0"/>
        </w:rPr>
        <w:t>4</w:t>
      </w:r>
      <w:r>
        <w:rPr>
          <w:kern w:val="0"/>
        </w:rPr>
        <w:t>）</w:t>
      </w:r>
      <w:r>
        <w:rPr>
          <w:rFonts w:hint="eastAsia"/>
          <w:kern w:val="0"/>
        </w:rPr>
        <w:t>力争做到</w:t>
      </w:r>
      <w:r>
        <w:rPr>
          <w:kern w:val="0"/>
        </w:rPr>
        <w:t>技术先进、经济合理；</w:t>
      </w:r>
    </w:p>
    <w:p w14:paraId="32F18CCB" w14:textId="77777777" w:rsidR="00220B7F" w:rsidRDefault="00000000">
      <w:pPr>
        <w:widowControl/>
        <w:tabs>
          <w:tab w:val="center" w:pos="4201"/>
          <w:tab w:val="right" w:leader="dot" w:pos="9298"/>
        </w:tabs>
        <w:autoSpaceDE w:val="0"/>
        <w:autoSpaceDN w:val="0"/>
        <w:ind w:firstLine="420"/>
        <w:rPr>
          <w:kern w:val="0"/>
        </w:rPr>
      </w:pPr>
      <w:r>
        <w:rPr>
          <w:kern w:val="0"/>
        </w:rPr>
        <w:t>（</w:t>
      </w:r>
      <w:r>
        <w:rPr>
          <w:kern w:val="0"/>
        </w:rPr>
        <w:t>5</w:t>
      </w:r>
      <w:r>
        <w:rPr>
          <w:kern w:val="0"/>
        </w:rPr>
        <w:t>）从全局出发，考虑全社会的综合效益。</w:t>
      </w:r>
    </w:p>
    <w:p w14:paraId="77B31824" w14:textId="77777777" w:rsidR="00220B7F" w:rsidRDefault="00000000">
      <w:pPr>
        <w:pStyle w:val="11"/>
        <w:spacing w:before="312" w:after="312"/>
        <w:rPr>
          <w:rFonts w:ascii="黑体" w:hAnsi="黑体" w:cs="黑体" w:hint="eastAsia"/>
          <w:szCs w:val="21"/>
        </w:rPr>
      </w:pPr>
      <w:bookmarkStart w:id="51" w:name="_Toc17901695"/>
      <w:bookmarkStart w:id="52" w:name="_Toc44600864"/>
      <w:bookmarkStart w:id="53" w:name="_Toc20296670"/>
      <w:bookmarkStart w:id="54" w:name="_Toc23715"/>
      <w:bookmarkStart w:id="55" w:name="_Toc17902084"/>
      <w:bookmarkStart w:id="56" w:name="_Toc50620365"/>
      <w:bookmarkStart w:id="57" w:name="_Toc71548721"/>
      <w:bookmarkStart w:id="58" w:name="_Toc500248022"/>
      <w:r>
        <w:rPr>
          <w:rFonts w:ascii="黑体" w:hAnsi="黑体" w:cs="黑体" w:hint="eastAsia"/>
          <w:szCs w:val="21"/>
        </w:rPr>
        <w:t>3 与其他标准文件的关系</w:t>
      </w:r>
      <w:bookmarkEnd w:id="51"/>
      <w:bookmarkEnd w:id="52"/>
      <w:bookmarkEnd w:id="53"/>
      <w:bookmarkEnd w:id="54"/>
      <w:bookmarkEnd w:id="55"/>
      <w:bookmarkEnd w:id="56"/>
      <w:bookmarkEnd w:id="57"/>
      <w:bookmarkEnd w:id="58"/>
    </w:p>
    <w:p w14:paraId="2CB21976" w14:textId="77777777" w:rsidR="00220B7F" w:rsidRDefault="00000000">
      <w:pPr>
        <w:widowControl/>
        <w:tabs>
          <w:tab w:val="center" w:pos="4201"/>
          <w:tab w:val="right" w:leader="dot" w:pos="9298"/>
        </w:tabs>
        <w:autoSpaceDE w:val="0"/>
        <w:autoSpaceDN w:val="0"/>
        <w:ind w:firstLine="420"/>
        <w:rPr>
          <w:kern w:val="0"/>
        </w:rPr>
      </w:pPr>
      <w:r>
        <w:rPr>
          <w:rFonts w:hint="eastAsia"/>
          <w:kern w:val="0"/>
        </w:rPr>
        <w:t>在我国，尚未发布关于电力企业二氧化碳捕集、运输、封存及利用过程温室气体排放核算的相关技术规范和标准。</w:t>
      </w:r>
    </w:p>
    <w:p w14:paraId="47878B6C" w14:textId="77777777" w:rsidR="00220B7F" w:rsidRDefault="00000000">
      <w:pPr>
        <w:widowControl/>
        <w:tabs>
          <w:tab w:val="center" w:pos="4201"/>
          <w:tab w:val="right" w:leader="dot" w:pos="9298"/>
        </w:tabs>
        <w:autoSpaceDE w:val="0"/>
        <w:autoSpaceDN w:val="0"/>
        <w:ind w:firstLine="420"/>
        <w:rPr>
          <w:kern w:val="0"/>
        </w:rPr>
      </w:pPr>
      <w:r>
        <w:rPr>
          <w:rFonts w:hint="eastAsia"/>
          <w:kern w:val="0"/>
        </w:rPr>
        <w:t>本文件不涉及专利、软件著作权等知识产权问题。</w:t>
      </w:r>
    </w:p>
    <w:p w14:paraId="35FC99FB" w14:textId="77777777" w:rsidR="00220B7F" w:rsidRDefault="00000000">
      <w:pPr>
        <w:pStyle w:val="11"/>
        <w:spacing w:before="312" w:after="312"/>
        <w:rPr>
          <w:rFonts w:ascii="黑体" w:hAnsi="黑体" w:cs="黑体" w:hint="eastAsia"/>
          <w:szCs w:val="21"/>
        </w:rPr>
      </w:pPr>
      <w:bookmarkStart w:id="59" w:name="_Toc50620366"/>
      <w:bookmarkStart w:id="60" w:name="_Toc500248023"/>
      <w:bookmarkStart w:id="61" w:name="_Toc44600865"/>
      <w:bookmarkStart w:id="62" w:name="_Toc20296671"/>
      <w:bookmarkStart w:id="63" w:name="_Toc17902085"/>
      <w:bookmarkStart w:id="64" w:name="_Toc17901696"/>
      <w:bookmarkStart w:id="65" w:name="_Toc71548722"/>
      <w:bookmarkStart w:id="66" w:name="_Toc8808"/>
      <w:r>
        <w:rPr>
          <w:rFonts w:ascii="黑体" w:hAnsi="黑体" w:cs="黑体" w:hint="eastAsia"/>
          <w:szCs w:val="21"/>
        </w:rPr>
        <w:t>4 主要工作过程</w:t>
      </w:r>
      <w:bookmarkEnd w:id="59"/>
      <w:bookmarkEnd w:id="60"/>
      <w:bookmarkEnd w:id="61"/>
      <w:bookmarkEnd w:id="62"/>
      <w:bookmarkEnd w:id="63"/>
      <w:bookmarkEnd w:id="64"/>
      <w:bookmarkEnd w:id="65"/>
      <w:bookmarkEnd w:id="66"/>
    </w:p>
    <w:p w14:paraId="36AC13AB" w14:textId="77777777" w:rsidR="00220B7F" w:rsidRDefault="00000000">
      <w:pPr>
        <w:ind w:firstLineChars="200" w:firstLine="420"/>
        <w:jc w:val="left"/>
        <w:rPr>
          <w:szCs w:val="21"/>
        </w:rPr>
      </w:pPr>
      <w:r>
        <w:rPr>
          <w:szCs w:val="21"/>
        </w:rPr>
        <w:t>本</w:t>
      </w:r>
      <w:r>
        <w:rPr>
          <w:rFonts w:hint="eastAsia"/>
          <w:szCs w:val="21"/>
        </w:rPr>
        <w:t>文件</w:t>
      </w:r>
      <w:r>
        <w:rPr>
          <w:szCs w:val="21"/>
        </w:rPr>
        <w:t>编制</w:t>
      </w:r>
      <w:r>
        <w:rPr>
          <w:rFonts w:hint="eastAsia"/>
          <w:szCs w:val="21"/>
        </w:rPr>
        <w:t>流程图</w:t>
      </w:r>
      <w:r>
        <w:rPr>
          <w:szCs w:val="21"/>
        </w:rPr>
        <w:t>如下：</w:t>
      </w:r>
    </w:p>
    <w:p w14:paraId="027B46AA" w14:textId="43A726B2" w:rsidR="00220B7F" w:rsidRDefault="009804F3">
      <w:pPr>
        <w:jc w:val="center"/>
        <w:rPr>
          <w:szCs w:val="21"/>
        </w:rPr>
      </w:pPr>
      <w:r>
        <w:rPr>
          <w:rFonts w:hint="eastAsia"/>
        </w:rPr>
        <w:object w:dxaOrig="18527" w:dyaOrig="8289" w14:anchorId="2006E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1.2pt;height:374.8pt" o:ole="">
            <v:imagedata r:id="rId12" o:title="" croptop="1977f" cropbottom="12147f" cropleft="30116f" cropright="23108f"/>
          </v:shape>
          <o:OLEObject Type="Embed" ProgID="ZWCAD.Drawing.2020" ShapeID="_x0000_i1027" DrawAspect="Content" ObjectID="_1835789307" r:id="rId13"/>
        </w:object>
      </w:r>
    </w:p>
    <w:p w14:paraId="4E529C6F" w14:textId="77777777" w:rsidR="00220B7F" w:rsidRDefault="00000000">
      <w:pPr>
        <w:jc w:val="center"/>
        <w:rPr>
          <w:rFonts w:ascii="黑体" w:eastAsia="黑体" w:hAnsi="黑体" w:hint="eastAsia"/>
          <w:szCs w:val="21"/>
        </w:rPr>
      </w:pPr>
      <w:r>
        <w:rPr>
          <w:rFonts w:ascii="黑体" w:eastAsia="黑体" w:hAnsi="黑体" w:hint="eastAsia"/>
          <w:szCs w:val="21"/>
        </w:rPr>
        <w:t xml:space="preserve">图1 </w:t>
      </w:r>
      <w:r>
        <w:rPr>
          <w:rFonts w:ascii="黑体" w:eastAsia="黑体" w:hAnsi="黑体"/>
          <w:szCs w:val="21"/>
        </w:rPr>
        <w:t xml:space="preserve"> 标准编制</w:t>
      </w:r>
      <w:r>
        <w:rPr>
          <w:rFonts w:ascii="黑体" w:eastAsia="黑体" w:hAnsi="黑体" w:hint="eastAsia"/>
          <w:szCs w:val="21"/>
        </w:rPr>
        <w:t>流程图</w:t>
      </w:r>
    </w:p>
    <w:p w14:paraId="52481C67" w14:textId="77777777" w:rsidR="00220B7F" w:rsidRDefault="00000000">
      <w:pPr>
        <w:ind w:firstLineChars="200" w:firstLine="420"/>
        <w:jc w:val="left"/>
        <w:rPr>
          <w:kern w:val="0"/>
        </w:rPr>
      </w:pPr>
      <w:r>
        <w:rPr>
          <w:kern w:val="0"/>
        </w:rPr>
        <w:t>主要工作过程简述如下：</w:t>
      </w:r>
    </w:p>
    <w:p w14:paraId="3376703D" w14:textId="77777777" w:rsidR="00220B7F" w:rsidRDefault="00000000">
      <w:pPr>
        <w:ind w:firstLineChars="200" w:firstLine="420"/>
        <w:jc w:val="left"/>
        <w:rPr>
          <w:kern w:val="0"/>
        </w:rPr>
      </w:pPr>
      <w:r>
        <w:rPr>
          <w:kern w:val="0"/>
        </w:rPr>
        <w:t>（</w:t>
      </w:r>
      <w:r>
        <w:rPr>
          <w:kern w:val="0"/>
        </w:rPr>
        <w:t>1</w:t>
      </w:r>
      <w:r>
        <w:rPr>
          <w:kern w:val="0"/>
        </w:rPr>
        <w:t>）</w:t>
      </w:r>
      <w:r>
        <w:rPr>
          <w:kern w:val="0"/>
        </w:rPr>
        <w:t>2021</w:t>
      </w:r>
      <w:r>
        <w:rPr>
          <w:kern w:val="0"/>
        </w:rPr>
        <w:t>年</w:t>
      </w:r>
      <w:r>
        <w:rPr>
          <w:kern w:val="0"/>
        </w:rPr>
        <w:t>1</w:t>
      </w:r>
      <w:r>
        <w:rPr>
          <w:kern w:val="0"/>
        </w:rPr>
        <w:t>月，接到</w:t>
      </w:r>
      <w:r>
        <w:rPr>
          <w:rFonts w:hint="eastAsia"/>
          <w:kern w:val="0"/>
        </w:rPr>
        <w:t>《</w:t>
      </w:r>
      <w:r>
        <w:rPr>
          <w:kern w:val="0"/>
        </w:rPr>
        <w:t>中国电机工程学会关于申报中国电机工程学会标准</w:t>
      </w:r>
      <w:r>
        <w:rPr>
          <w:rFonts w:hint="eastAsia"/>
          <w:kern w:val="0"/>
        </w:rPr>
        <w:t>2</w:t>
      </w:r>
      <w:r>
        <w:rPr>
          <w:kern w:val="0"/>
        </w:rPr>
        <w:t>021</w:t>
      </w:r>
      <w:r>
        <w:rPr>
          <w:kern w:val="0"/>
        </w:rPr>
        <w:t>年第一批计划项目</w:t>
      </w:r>
      <w:r>
        <w:rPr>
          <w:rFonts w:hint="eastAsia"/>
          <w:kern w:val="0"/>
        </w:rPr>
        <w:t>的</w:t>
      </w:r>
      <w:r>
        <w:rPr>
          <w:kern w:val="0"/>
        </w:rPr>
        <w:t>通知</w:t>
      </w:r>
      <w:r>
        <w:rPr>
          <w:rFonts w:hint="eastAsia"/>
          <w:kern w:val="0"/>
        </w:rPr>
        <w:t>》（电机</w:t>
      </w:r>
      <w:proofErr w:type="gramStart"/>
      <w:r>
        <w:rPr>
          <w:rFonts w:hint="eastAsia"/>
          <w:kern w:val="0"/>
        </w:rPr>
        <w:t>咨</w:t>
      </w:r>
      <w:proofErr w:type="gramEnd"/>
      <w:r>
        <w:rPr>
          <w:rFonts w:hint="eastAsia"/>
          <w:kern w:val="0"/>
        </w:rPr>
        <w:t>〔</w:t>
      </w:r>
      <w:r>
        <w:rPr>
          <w:rFonts w:hint="eastAsia"/>
          <w:kern w:val="0"/>
        </w:rPr>
        <w:t>2</w:t>
      </w:r>
      <w:r>
        <w:rPr>
          <w:kern w:val="0"/>
        </w:rPr>
        <w:t>021</w:t>
      </w:r>
      <w:r>
        <w:rPr>
          <w:rFonts w:hint="eastAsia"/>
          <w:kern w:val="0"/>
        </w:rPr>
        <w:t>〕</w:t>
      </w:r>
      <w:r>
        <w:rPr>
          <w:rFonts w:hint="eastAsia"/>
          <w:kern w:val="0"/>
        </w:rPr>
        <w:t>2</w:t>
      </w:r>
      <w:r>
        <w:rPr>
          <w:kern w:val="0"/>
        </w:rPr>
        <w:t>5</w:t>
      </w:r>
      <w:r>
        <w:rPr>
          <w:rFonts w:hint="eastAsia"/>
          <w:kern w:val="0"/>
        </w:rPr>
        <w:t>号）</w:t>
      </w:r>
      <w:r>
        <w:rPr>
          <w:kern w:val="0"/>
        </w:rPr>
        <w:t>，华</w:t>
      </w:r>
      <w:proofErr w:type="gramStart"/>
      <w:r>
        <w:rPr>
          <w:kern w:val="0"/>
        </w:rPr>
        <w:t>电</w:t>
      </w:r>
      <w:proofErr w:type="gramEnd"/>
      <w:r>
        <w:rPr>
          <w:kern w:val="0"/>
        </w:rPr>
        <w:t>电力科学研究院有限公司</w:t>
      </w:r>
      <w:r>
        <w:rPr>
          <w:rFonts w:hint="eastAsia"/>
          <w:kern w:val="0"/>
        </w:rPr>
        <w:t>研究成立编制委员会并</w:t>
      </w:r>
      <w:r>
        <w:rPr>
          <w:kern w:val="0"/>
        </w:rPr>
        <w:t>于</w:t>
      </w:r>
      <w:r>
        <w:rPr>
          <w:kern w:val="0"/>
        </w:rPr>
        <w:t>2021</w:t>
      </w:r>
      <w:r>
        <w:rPr>
          <w:kern w:val="0"/>
        </w:rPr>
        <w:t>年</w:t>
      </w:r>
      <w:r>
        <w:rPr>
          <w:kern w:val="0"/>
        </w:rPr>
        <w:t>2</w:t>
      </w:r>
      <w:r>
        <w:rPr>
          <w:kern w:val="0"/>
        </w:rPr>
        <w:t>月网上提交标准立项申请。</w:t>
      </w:r>
    </w:p>
    <w:p w14:paraId="61BC9F50" w14:textId="77777777" w:rsidR="00220B7F" w:rsidRDefault="00000000">
      <w:pPr>
        <w:ind w:firstLineChars="200" w:firstLine="420"/>
        <w:jc w:val="left"/>
        <w:rPr>
          <w:kern w:val="0"/>
        </w:rPr>
      </w:pPr>
      <w:r>
        <w:rPr>
          <w:kern w:val="0"/>
        </w:rPr>
        <w:t>（</w:t>
      </w:r>
      <w:r>
        <w:rPr>
          <w:kern w:val="0"/>
        </w:rPr>
        <w:t>2</w:t>
      </w:r>
      <w:r>
        <w:rPr>
          <w:kern w:val="0"/>
        </w:rPr>
        <w:t>）</w:t>
      </w:r>
      <w:r>
        <w:rPr>
          <w:kern w:val="0"/>
        </w:rPr>
        <w:t>2021</w:t>
      </w:r>
      <w:r>
        <w:rPr>
          <w:kern w:val="0"/>
        </w:rPr>
        <w:t>年</w:t>
      </w:r>
      <w:r>
        <w:rPr>
          <w:kern w:val="0"/>
        </w:rPr>
        <w:t>4</w:t>
      </w:r>
      <w:r>
        <w:rPr>
          <w:kern w:val="0"/>
        </w:rPr>
        <w:t>月，学会组织召开了标准立项评审会议，《</w:t>
      </w:r>
      <w:r>
        <w:rPr>
          <w:rFonts w:hint="eastAsia"/>
          <w:kern w:val="0"/>
        </w:rPr>
        <w:t>电力企业二氧化碳捕集、运输、封存及利用过程温室气体排放核算和报告指南</w:t>
      </w:r>
      <w:r>
        <w:rPr>
          <w:kern w:val="0"/>
        </w:rPr>
        <w:t>》获得</w:t>
      </w:r>
      <w:r>
        <w:rPr>
          <w:rFonts w:hint="eastAsia"/>
          <w:kern w:val="0"/>
        </w:rPr>
        <w:t>1</w:t>
      </w:r>
      <w:r>
        <w:rPr>
          <w:kern w:val="0"/>
        </w:rPr>
        <w:t>1</w:t>
      </w:r>
      <w:r>
        <w:rPr>
          <w:rFonts w:hint="eastAsia"/>
          <w:kern w:val="0"/>
        </w:rPr>
        <w:t>位</w:t>
      </w:r>
      <w:r>
        <w:rPr>
          <w:kern w:val="0"/>
        </w:rPr>
        <w:t>评审专家通过</w:t>
      </w:r>
      <w:r>
        <w:rPr>
          <w:rFonts w:hint="eastAsia"/>
          <w:kern w:val="0"/>
        </w:rPr>
        <w:t>，</w:t>
      </w:r>
      <w:r>
        <w:rPr>
          <w:rFonts w:hint="eastAsia"/>
          <w:kern w:val="0"/>
        </w:rPr>
        <w:t>1</w:t>
      </w:r>
      <w:r>
        <w:rPr>
          <w:rFonts w:hint="eastAsia"/>
          <w:kern w:val="0"/>
        </w:rPr>
        <w:t>票反</w:t>
      </w:r>
      <w:r>
        <w:rPr>
          <w:rFonts w:hint="eastAsia"/>
          <w:kern w:val="0"/>
        </w:rPr>
        <w:lastRenderedPageBreak/>
        <w:t>对</w:t>
      </w:r>
      <w:r>
        <w:rPr>
          <w:kern w:val="0"/>
        </w:rPr>
        <w:t>，予以立项。</w:t>
      </w:r>
    </w:p>
    <w:p w14:paraId="1C38A106" w14:textId="77777777" w:rsidR="00220B7F" w:rsidRDefault="00000000">
      <w:pPr>
        <w:ind w:firstLineChars="200" w:firstLine="420"/>
        <w:jc w:val="left"/>
        <w:rPr>
          <w:kern w:val="0"/>
        </w:rPr>
      </w:pPr>
      <w:r>
        <w:rPr>
          <w:kern w:val="0"/>
        </w:rPr>
        <w:t>（</w:t>
      </w:r>
      <w:r>
        <w:rPr>
          <w:kern w:val="0"/>
        </w:rPr>
        <w:t>3</w:t>
      </w:r>
      <w:r>
        <w:rPr>
          <w:kern w:val="0"/>
        </w:rPr>
        <w:t>）</w:t>
      </w:r>
      <w:r>
        <w:rPr>
          <w:kern w:val="0"/>
        </w:rPr>
        <w:t>2021</w:t>
      </w:r>
      <w:r>
        <w:rPr>
          <w:kern w:val="0"/>
        </w:rPr>
        <w:t>年</w:t>
      </w:r>
      <w:r>
        <w:rPr>
          <w:kern w:val="0"/>
        </w:rPr>
        <w:t>5</w:t>
      </w:r>
      <w:r>
        <w:rPr>
          <w:kern w:val="0"/>
        </w:rPr>
        <w:t>月，进行了详细任务书的编写，并依据任务书的总体要求和进度安排进行标准</w:t>
      </w:r>
      <w:r>
        <w:rPr>
          <w:rFonts w:hint="eastAsia"/>
          <w:kern w:val="0"/>
        </w:rPr>
        <w:t>编制的内容</w:t>
      </w:r>
      <w:r>
        <w:rPr>
          <w:kern w:val="0"/>
        </w:rPr>
        <w:t>。</w:t>
      </w:r>
    </w:p>
    <w:p w14:paraId="4386184E" w14:textId="77777777" w:rsidR="00220B7F" w:rsidRDefault="00000000">
      <w:pPr>
        <w:ind w:firstLineChars="200" w:firstLine="420"/>
        <w:jc w:val="left"/>
        <w:rPr>
          <w:kern w:val="0"/>
        </w:rPr>
      </w:pPr>
      <w:r>
        <w:rPr>
          <w:kern w:val="0"/>
        </w:rPr>
        <w:t>（</w:t>
      </w:r>
      <w:r>
        <w:rPr>
          <w:kern w:val="0"/>
        </w:rPr>
        <w:t>4</w:t>
      </w:r>
      <w:r>
        <w:rPr>
          <w:kern w:val="0"/>
        </w:rPr>
        <w:t>）</w:t>
      </w:r>
      <w:r>
        <w:rPr>
          <w:kern w:val="0"/>
        </w:rPr>
        <w:t>2021</w:t>
      </w:r>
      <w:r>
        <w:rPr>
          <w:kern w:val="0"/>
        </w:rPr>
        <w:t>年</w:t>
      </w:r>
      <w:r>
        <w:rPr>
          <w:kern w:val="0"/>
        </w:rPr>
        <w:t>9</w:t>
      </w:r>
      <w:r>
        <w:rPr>
          <w:kern w:val="0"/>
        </w:rPr>
        <w:t>月，标准编写组正式成立，开始标准初稿的起草工作。</w:t>
      </w:r>
    </w:p>
    <w:p w14:paraId="0A5F39DD" w14:textId="77777777" w:rsidR="00220B7F" w:rsidRDefault="00000000">
      <w:pPr>
        <w:ind w:firstLineChars="200" w:firstLine="420"/>
        <w:jc w:val="left"/>
        <w:rPr>
          <w:kern w:val="0"/>
        </w:rPr>
      </w:pPr>
      <w:r>
        <w:rPr>
          <w:kern w:val="0"/>
        </w:rPr>
        <w:t>（</w:t>
      </w:r>
      <w:r>
        <w:rPr>
          <w:kern w:val="0"/>
        </w:rPr>
        <w:t>5</w:t>
      </w:r>
      <w:r>
        <w:rPr>
          <w:kern w:val="0"/>
        </w:rPr>
        <w:t>）</w:t>
      </w:r>
      <w:r>
        <w:rPr>
          <w:kern w:val="0"/>
        </w:rPr>
        <w:t>2022</w:t>
      </w:r>
      <w:r>
        <w:rPr>
          <w:kern w:val="0"/>
        </w:rPr>
        <w:t>年</w:t>
      </w:r>
      <w:r>
        <w:rPr>
          <w:kern w:val="0"/>
        </w:rPr>
        <w:t>7</w:t>
      </w:r>
      <w:r>
        <w:rPr>
          <w:kern w:val="0"/>
        </w:rPr>
        <w:t>月，完成标准初稿内容的编制，并组织专家进行了内部评审，按照评审意见进行修改。</w:t>
      </w:r>
    </w:p>
    <w:p w14:paraId="023B7861" w14:textId="77777777" w:rsidR="00220B7F" w:rsidRDefault="00000000">
      <w:pPr>
        <w:ind w:firstLineChars="200" w:firstLine="420"/>
        <w:jc w:val="left"/>
        <w:rPr>
          <w:szCs w:val="21"/>
          <w:lang w:bidi="ar"/>
        </w:rPr>
      </w:pPr>
      <w:r>
        <w:rPr>
          <w:kern w:val="0"/>
        </w:rPr>
        <w:t>（</w:t>
      </w:r>
      <w:r>
        <w:rPr>
          <w:kern w:val="0"/>
        </w:rPr>
        <w:t>6</w:t>
      </w:r>
      <w:r>
        <w:rPr>
          <w:kern w:val="0"/>
        </w:rPr>
        <w:t>）</w:t>
      </w:r>
      <w:r>
        <w:rPr>
          <w:kern w:val="0"/>
        </w:rPr>
        <w:t>2022</w:t>
      </w:r>
      <w:r>
        <w:rPr>
          <w:kern w:val="0"/>
        </w:rPr>
        <w:t>年</w:t>
      </w:r>
      <w:r>
        <w:rPr>
          <w:kern w:val="0"/>
        </w:rPr>
        <w:t>9</w:t>
      </w:r>
      <w:r>
        <w:rPr>
          <w:kern w:val="0"/>
        </w:rPr>
        <w:t>月，通过网上办公的方式与</w:t>
      </w:r>
      <w:r>
        <w:rPr>
          <w:rFonts w:hint="eastAsia"/>
          <w:kern w:val="0"/>
        </w:rPr>
        <w:t>北京中创碳科技有限公司、</w:t>
      </w:r>
      <w:r>
        <w:rPr>
          <w:szCs w:val="21"/>
          <w:lang w:bidi="ar"/>
        </w:rPr>
        <w:t>浙江大学相关专家开展标准讨论。</w:t>
      </w:r>
    </w:p>
    <w:p w14:paraId="3E85D158" w14:textId="77777777" w:rsidR="00220B7F" w:rsidRDefault="00000000">
      <w:pPr>
        <w:ind w:firstLineChars="200" w:firstLine="420"/>
        <w:jc w:val="left"/>
        <w:rPr>
          <w:kern w:val="0"/>
        </w:rPr>
      </w:pPr>
      <w:r>
        <w:rPr>
          <w:rFonts w:hint="eastAsia"/>
          <w:szCs w:val="21"/>
          <w:lang w:bidi="ar"/>
        </w:rPr>
        <w:t>（</w:t>
      </w:r>
      <w:r>
        <w:rPr>
          <w:rFonts w:hint="eastAsia"/>
          <w:szCs w:val="21"/>
          <w:lang w:bidi="ar"/>
        </w:rPr>
        <w:t>7</w:t>
      </w:r>
      <w:r>
        <w:rPr>
          <w:rFonts w:hint="eastAsia"/>
          <w:szCs w:val="21"/>
          <w:lang w:bidi="ar"/>
        </w:rPr>
        <w:t>）</w:t>
      </w:r>
      <w:r>
        <w:rPr>
          <w:rFonts w:hint="eastAsia"/>
          <w:szCs w:val="21"/>
          <w:lang w:bidi="ar"/>
        </w:rPr>
        <w:t>2022</w:t>
      </w:r>
      <w:r>
        <w:rPr>
          <w:rFonts w:hint="eastAsia"/>
          <w:szCs w:val="21"/>
          <w:lang w:bidi="ar"/>
        </w:rPr>
        <w:t>年</w:t>
      </w:r>
      <w:r>
        <w:rPr>
          <w:rFonts w:hint="eastAsia"/>
          <w:szCs w:val="21"/>
          <w:lang w:bidi="ar"/>
        </w:rPr>
        <w:t>10</w:t>
      </w:r>
      <w:r>
        <w:rPr>
          <w:rFonts w:hint="eastAsia"/>
          <w:szCs w:val="21"/>
          <w:lang w:bidi="ar"/>
        </w:rPr>
        <w:t>月—</w:t>
      </w:r>
      <w:r>
        <w:rPr>
          <w:rFonts w:hint="eastAsia"/>
          <w:szCs w:val="21"/>
          <w:lang w:bidi="ar"/>
        </w:rPr>
        <w:t>2026</w:t>
      </w:r>
      <w:r>
        <w:rPr>
          <w:rFonts w:hint="eastAsia"/>
          <w:szCs w:val="21"/>
          <w:lang w:bidi="ar"/>
        </w:rPr>
        <w:t>年</w:t>
      </w:r>
      <w:r>
        <w:rPr>
          <w:rFonts w:hint="eastAsia"/>
          <w:szCs w:val="21"/>
          <w:lang w:bidi="ar"/>
        </w:rPr>
        <w:t>2</w:t>
      </w:r>
      <w:r>
        <w:rPr>
          <w:rFonts w:hint="eastAsia"/>
          <w:szCs w:val="21"/>
          <w:lang w:bidi="ar"/>
        </w:rPr>
        <w:t>月，编写并完善标准文稿。</w:t>
      </w:r>
    </w:p>
    <w:p w14:paraId="2EBCE7FA" w14:textId="77777777" w:rsidR="00220B7F" w:rsidRDefault="00000000">
      <w:pPr>
        <w:ind w:firstLineChars="200" w:firstLine="420"/>
        <w:jc w:val="left"/>
        <w:rPr>
          <w:kern w:val="0"/>
        </w:rPr>
      </w:pPr>
      <w:r>
        <w:rPr>
          <w:kern w:val="0"/>
        </w:rPr>
        <w:t>（</w:t>
      </w:r>
      <w:r>
        <w:rPr>
          <w:kern w:val="0"/>
        </w:rPr>
        <w:t>7</w:t>
      </w:r>
      <w:r>
        <w:rPr>
          <w:kern w:val="0"/>
        </w:rPr>
        <w:t>）</w:t>
      </w:r>
      <w:r>
        <w:rPr>
          <w:kern w:val="0"/>
        </w:rPr>
        <w:t>20</w:t>
      </w:r>
      <w:r>
        <w:rPr>
          <w:rFonts w:hint="eastAsia"/>
          <w:kern w:val="0"/>
        </w:rPr>
        <w:t>26</w:t>
      </w:r>
      <w:r>
        <w:rPr>
          <w:kern w:val="0"/>
        </w:rPr>
        <w:t>年</w:t>
      </w:r>
      <w:r>
        <w:rPr>
          <w:rFonts w:hint="eastAsia"/>
          <w:kern w:val="0"/>
        </w:rPr>
        <w:t>3</w:t>
      </w:r>
      <w:r>
        <w:rPr>
          <w:kern w:val="0"/>
        </w:rPr>
        <w:t>月，形成意见征求稿并发送至</w:t>
      </w:r>
      <w:r>
        <w:rPr>
          <w:rFonts w:hint="eastAsia"/>
          <w:kern w:val="0"/>
        </w:rPr>
        <w:t>归口单位</w:t>
      </w:r>
      <w:r>
        <w:rPr>
          <w:kern w:val="0"/>
        </w:rPr>
        <w:t>进行公示和意见征求。</w:t>
      </w:r>
    </w:p>
    <w:p w14:paraId="201C257C" w14:textId="77777777" w:rsidR="00220B7F" w:rsidRDefault="00000000">
      <w:pPr>
        <w:pStyle w:val="11"/>
        <w:spacing w:before="312" w:after="312"/>
        <w:rPr>
          <w:rFonts w:ascii="黑体" w:hAnsi="黑体" w:cs="黑体" w:hint="eastAsia"/>
        </w:rPr>
      </w:pPr>
      <w:bookmarkStart w:id="67" w:name="_Toc500248024"/>
      <w:bookmarkStart w:id="68" w:name="_Toc17901697"/>
      <w:bookmarkStart w:id="69" w:name="_Toc17902086"/>
      <w:bookmarkStart w:id="70" w:name="_Toc71548723"/>
      <w:bookmarkStart w:id="71" w:name="_Toc20296672"/>
      <w:bookmarkStart w:id="72" w:name="_Toc50620367"/>
      <w:bookmarkStart w:id="73" w:name="_Toc10091"/>
      <w:bookmarkStart w:id="74" w:name="_Toc44600866"/>
      <w:r>
        <w:rPr>
          <w:rFonts w:ascii="黑体" w:hAnsi="黑体" w:cs="黑体" w:hint="eastAsia"/>
          <w:szCs w:val="21"/>
        </w:rPr>
        <w:t>5</w:t>
      </w:r>
      <w:r>
        <w:rPr>
          <w:rFonts w:ascii="黑体" w:hAnsi="黑体" w:cs="黑体" w:hint="eastAsia"/>
        </w:rPr>
        <w:t xml:space="preserve"> 标准结构和内容</w:t>
      </w:r>
      <w:bookmarkEnd w:id="67"/>
      <w:bookmarkEnd w:id="68"/>
      <w:bookmarkEnd w:id="69"/>
      <w:bookmarkEnd w:id="70"/>
      <w:bookmarkEnd w:id="71"/>
      <w:bookmarkEnd w:id="72"/>
      <w:bookmarkEnd w:id="73"/>
      <w:bookmarkEnd w:id="74"/>
    </w:p>
    <w:p w14:paraId="72D6BA58" w14:textId="77777777" w:rsidR="00220B7F" w:rsidRDefault="00000000">
      <w:pPr>
        <w:pStyle w:val="ae"/>
        <w:rPr>
          <w:rFonts w:ascii="Times New Roman"/>
        </w:rPr>
      </w:pPr>
      <w:r>
        <w:rPr>
          <w:rFonts w:ascii="Times New Roman"/>
        </w:rPr>
        <w:t>本文件主要结构和内容如下：</w:t>
      </w:r>
    </w:p>
    <w:p w14:paraId="32B7B9EE" w14:textId="77777777" w:rsidR="00220B7F" w:rsidRDefault="00000000">
      <w:pPr>
        <w:ind w:firstLineChars="200" w:firstLine="420"/>
        <w:jc w:val="left"/>
        <w:rPr>
          <w:kern w:val="0"/>
        </w:rPr>
      </w:pPr>
      <w:r>
        <w:rPr>
          <w:kern w:val="0"/>
        </w:rPr>
        <w:t>（</w:t>
      </w:r>
      <w:r>
        <w:rPr>
          <w:kern w:val="0"/>
        </w:rPr>
        <w:t>1</w:t>
      </w:r>
      <w:r>
        <w:rPr>
          <w:kern w:val="0"/>
        </w:rPr>
        <w:t>）前言；</w:t>
      </w:r>
    </w:p>
    <w:p w14:paraId="4D64B1F5" w14:textId="77777777" w:rsidR="00220B7F" w:rsidRDefault="00000000">
      <w:pPr>
        <w:ind w:firstLineChars="200" w:firstLine="420"/>
        <w:jc w:val="left"/>
        <w:rPr>
          <w:kern w:val="0"/>
        </w:rPr>
      </w:pPr>
      <w:r>
        <w:rPr>
          <w:kern w:val="0"/>
        </w:rPr>
        <w:t>（</w:t>
      </w:r>
      <w:r>
        <w:rPr>
          <w:kern w:val="0"/>
        </w:rPr>
        <w:t>2</w:t>
      </w:r>
      <w:r>
        <w:rPr>
          <w:kern w:val="0"/>
        </w:rPr>
        <w:t>）本文件正文共设七章，包括：范围、规范性引用文件、术语和定义、</w:t>
      </w:r>
      <w:bookmarkStart w:id="75" w:name="_Toc499818035"/>
      <w:r>
        <w:rPr>
          <w:rFonts w:hint="eastAsia"/>
          <w:kern w:val="0"/>
        </w:rPr>
        <w:t>核算边界</w:t>
      </w:r>
      <w:r>
        <w:rPr>
          <w:kern w:val="0"/>
        </w:rPr>
        <w:t>、</w:t>
      </w:r>
      <w:r>
        <w:rPr>
          <w:rFonts w:hint="eastAsia"/>
          <w:kern w:val="0"/>
        </w:rPr>
        <w:t>核算方法</w:t>
      </w:r>
      <w:r>
        <w:rPr>
          <w:kern w:val="0"/>
        </w:rPr>
        <w:t>、</w:t>
      </w:r>
      <w:r>
        <w:rPr>
          <w:rFonts w:hint="eastAsia"/>
          <w:kern w:val="0"/>
        </w:rPr>
        <w:t>质量保证和文件存档</w:t>
      </w:r>
      <w:r>
        <w:rPr>
          <w:kern w:val="0"/>
        </w:rPr>
        <w:t>、</w:t>
      </w:r>
      <w:bookmarkEnd w:id="75"/>
      <w:r>
        <w:rPr>
          <w:rFonts w:hint="eastAsia"/>
          <w:kern w:val="0"/>
        </w:rPr>
        <w:t>报告内容</w:t>
      </w:r>
      <w:r>
        <w:rPr>
          <w:kern w:val="0"/>
        </w:rPr>
        <w:t>；</w:t>
      </w:r>
    </w:p>
    <w:p w14:paraId="2B0BDD52" w14:textId="77777777" w:rsidR="00220B7F" w:rsidRDefault="00000000">
      <w:pPr>
        <w:ind w:firstLineChars="200" w:firstLine="420"/>
        <w:jc w:val="left"/>
        <w:rPr>
          <w:kern w:val="0"/>
        </w:rPr>
      </w:pPr>
      <w:r>
        <w:rPr>
          <w:kern w:val="0"/>
        </w:rPr>
        <w:t>（</w:t>
      </w:r>
      <w:r>
        <w:rPr>
          <w:kern w:val="0"/>
        </w:rPr>
        <w:t>3</w:t>
      </w:r>
      <w:r>
        <w:rPr>
          <w:kern w:val="0"/>
        </w:rPr>
        <w:t>）本文件共设</w:t>
      </w:r>
      <w:r>
        <w:rPr>
          <w:rFonts w:hint="eastAsia"/>
          <w:kern w:val="0"/>
        </w:rPr>
        <w:t>三</w:t>
      </w:r>
      <w:r>
        <w:rPr>
          <w:kern w:val="0"/>
        </w:rPr>
        <w:t>个</w:t>
      </w:r>
      <w:r>
        <w:rPr>
          <w:rFonts w:hint="eastAsia"/>
          <w:kern w:val="0"/>
        </w:rPr>
        <w:t>资料性</w:t>
      </w:r>
      <w:r>
        <w:rPr>
          <w:kern w:val="0"/>
        </w:rPr>
        <w:t>附录，</w:t>
      </w:r>
      <w:r>
        <w:rPr>
          <w:rFonts w:hint="eastAsia"/>
          <w:kern w:val="0"/>
        </w:rPr>
        <w:t>包括相关参数缺省值、</w:t>
      </w:r>
      <w:r>
        <w:rPr>
          <w:rFonts w:hAnsi="黑体" w:hint="eastAsia"/>
        </w:rPr>
        <w:t>利用过程泄漏率监测和计算方法及</w:t>
      </w:r>
      <w:r>
        <w:rPr>
          <w:rFonts w:hint="eastAsia"/>
          <w:kern w:val="0"/>
        </w:rPr>
        <w:t>报告格式模板</w:t>
      </w:r>
      <w:r>
        <w:rPr>
          <w:kern w:val="0"/>
        </w:rPr>
        <w:t>等。</w:t>
      </w:r>
    </w:p>
    <w:p w14:paraId="01365A0D" w14:textId="77777777" w:rsidR="00220B7F" w:rsidRDefault="00000000">
      <w:pPr>
        <w:pStyle w:val="11"/>
        <w:spacing w:before="312" w:after="312"/>
        <w:rPr>
          <w:rFonts w:ascii="黑体" w:hAnsi="黑体" w:cs="黑体" w:hint="eastAsia"/>
        </w:rPr>
      </w:pPr>
      <w:bookmarkStart w:id="76" w:name="_Toc71548724"/>
      <w:bookmarkStart w:id="77" w:name="_Toc17901698"/>
      <w:bookmarkStart w:id="78" w:name="_Toc20296673"/>
      <w:bookmarkStart w:id="79" w:name="_Toc500248025"/>
      <w:bookmarkStart w:id="80" w:name="_Toc23901"/>
      <w:bookmarkStart w:id="81" w:name="_Toc50620368"/>
      <w:bookmarkStart w:id="82" w:name="_Toc44600867"/>
      <w:bookmarkStart w:id="83" w:name="_Toc17902087"/>
      <w:r>
        <w:rPr>
          <w:rFonts w:ascii="黑体" w:hAnsi="黑体" w:cs="黑体" w:hint="eastAsia"/>
          <w:szCs w:val="21"/>
        </w:rPr>
        <w:t>6</w:t>
      </w:r>
      <w:r>
        <w:rPr>
          <w:rFonts w:ascii="黑体" w:hAnsi="黑体" w:cs="黑体" w:hint="eastAsia"/>
        </w:rPr>
        <w:t xml:space="preserve"> 条文说明</w:t>
      </w:r>
      <w:bookmarkEnd w:id="76"/>
      <w:bookmarkEnd w:id="77"/>
      <w:bookmarkEnd w:id="78"/>
      <w:bookmarkEnd w:id="79"/>
      <w:bookmarkEnd w:id="80"/>
      <w:bookmarkEnd w:id="81"/>
      <w:bookmarkEnd w:id="82"/>
      <w:bookmarkEnd w:id="83"/>
    </w:p>
    <w:p w14:paraId="1D294E3C" w14:textId="77777777" w:rsidR="00220B7F" w:rsidRDefault="00000000">
      <w:pPr>
        <w:rPr>
          <w:rFonts w:ascii="黑体" w:eastAsia="黑体" w:hAnsi="黑体" w:hint="eastAsia"/>
          <w:kern w:val="0"/>
        </w:rPr>
      </w:pPr>
      <w:r>
        <w:rPr>
          <w:rFonts w:ascii="黑体" w:eastAsia="黑体" w:hAnsi="黑体" w:hint="eastAsia"/>
          <w:kern w:val="0"/>
        </w:rPr>
        <w:t>6.1</w:t>
      </w:r>
      <w:r>
        <w:rPr>
          <w:rFonts w:ascii="黑体" w:eastAsia="黑体" w:hAnsi="黑体"/>
          <w:kern w:val="0"/>
        </w:rPr>
        <w:t xml:space="preserve"> </w:t>
      </w:r>
      <w:r>
        <w:rPr>
          <w:rFonts w:ascii="黑体" w:eastAsia="黑体" w:hAnsi="黑体" w:hint="eastAsia"/>
          <w:kern w:val="0"/>
        </w:rPr>
        <w:t>题目</w:t>
      </w:r>
    </w:p>
    <w:p w14:paraId="54AB1F66" w14:textId="77777777" w:rsidR="00220B7F" w:rsidRDefault="00000000">
      <w:pPr>
        <w:pStyle w:val="ae"/>
      </w:pPr>
      <w:r>
        <w:rPr>
          <w:rFonts w:hAnsi="黑体" w:hint="eastAsia"/>
        </w:rPr>
        <w:t>电力企业二氧化碳捕集、运输、封存及利用过程温室气体排放核算和报告指南</w:t>
      </w:r>
    </w:p>
    <w:p w14:paraId="43E07BF6" w14:textId="77777777" w:rsidR="00220B7F" w:rsidRDefault="00000000">
      <w:pPr>
        <w:rPr>
          <w:rFonts w:ascii="黑体" w:eastAsia="黑体" w:hAnsi="黑体" w:hint="eastAsia"/>
          <w:kern w:val="0"/>
        </w:rPr>
      </w:pPr>
      <w:r>
        <w:rPr>
          <w:rFonts w:ascii="黑体" w:eastAsia="黑体" w:hAnsi="黑体" w:hint="eastAsia"/>
          <w:kern w:val="0"/>
        </w:rPr>
        <w:t>6.</w:t>
      </w:r>
      <w:r>
        <w:rPr>
          <w:rFonts w:ascii="黑体" w:eastAsia="黑体" w:hAnsi="黑体"/>
          <w:kern w:val="0"/>
        </w:rPr>
        <w:t xml:space="preserve">2 </w:t>
      </w:r>
      <w:r>
        <w:rPr>
          <w:rFonts w:ascii="黑体" w:eastAsia="黑体" w:hAnsi="黑体" w:hint="eastAsia"/>
          <w:kern w:val="0"/>
        </w:rPr>
        <w:t>范围</w:t>
      </w:r>
    </w:p>
    <w:p w14:paraId="16005DBE" w14:textId="77777777" w:rsidR="00220B7F" w:rsidRDefault="00000000">
      <w:pPr>
        <w:pStyle w:val="ae"/>
      </w:pPr>
      <w:r>
        <w:rPr>
          <w:rFonts w:hint="eastAsia"/>
        </w:rPr>
        <w:t>本文件通过文献资料调研、技术交流和科技项目前期研究，分析我国CCUS现状、咨询行业内专家、参考国家产业政策和环保政策制定。</w:t>
      </w:r>
    </w:p>
    <w:p w14:paraId="2718FF8B" w14:textId="77777777" w:rsidR="00220B7F" w:rsidRDefault="00000000">
      <w:pPr>
        <w:pStyle w:val="ae"/>
      </w:pPr>
      <w:r>
        <w:rPr>
          <w:rFonts w:hint="eastAsia"/>
        </w:rPr>
        <w:t>本文件规定了电力企业二氧化碳捕集、运输、封存和利用的核算边界、核算方法、质量保证和文件存档及报告内容等方面的内容。本文件适用于温室气体排放的核算和报告。</w:t>
      </w:r>
    </w:p>
    <w:p w14:paraId="05102FD9" w14:textId="77777777" w:rsidR="00220B7F" w:rsidRDefault="00000000">
      <w:pPr>
        <w:rPr>
          <w:rFonts w:ascii="黑体" w:eastAsia="黑体" w:hAnsi="黑体" w:hint="eastAsia"/>
          <w:kern w:val="0"/>
        </w:rPr>
      </w:pPr>
      <w:r>
        <w:rPr>
          <w:rFonts w:ascii="黑体" w:eastAsia="黑体" w:hAnsi="黑体" w:hint="eastAsia"/>
          <w:kern w:val="0"/>
        </w:rPr>
        <w:t>6.</w:t>
      </w:r>
      <w:r>
        <w:rPr>
          <w:rFonts w:ascii="黑体" w:eastAsia="黑体" w:hAnsi="黑体"/>
          <w:kern w:val="0"/>
        </w:rPr>
        <w:t xml:space="preserve">3 </w:t>
      </w:r>
      <w:r>
        <w:rPr>
          <w:rFonts w:ascii="黑体" w:eastAsia="黑体" w:hAnsi="黑体" w:hint="eastAsia"/>
          <w:kern w:val="0"/>
        </w:rPr>
        <w:t>规范性引用文件</w:t>
      </w:r>
    </w:p>
    <w:p w14:paraId="59083BB9" w14:textId="77777777" w:rsidR="00220B7F" w:rsidRDefault="00000000">
      <w:pPr>
        <w:ind w:firstLineChars="200" w:firstLine="420"/>
        <w:rPr>
          <w:rFonts w:hAnsi="宋体" w:hint="eastAsia"/>
        </w:rPr>
      </w:pPr>
      <w:r>
        <w:rPr>
          <w:rFonts w:hAnsi="宋体" w:hint="eastAsia"/>
        </w:rPr>
        <w:t>主要引用相关国内标准，列出了煤的发热量测定方法、煤中碳和</w:t>
      </w:r>
      <w:proofErr w:type="gramStart"/>
      <w:r>
        <w:rPr>
          <w:rFonts w:hAnsi="宋体" w:hint="eastAsia"/>
        </w:rPr>
        <w:t>氢的</w:t>
      </w:r>
      <w:proofErr w:type="gramEnd"/>
      <w:r>
        <w:rPr>
          <w:rFonts w:hAnsi="宋体" w:hint="eastAsia"/>
        </w:rPr>
        <w:t>测量方法、工业液体二氧化碳、省级温室气体清单编制指南（试行）等国内参考标准、文件等。</w:t>
      </w:r>
    </w:p>
    <w:p w14:paraId="2BE80246" w14:textId="77777777" w:rsidR="00220B7F" w:rsidRDefault="00000000">
      <w:pPr>
        <w:rPr>
          <w:rFonts w:ascii="黑体" w:eastAsia="黑体" w:hAnsi="黑体" w:hint="eastAsia"/>
          <w:kern w:val="0"/>
        </w:rPr>
      </w:pPr>
      <w:r>
        <w:rPr>
          <w:rFonts w:ascii="黑体" w:eastAsia="黑体" w:hAnsi="黑体" w:hint="eastAsia"/>
          <w:kern w:val="0"/>
        </w:rPr>
        <w:t>6.</w:t>
      </w:r>
      <w:r>
        <w:rPr>
          <w:rFonts w:ascii="黑体" w:eastAsia="黑体" w:hAnsi="黑体"/>
          <w:kern w:val="0"/>
        </w:rPr>
        <w:t xml:space="preserve">4 </w:t>
      </w:r>
      <w:r>
        <w:rPr>
          <w:rFonts w:ascii="黑体" w:eastAsia="黑体" w:hAnsi="黑体" w:hint="eastAsia"/>
          <w:kern w:val="0"/>
        </w:rPr>
        <w:t>术语和定义</w:t>
      </w:r>
    </w:p>
    <w:p w14:paraId="7EABF7A4" w14:textId="77777777" w:rsidR="00220B7F" w:rsidRDefault="00000000">
      <w:pPr>
        <w:ind w:firstLineChars="200" w:firstLine="420"/>
      </w:pPr>
      <w:r>
        <w:rPr>
          <w:rFonts w:ascii="宋体" w:hint="eastAsia"/>
          <w:kern w:val="0"/>
        </w:rPr>
        <w:t>本</w:t>
      </w:r>
      <w:r>
        <w:rPr>
          <w:rFonts w:hint="eastAsia"/>
        </w:rPr>
        <w:t>文件</w:t>
      </w:r>
      <w:r>
        <w:rPr>
          <w:rFonts w:ascii="宋体" w:hint="eastAsia"/>
          <w:kern w:val="0"/>
        </w:rPr>
        <w:t>中涉及的术语，主要对CCUS、捕集、运输、利用、封存、温室气体、燃料燃烧排放、脱硫过程排放、净购入电力和热力隐含的排放、CO</w:t>
      </w:r>
      <w:r>
        <w:rPr>
          <w:rFonts w:ascii="宋体" w:hint="eastAsia"/>
          <w:kern w:val="0"/>
          <w:vertAlign w:val="subscript"/>
        </w:rPr>
        <w:t>2</w:t>
      </w:r>
      <w:r>
        <w:rPr>
          <w:rFonts w:ascii="宋体" w:hint="eastAsia"/>
          <w:kern w:val="0"/>
        </w:rPr>
        <w:t>捕集</w:t>
      </w:r>
      <w:proofErr w:type="gramStart"/>
      <w:r>
        <w:rPr>
          <w:rFonts w:ascii="宋体" w:hint="eastAsia"/>
          <w:kern w:val="0"/>
        </w:rPr>
        <w:t>的固碳排放</w:t>
      </w:r>
      <w:proofErr w:type="gramEnd"/>
      <w:r>
        <w:rPr>
          <w:rFonts w:ascii="宋体" w:hint="eastAsia"/>
          <w:kern w:val="0"/>
        </w:rPr>
        <w:t>、活动水平、排放因子、碳氧化率</w:t>
      </w:r>
      <w:r>
        <w:rPr>
          <w:rFonts w:hint="eastAsia"/>
        </w:rPr>
        <w:t>等进行了解释。</w:t>
      </w:r>
    </w:p>
    <w:p w14:paraId="264841F8" w14:textId="77777777" w:rsidR="00220B7F" w:rsidRDefault="00000000">
      <w:pPr>
        <w:rPr>
          <w:rFonts w:ascii="黑体" w:eastAsia="黑体" w:hAnsi="黑体" w:hint="eastAsia"/>
          <w:kern w:val="0"/>
        </w:rPr>
      </w:pPr>
      <w:r>
        <w:rPr>
          <w:rFonts w:ascii="黑体" w:eastAsia="黑体" w:hAnsi="黑体" w:hint="eastAsia"/>
          <w:kern w:val="0"/>
        </w:rPr>
        <w:t>6.</w:t>
      </w:r>
      <w:r>
        <w:rPr>
          <w:rFonts w:ascii="黑体" w:eastAsia="黑体" w:hAnsi="黑体"/>
          <w:kern w:val="0"/>
        </w:rPr>
        <w:t xml:space="preserve">5 </w:t>
      </w:r>
      <w:r>
        <w:rPr>
          <w:rFonts w:ascii="黑体" w:eastAsia="黑体" w:hAnsi="黑体" w:hint="eastAsia"/>
          <w:kern w:val="0"/>
        </w:rPr>
        <w:t>温室气体不同环节核算边界</w:t>
      </w:r>
    </w:p>
    <w:p w14:paraId="3D179671" w14:textId="77777777" w:rsidR="00220B7F" w:rsidRDefault="00000000">
      <w:pPr>
        <w:ind w:firstLine="420"/>
        <w:rPr>
          <w:kern w:val="0"/>
        </w:rPr>
      </w:pPr>
      <w:r>
        <w:rPr>
          <w:rFonts w:hint="eastAsia"/>
          <w:kern w:val="0"/>
        </w:rPr>
        <w:t>温室气体不同核算边界力求</w:t>
      </w:r>
      <w:r>
        <w:rPr>
          <w:kern w:val="0"/>
        </w:rPr>
        <w:t>坚持独立、</w:t>
      </w:r>
      <w:r>
        <w:rPr>
          <w:rFonts w:hint="eastAsia"/>
          <w:kern w:val="0"/>
        </w:rPr>
        <w:t>合理</w:t>
      </w:r>
      <w:r>
        <w:rPr>
          <w:kern w:val="0"/>
        </w:rPr>
        <w:t>、科学的原则，</w:t>
      </w:r>
      <w:r>
        <w:rPr>
          <w:rFonts w:hint="eastAsia"/>
          <w:kern w:val="0"/>
        </w:rPr>
        <w:t>本标准关注与</w:t>
      </w:r>
      <w:r>
        <w:rPr>
          <w:rFonts w:hint="eastAsia"/>
          <w:kern w:val="0"/>
        </w:rPr>
        <w:t>C</w:t>
      </w:r>
      <w:r>
        <w:rPr>
          <w:kern w:val="0"/>
        </w:rPr>
        <w:t>CUS</w:t>
      </w:r>
      <w:r>
        <w:rPr>
          <w:rFonts w:hint="eastAsia"/>
          <w:kern w:val="0"/>
        </w:rPr>
        <w:t>有关的设施，因此核算边界确定为发电系统、捕集系统、运输系统、利用和封存系统中的相关设施，不包括与</w:t>
      </w:r>
      <w:r>
        <w:rPr>
          <w:rFonts w:hint="eastAsia"/>
          <w:kern w:val="0"/>
        </w:rPr>
        <w:t>CCUS</w:t>
      </w:r>
      <w:r>
        <w:rPr>
          <w:rFonts w:hint="eastAsia"/>
          <w:kern w:val="0"/>
        </w:rPr>
        <w:t>无关的其他设施。</w:t>
      </w:r>
    </w:p>
    <w:p w14:paraId="4CF3549A" w14:textId="77777777" w:rsidR="00220B7F" w:rsidRDefault="00000000">
      <w:pPr>
        <w:ind w:firstLine="420"/>
        <w:rPr>
          <w:kern w:val="0"/>
        </w:rPr>
      </w:pPr>
      <w:r>
        <w:t>CCUS</w:t>
      </w:r>
      <w:r>
        <w:rPr>
          <w:rFonts w:hint="eastAsia"/>
        </w:rPr>
        <w:t>工艺的全流程包括捕集、运输、利用与封存四个环节，要完成全流程的工作，可能涉及不止一个运营商。本标准研究的是电力企业二氧化碳</w:t>
      </w:r>
      <w:r>
        <w:t>CCUS</w:t>
      </w:r>
      <w:r>
        <w:rPr>
          <w:rFonts w:hint="eastAsia"/>
        </w:rPr>
        <w:t>全过程的温室气体排放量核算指南，因此核算指南将包括捕集、运输、利用以及封存四个环节，如果其中某个环节是独立的运营商，也可参照指南中的核算方法核算出相应环节的排放量。</w:t>
      </w:r>
    </w:p>
    <w:p w14:paraId="2E0172D6" w14:textId="77777777" w:rsidR="00220B7F" w:rsidRDefault="00000000">
      <w:pPr>
        <w:rPr>
          <w:rFonts w:ascii="黑体" w:eastAsia="黑体" w:hAnsi="黑体" w:hint="eastAsia"/>
          <w:kern w:val="0"/>
        </w:rPr>
      </w:pPr>
      <w:r>
        <w:rPr>
          <w:rFonts w:ascii="黑体" w:eastAsia="黑体" w:hAnsi="黑体" w:hint="eastAsia"/>
          <w:kern w:val="0"/>
        </w:rPr>
        <w:lastRenderedPageBreak/>
        <w:t>6.</w:t>
      </w:r>
      <w:r>
        <w:rPr>
          <w:rFonts w:ascii="黑体" w:eastAsia="黑体" w:hAnsi="黑体"/>
          <w:kern w:val="0"/>
        </w:rPr>
        <w:t xml:space="preserve">6 </w:t>
      </w:r>
      <w:r>
        <w:rPr>
          <w:rFonts w:ascii="黑体" w:eastAsia="黑体" w:hAnsi="黑体" w:hint="eastAsia"/>
          <w:kern w:val="0"/>
        </w:rPr>
        <w:t>温室气体不同环节的核算方法</w:t>
      </w:r>
    </w:p>
    <w:p w14:paraId="089F3BE2" w14:textId="77777777" w:rsidR="00220B7F" w:rsidRDefault="00000000">
      <w:pPr>
        <w:ind w:firstLine="420"/>
        <w:rPr>
          <w:kern w:val="0"/>
        </w:rPr>
      </w:pPr>
      <w:r>
        <w:rPr>
          <w:rFonts w:hint="eastAsia"/>
          <w:kern w:val="0"/>
        </w:rPr>
        <w:t>CCUS</w:t>
      </w:r>
      <w:r>
        <w:rPr>
          <w:kern w:val="0"/>
        </w:rPr>
        <w:t>一般包括</w:t>
      </w:r>
      <w:r>
        <w:rPr>
          <w:rFonts w:hint="eastAsia"/>
          <w:kern w:val="0"/>
        </w:rPr>
        <w:t>捕集、运输、利用和封存系统，电力企业还包括发电系统</w:t>
      </w:r>
      <w:r>
        <w:rPr>
          <w:kern w:val="0"/>
        </w:rPr>
        <w:t>。</w:t>
      </w:r>
    </w:p>
    <w:p w14:paraId="5FC91328" w14:textId="77777777" w:rsidR="00220B7F" w:rsidRDefault="00000000">
      <w:pPr>
        <w:ind w:firstLine="420"/>
      </w:pPr>
      <w:r>
        <w:rPr>
          <w:rFonts w:hint="eastAsia"/>
        </w:rPr>
        <w:t>电力企业二氧化碳捕集、运输、封存及利用全流程的排放总量等于各环节排放量的加和，电力企业</w:t>
      </w:r>
      <w:r>
        <w:rPr>
          <w:rFonts w:hint="eastAsia"/>
        </w:rPr>
        <w:t>CCUS</w:t>
      </w:r>
      <w:r>
        <w:rPr>
          <w:rFonts w:hint="eastAsia"/>
        </w:rPr>
        <w:t>全流程各环节涉及的排放类型包括：化石燃料燃烧排放、脱硫过程排放、净购入电力和热力隐含的排放、进入捕集系统的二氧化碳、从捕集装置输出进入运输系统的（应被扣除）、运输和利用以及封存系统的泄漏排放。其中化石燃料燃烧排放、脱硫过程排放、净购入电力和热力隐含的排放在其他行业核算指南中均已具备较为成熟的核算方法，而对于输入至捕集系统、从捕集系统输出进入运输系统的二氧化碳（应被扣除）以及运输系统、利用系统以及封存系统的泄漏排放目前未见成熟或明确核算方法的，本标准旨在明确这些核算方法。</w:t>
      </w:r>
    </w:p>
    <w:p w14:paraId="3FF0DF5D" w14:textId="77777777" w:rsidR="00220B7F" w:rsidRDefault="00000000">
      <w:pPr>
        <w:ind w:firstLine="420"/>
        <w:rPr>
          <w:rFonts w:ascii="宋体"/>
          <w:color w:val="FF0000"/>
          <w:kern w:val="0"/>
        </w:rPr>
      </w:pPr>
      <w:r>
        <w:rPr>
          <w:rFonts w:hint="eastAsia"/>
        </w:rPr>
        <w:t>该标准中在核算方法的准确度与可行性方面，根据各环节的工艺特点、排放源类型，选择了科学合理的方案，使该核算方法具备较强的科学性与实操性。</w:t>
      </w:r>
    </w:p>
    <w:p w14:paraId="16B5D9F7" w14:textId="77777777" w:rsidR="00220B7F" w:rsidRDefault="00000000">
      <w:pPr>
        <w:rPr>
          <w:rFonts w:ascii="宋体"/>
          <w:kern w:val="0"/>
        </w:rPr>
      </w:pPr>
      <w:r>
        <w:rPr>
          <w:rFonts w:ascii="黑体" w:eastAsia="黑体" w:hAnsi="黑体" w:hint="eastAsia"/>
          <w:kern w:val="0"/>
        </w:rPr>
        <w:t>6.</w:t>
      </w:r>
      <w:r>
        <w:rPr>
          <w:rFonts w:ascii="黑体" w:eastAsia="黑体" w:hAnsi="黑体"/>
          <w:kern w:val="0"/>
        </w:rPr>
        <w:t xml:space="preserve">7 </w:t>
      </w:r>
      <w:r>
        <w:rPr>
          <w:rFonts w:ascii="黑体" w:eastAsia="黑体" w:hAnsi="黑体" w:hint="eastAsia"/>
          <w:kern w:val="0"/>
        </w:rPr>
        <w:t>质量保证和文件存档</w:t>
      </w:r>
    </w:p>
    <w:p w14:paraId="597790C7" w14:textId="77777777" w:rsidR="00220B7F" w:rsidRDefault="00000000">
      <w:pPr>
        <w:ind w:firstLine="420"/>
        <w:rPr>
          <w:b/>
          <w:bCs/>
          <w:kern w:val="0"/>
        </w:rPr>
      </w:pPr>
      <w:r>
        <w:rPr>
          <w:rFonts w:hint="eastAsia"/>
          <w:kern w:val="0"/>
        </w:rPr>
        <w:t>为确保报告主体温室气体排放核算数据的科学性、全面性、准确性和完整性，报告主体应建立企业温室气体年度报告的质量控制与质量保证制度，如建立企业温室气体量化和报告的规章制度，包括组织方式、负责机构、工作流程等；建立企业主要温室气体排放源一览表，确定合理的温室气体排放量化方法，形成文件存档；制定可行的监测计划；完善计量设备的定期教育计划和管理制度；建立文档管理制度，进行数据内部审核和验证程序。</w:t>
      </w:r>
    </w:p>
    <w:p w14:paraId="5AF9F709" w14:textId="77777777" w:rsidR="00220B7F" w:rsidRDefault="00000000">
      <w:pPr>
        <w:ind w:firstLine="420"/>
        <w:rPr>
          <w:kern w:val="0"/>
        </w:rPr>
      </w:pPr>
      <w:r>
        <w:rPr>
          <w:rFonts w:hint="eastAsia"/>
          <w:kern w:val="0"/>
        </w:rPr>
        <w:t>CCUS</w:t>
      </w:r>
      <w:r>
        <w:rPr>
          <w:rFonts w:hint="eastAsia"/>
          <w:kern w:val="0"/>
        </w:rPr>
        <w:t>全流程温室气体排放</w:t>
      </w:r>
      <w:r>
        <w:rPr>
          <w:kern w:val="0"/>
        </w:rPr>
        <w:t>，涉及面广</w:t>
      </w:r>
      <w:r>
        <w:rPr>
          <w:rFonts w:hint="eastAsia"/>
          <w:kern w:val="0"/>
        </w:rPr>
        <w:t>、学科多</w:t>
      </w:r>
      <w:r>
        <w:rPr>
          <w:kern w:val="0"/>
        </w:rPr>
        <w:t>，本标准拟</w:t>
      </w:r>
      <w:r>
        <w:rPr>
          <w:rFonts w:hint="eastAsia"/>
          <w:kern w:val="0"/>
        </w:rPr>
        <w:t>对各环节和学科建立统一计算指标</w:t>
      </w:r>
      <w:r>
        <w:rPr>
          <w:kern w:val="0"/>
        </w:rPr>
        <w:t>。</w:t>
      </w:r>
    </w:p>
    <w:p w14:paraId="4286FED1" w14:textId="77777777" w:rsidR="00220B7F" w:rsidRDefault="00000000">
      <w:pPr>
        <w:rPr>
          <w:rFonts w:ascii="黑体" w:eastAsia="黑体" w:hAnsi="黑体" w:hint="eastAsia"/>
          <w:kern w:val="0"/>
        </w:rPr>
      </w:pPr>
      <w:r>
        <w:rPr>
          <w:rFonts w:ascii="黑体" w:eastAsia="黑体" w:hAnsi="黑体" w:hint="eastAsia"/>
          <w:kern w:val="0"/>
        </w:rPr>
        <w:t>6.</w:t>
      </w:r>
      <w:r>
        <w:rPr>
          <w:rFonts w:ascii="黑体" w:eastAsia="黑体" w:hAnsi="黑体"/>
          <w:kern w:val="0"/>
        </w:rPr>
        <w:t>8</w:t>
      </w:r>
      <w:r>
        <w:rPr>
          <w:rFonts w:ascii="黑体" w:eastAsia="黑体" w:hAnsi="黑体" w:hint="eastAsia"/>
          <w:kern w:val="0"/>
        </w:rPr>
        <w:t>报告内容要求</w:t>
      </w:r>
    </w:p>
    <w:p w14:paraId="4FEA7D01" w14:textId="77777777" w:rsidR="00220B7F" w:rsidRDefault="00000000">
      <w:pPr>
        <w:ind w:firstLineChars="200" w:firstLine="420"/>
      </w:pPr>
      <w:r>
        <w:rPr>
          <w:rFonts w:hint="eastAsia"/>
        </w:rPr>
        <w:t>报告内容</w:t>
      </w:r>
      <w:r>
        <w:t>对</w:t>
      </w:r>
      <w:r>
        <w:rPr>
          <w:rFonts w:hint="eastAsia"/>
        </w:rPr>
        <w:t>温室气体排放核算和报告</w:t>
      </w:r>
      <w:r>
        <w:t>的主要内容提出要求。报告包括</w:t>
      </w:r>
      <w:r>
        <w:rPr>
          <w:rFonts w:hint="eastAsia"/>
        </w:rPr>
        <w:t>报告主体基本信息、温室气体排放量、活动数据及来源说明、排放因子数据及来源说明、其他需要说明的情况以及</w:t>
      </w:r>
      <w:r>
        <w:t>附</w:t>
      </w:r>
      <w:r>
        <w:rPr>
          <w:rFonts w:hint="eastAsia"/>
        </w:rPr>
        <w:t>表</w:t>
      </w:r>
      <w:r>
        <w:t>（</w:t>
      </w:r>
      <w:proofErr w:type="gramStart"/>
      <w:r>
        <w:t>含</w:t>
      </w:r>
      <w:r>
        <w:rPr>
          <w:rFonts w:hint="eastAsia"/>
        </w:rPr>
        <w:t>报告</w:t>
      </w:r>
      <w:proofErr w:type="gramEnd"/>
      <w:r>
        <w:rPr>
          <w:rFonts w:hint="eastAsia"/>
        </w:rPr>
        <w:t>主体所计算年度温室气体排放量汇总表、化石燃料燃烧活动水平和排放因子数据一览表、净购入电力和热力活动数据和排放因子一览表、输入捕集系统的</w:t>
      </w:r>
      <w:r>
        <w:rPr>
          <w:rFonts w:hint="eastAsia"/>
        </w:rPr>
        <w:t>CO</w:t>
      </w:r>
      <w:r>
        <w:rPr>
          <w:vertAlign w:val="subscript"/>
        </w:rPr>
        <w:t>2</w:t>
      </w:r>
      <w:r>
        <w:rPr>
          <w:rFonts w:hint="eastAsia"/>
        </w:rPr>
        <w:t>活动水平一览表、输出捕集系统的</w:t>
      </w:r>
      <w:r>
        <w:rPr>
          <w:rFonts w:hint="eastAsia"/>
        </w:rPr>
        <w:t>CO</w:t>
      </w:r>
      <w:r>
        <w:rPr>
          <w:rFonts w:hint="eastAsia"/>
          <w:vertAlign w:val="subscript"/>
        </w:rPr>
        <w:t>2</w:t>
      </w:r>
      <w:r>
        <w:rPr>
          <w:rFonts w:hint="eastAsia"/>
        </w:rPr>
        <w:t>过程活动水平一览表、运输系统泄露排放活动水平数据一览表、利用系统泄漏排放活动水平和排放因子数据一览表、封存系统泄露排放活动水平和排放因子数据一览表</w:t>
      </w:r>
      <w:r>
        <w:t>等）等。</w:t>
      </w:r>
    </w:p>
    <w:p w14:paraId="71CA6A79" w14:textId="77777777" w:rsidR="00220B7F" w:rsidRDefault="00220B7F"/>
    <w:sectPr w:rsidR="00220B7F">
      <w:pgSz w:w="11906" w:h="16838"/>
      <w:pgMar w:top="1440" w:right="1800" w:bottom="1440" w:left="180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9881F" w14:textId="77777777" w:rsidR="005522B2" w:rsidRDefault="005522B2">
      <w:r>
        <w:separator/>
      </w:r>
    </w:p>
  </w:endnote>
  <w:endnote w:type="continuationSeparator" w:id="0">
    <w:p w14:paraId="1C613E92" w14:textId="77777777" w:rsidR="005522B2" w:rsidRDefault="0055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8F6A" w14:textId="77777777" w:rsidR="00220B7F" w:rsidRDefault="00220B7F">
    <w:pPr>
      <w:pStyle w:val="a9"/>
    </w:pPr>
  </w:p>
  <w:p w14:paraId="504FC214" w14:textId="77777777" w:rsidR="00220B7F" w:rsidRDefault="00220B7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902196"/>
      <w:showingPlcHdr/>
    </w:sdtPr>
    <w:sdtContent>
      <w:p w14:paraId="7A073749" w14:textId="77777777" w:rsidR="00220B7F" w:rsidRDefault="00000000">
        <w:pPr>
          <w:pStyle w:val="a9"/>
          <w:jc w:val="right"/>
        </w:pPr>
        <w:r>
          <w:t xml:space="preserve">     </w:t>
        </w:r>
      </w:p>
    </w:sdtContent>
  </w:sdt>
  <w:p w14:paraId="01E0ECED" w14:textId="77777777" w:rsidR="00220B7F" w:rsidRDefault="00220B7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428551"/>
    </w:sdtPr>
    <w:sdtContent>
      <w:p w14:paraId="44386E23" w14:textId="77777777" w:rsidR="00220B7F" w:rsidRDefault="00000000">
        <w:pPr>
          <w:pStyle w:val="a9"/>
          <w:jc w:val="right"/>
        </w:pPr>
        <w:r>
          <w:fldChar w:fldCharType="begin"/>
        </w:r>
        <w:r>
          <w:instrText>PAGE   \* MERGEFORMAT</w:instrText>
        </w:r>
        <w:r>
          <w:fldChar w:fldCharType="separate"/>
        </w:r>
        <w:r>
          <w:rPr>
            <w:lang w:val="zh-CN"/>
          </w:rPr>
          <w:t>2</w:t>
        </w:r>
        <w:r>
          <w:fldChar w:fldCharType="end"/>
        </w:r>
      </w:p>
    </w:sdtContent>
  </w:sdt>
  <w:p w14:paraId="43E60D94" w14:textId="77777777" w:rsidR="00220B7F" w:rsidRDefault="00220B7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D6F9F" w14:textId="77777777" w:rsidR="005522B2" w:rsidRDefault="005522B2">
      <w:r>
        <w:separator/>
      </w:r>
    </w:p>
  </w:footnote>
  <w:footnote w:type="continuationSeparator" w:id="0">
    <w:p w14:paraId="3477E9C2" w14:textId="77777777" w:rsidR="005522B2" w:rsidRDefault="00552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B440" w14:textId="77777777" w:rsidR="00220B7F" w:rsidRDefault="00000000">
    <w:pPr>
      <w:pStyle w:val="af"/>
      <w:rPr>
        <w:rFonts w:ascii="Times New Roman"/>
      </w:rPr>
    </w:pPr>
    <w:r>
      <w:rPr>
        <w:rFonts w:ascii="Times New Roman"/>
      </w:rPr>
      <w:t>T/CSEE####—XXXX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41663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D6E"/>
    <w:rsid w:val="00066ECA"/>
    <w:rsid w:val="00083E10"/>
    <w:rsid w:val="000A7A78"/>
    <w:rsid w:val="000E4C06"/>
    <w:rsid w:val="00186E01"/>
    <w:rsid w:val="001F6FBB"/>
    <w:rsid w:val="00220B7F"/>
    <w:rsid w:val="00234130"/>
    <w:rsid w:val="002557C9"/>
    <w:rsid w:val="00284C2C"/>
    <w:rsid w:val="00302C1F"/>
    <w:rsid w:val="003268B4"/>
    <w:rsid w:val="003327D2"/>
    <w:rsid w:val="003615C0"/>
    <w:rsid w:val="00366ED0"/>
    <w:rsid w:val="00383237"/>
    <w:rsid w:val="00390F6D"/>
    <w:rsid w:val="004320E5"/>
    <w:rsid w:val="004518FE"/>
    <w:rsid w:val="004913CA"/>
    <w:rsid w:val="005522B2"/>
    <w:rsid w:val="00557173"/>
    <w:rsid w:val="006C0737"/>
    <w:rsid w:val="006E5EED"/>
    <w:rsid w:val="007441DD"/>
    <w:rsid w:val="00801BFE"/>
    <w:rsid w:val="00836908"/>
    <w:rsid w:val="008723B3"/>
    <w:rsid w:val="008A57E8"/>
    <w:rsid w:val="008D2B03"/>
    <w:rsid w:val="008E0C14"/>
    <w:rsid w:val="008F5979"/>
    <w:rsid w:val="008F78DB"/>
    <w:rsid w:val="00901A3E"/>
    <w:rsid w:val="00930AD5"/>
    <w:rsid w:val="009804F3"/>
    <w:rsid w:val="0098489D"/>
    <w:rsid w:val="009C0010"/>
    <w:rsid w:val="00A62125"/>
    <w:rsid w:val="00AD0D6E"/>
    <w:rsid w:val="00AF2DB5"/>
    <w:rsid w:val="00B03DB0"/>
    <w:rsid w:val="00B05C01"/>
    <w:rsid w:val="00BA14F1"/>
    <w:rsid w:val="00BB02F4"/>
    <w:rsid w:val="00BB1BF0"/>
    <w:rsid w:val="00BC6482"/>
    <w:rsid w:val="00C44D62"/>
    <w:rsid w:val="00C5115F"/>
    <w:rsid w:val="00C552ED"/>
    <w:rsid w:val="00C57287"/>
    <w:rsid w:val="00CA7BE7"/>
    <w:rsid w:val="00CE5BFE"/>
    <w:rsid w:val="00D1636D"/>
    <w:rsid w:val="00D94033"/>
    <w:rsid w:val="00DE162F"/>
    <w:rsid w:val="00E7716B"/>
    <w:rsid w:val="00F129FA"/>
    <w:rsid w:val="00F74C49"/>
    <w:rsid w:val="00F811E0"/>
    <w:rsid w:val="00F974A6"/>
    <w:rsid w:val="00FA04EF"/>
    <w:rsid w:val="00FB72ED"/>
    <w:rsid w:val="00FC4F08"/>
    <w:rsid w:val="0DAB1F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62D5"/>
  <w15:docId w15:val="{E9AC0D27-0C2C-4BE2-9E54-8331B17D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pPr>
      <w:widowControl w:val="0"/>
      <w:jc w:val="both"/>
    </w:pPr>
    <w:rPr>
      <w:rFonts w:ascii="Times New Roman" w:eastAsia="宋体" w:hAnsi="Times New Roman" w:cs="Times New Roman"/>
      <w:kern w:val="2"/>
      <w:sz w:val="21"/>
    </w:rPr>
  </w:style>
  <w:style w:type="paragraph" w:styleId="1">
    <w:name w:val="heading 1"/>
    <w:basedOn w:val="a5"/>
    <w:next w:val="a5"/>
    <w:link w:val="10"/>
    <w:uiPriority w:val="9"/>
    <w:qFormat/>
    <w:pPr>
      <w:keepNext/>
      <w:keepLines/>
      <w:spacing w:before="340" w:after="330" w:line="578" w:lineRule="auto"/>
      <w:outlineLvl w:val="0"/>
    </w:pPr>
    <w:rPr>
      <w:b/>
      <w:bCs/>
      <w:kern w:val="44"/>
      <w:sz w:val="44"/>
      <w:szCs w:val="4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basedOn w:val="a5"/>
    <w:link w:val="aa"/>
    <w:uiPriority w:val="99"/>
    <w:unhideWhenUsed/>
    <w:qFormat/>
    <w:pPr>
      <w:tabs>
        <w:tab w:val="center" w:pos="4153"/>
        <w:tab w:val="right" w:pos="8306"/>
      </w:tabs>
      <w:snapToGrid w:val="0"/>
      <w:jc w:val="left"/>
    </w:pPr>
    <w:rPr>
      <w:sz w:val="18"/>
      <w:szCs w:val="18"/>
    </w:rPr>
  </w:style>
  <w:style w:type="paragraph" w:styleId="ab">
    <w:name w:val="header"/>
    <w:basedOn w:val="a5"/>
    <w:link w:val="ac"/>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5"/>
    <w:next w:val="a5"/>
    <w:uiPriority w:val="39"/>
    <w:qFormat/>
    <w:pPr>
      <w:tabs>
        <w:tab w:val="right" w:leader="dot" w:pos="9356"/>
      </w:tabs>
      <w:spacing w:beforeLines="25" w:before="78" w:afterLines="25" w:after="78"/>
      <w:jc w:val="left"/>
    </w:pPr>
    <w:rPr>
      <w:szCs w:val="21"/>
    </w:rPr>
  </w:style>
  <w:style w:type="character" w:styleId="ad">
    <w:name w:val="Hyperlink"/>
    <w:uiPriority w:val="99"/>
    <w:qFormat/>
    <w:rPr>
      <w:color w:val="0000FF"/>
      <w:spacing w:val="0"/>
      <w:w w:val="100"/>
      <w:szCs w:val="21"/>
      <w:u w:val="single"/>
    </w:rPr>
  </w:style>
  <w:style w:type="character" w:customStyle="1" w:styleId="ac">
    <w:name w:val="页眉 字符"/>
    <w:basedOn w:val="a6"/>
    <w:link w:val="ab"/>
    <w:uiPriority w:val="99"/>
    <w:rPr>
      <w:rFonts w:ascii="Times New Roman" w:eastAsia="宋体" w:hAnsi="Times New Roman" w:cs="Times New Roman"/>
      <w:sz w:val="18"/>
      <w:szCs w:val="18"/>
    </w:rPr>
  </w:style>
  <w:style w:type="character" w:customStyle="1" w:styleId="aa">
    <w:name w:val="页脚 字符"/>
    <w:basedOn w:val="a6"/>
    <w:link w:val="a9"/>
    <w:uiPriority w:val="99"/>
    <w:qFormat/>
    <w:rPr>
      <w:rFonts w:ascii="Times New Roman" w:eastAsia="宋体" w:hAnsi="Times New Roman" w:cs="Times New Roman"/>
      <w:sz w:val="18"/>
      <w:szCs w:val="18"/>
    </w:rPr>
  </w:style>
  <w:style w:type="paragraph" w:customStyle="1" w:styleId="ae">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e"/>
    <w:qFormat/>
    <w:rPr>
      <w:rFonts w:ascii="宋体" w:eastAsia="宋体" w:hAnsi="Times New Roman" w:cs="Times New Roman"/>
      <w:kern w:val="0"/>
      <w:szCs w:val="20"/>
    </w:rPr>
  </w:style>
  <w:style w:type="paragraph" w:customStyle="1" w:styleId="a0">
    <w:name w:val="一级条标题"/>
    <w:next w:val="ae"/>
    <w:qFormat/>
    <w:pPr>
      <w:numPr>
        <w:ilvl w:val="1"/>
        <w:numId w:val="1"/>
      </w:numPr>
      <w:spacing w:beforeLines="50" w:afterLines="50"/>
      <w:outlineLvl w:val="2"/>
    </w:pPr>
    <w:rPr>
      <w:rFonts w:ascii="黑体" w:eastAsia="黑体" w:hAnsi="Times New Roman" w:cs="Times New Roman"/>
      <w:sz w:val="21"/>
      <w:szCs w:val="21"/>
    </w:rPr>
  </w:style>
  <w:style w:type="paragraph" w:customStyle="1" w:styleId="af">
    <w:name w:val="标准书眉_奇数页"/>
    <w:next w:val="a5"/>
    <w:qFormat/>
    <w:pPr>
      <w:tabs>
        <w:tab w:val="center" w:pos="4154"/>
        <w:tab w:val="right" w:pos="8306"/>
      </w:tabs>
      <w:spacing w:after="220"/>
      <w:jc w:val="right"/>
    </w:pPr>
    <w:rPr>
      <w:rFonts w:ascii="黑体" w:eastAsia="黑体" w:hAnsi="Times New Roman" w:cs="Times New Roman"/>
      <w:sz w:val="21"/>
      <w:szCs w:val="21"/>
    </w:rPr>
  </w:style>
  <w:style w:type="paragraph" w:customStyle="1" w:styleId="a">
    <w:name w:val="章标题"/>
    <w:next w:val="ae"/>
    <w:qFormat/>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e"/>
    <w:qFormat/>
    <w:pPr>
      <w:numPr>
        <w:ilvl w:val="2"/>
      </w:numPr>
      <w:spacing w:before="50" w:after="50"/>
      <w:outlineLvl w:val="3"/>
    </w:pPr>
  </w:style>
  <w:style w:type="paragraph" w:customStyle="1" w:styleId="af0">
    <w:name w:val="目次、标准名称标题"/>
    <w:basedOn w:val="a5"/>
    <w:next w:val="ae"/>
    <w:qFormat/>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a2">
    <w:name w:val="三级条标题"/>
    <w:basedOn w:val="a1"/>
    <w:next w:val="ae"/>
    <w:qFormat/>
    <w:pPr>
      <w:numPr>
        <w:ilvl w:val="3"/>
      </w:numPr>
      <w:outlineLvl w:val="4"/>
    </w:pPr>
  </w:style>
  <w:style w:type="paragraph" w:customStyle="1" w:styleId="a3">
    <w:name w:val="四级条标题"/>
    <w:basedOn w:val="a2"/>
    <w:next w:val="ae"/>
    <w:qFormat/>
    <w:pPr>
      <w:numPr>
        <w:ilvl w:val="4"/>
      </w:numPr>
      <w:outlineLvl w:val="5"/>
    </w:pPr>
  </w:style>
  <w:style w:type="paragraph" w:customStyle="1" w:styleId="a4">
    <w:name w:val="五级条标题"/>
    <w:basedOn w:val="a3"/>
    <w:next w:val="ae"/>
    <w:qFormat/>
    <w:pPr>
      <w:numPr>
        <w:ilvl w:val="5"/>
      </w:numPr>
      <w:outlineLvl w:val="6"/>
    </w:pPr>
  </w:style>
  <w:style w:type="paragraph" w:customStyle="1" w:styleId="11">
    <w:name w:val="样式 标题 1 + 非加粗"/>
    <w:basedOn w:val="1"/>
    <w:qFormat/>
    <w:pPr>
      <w:spacing w:beforeLines="100" w:afterLines="100" w:line="240" w:lineRule="auto"/>
    </w:pPr>
    <w:rPr>
      <w:rFonts w:eastAsia="黑体"/>
      <w:b w:val="0"/>
      <w:bCs w:val="0"/>
      <w:sz w:val="21"/>
    </w:rPr>
  </w:style>
  <w:style w:type="character" w:customStyle="1" w:styleId="10">
    <w:name w:val="标题 1 字符"/>
    <w:basedOn w:val="a6"/>
    <w:link w:val="1"/>
    <w:uiPriority w:val="9"/>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e6cfa43c-b477-4c4f-9aca-f3c83364a937</errorID>
      <errorWord>截止</errorWord>
      <group>L1_Word</group>
      <groupName>字词问题</groupName>
      <ability>L2_Typo</ability>
      <abilityName>字词错误</abilityName>
      <candidateList>
        <item>截至</item>
      </candidateList>
      <explain>存在发音相同字词的误用。</explain>
      <paraID>5BAA4C09</paraID>
      <start>19</start>
      <end>21</end>
      <status>modified</status>
      <modifiedWord>截至</modifiedWord>
      <trackRevisions>false</trackRevisions>
    </reviewItem>
    <reviewItem>
      <errorID>f2c50fe2-309c-4136-bd9f-e8641e3db47f</errorID>
      <errorWord>预</errorWord>
      <group>L1_Word</group>
      <groupName>字词问题</groupName>
      <ability>L2_Typo</ability>
      <abilityName>字词错误</abilityName>
      <candidateList>
        <item>欲</item>
      </candidateList>
      <explain>存在发音相同字词的误用。</explain>
      <paraID>5BAA4C09</paraID>
      <start>112</start>
      <end>113</end>
      <status>modified</status>
      <modifiedWord>欲</modifiedWord>
      <trackRevisions>false</trackRevisions>
    </reviewItem>
    <reviewItem>
      <errorID>5122c5a4-f164-41b1-a364-3a341b1d4e55</errorID>
      <errorWord>国家发改委</errorWord>
      <group>L1_Knowledge</group>
      <groupName>知识性问题</groupName>
      <ability>L2_Knowledge</ability>
      <abilityName>其他知识</abilityName>
      <candidateList>
        <item>国家发展改革委</item>
      </candidateList>
      <explain/>
      <paraID>5BAA4C09</paraID>
      <start>183</start>
      <end>190</end>
      <status>modified</status>
      <modifiedWord>国家发展改革委</modifiedWord>
      <trackRevisions>false</trackRevisions>
    </reviewItem>
    <reviewItem>
      <errorID>ab6b96de-315c-4a5e-ae1e-6718bd60a035</errorID>
      <errorWord>例如有</errorWord>
      <group>L1_Word</group>
      <groupName>字词问题</groupName>
      <ability>L2_Typo</ability>
      <abilityName>字词错误</abilityName>
      <candidateList>
        <item>例如</item>
      </candidateList>
      <explain>〈动〉举例用语，放在所举的例子前面，表示下面就是例子：田径运动的项目很多，～跳高、跳远、百米赛跑等。</explain>
      <paraID>5BAA4C09</paraID>
      <start>287</start>
      <end>289</end>
      <status>modified</status>
      <modifiedWord>例如</modifiedWord>
      <trackRevisions>false</trackRevisions>
    </reviewItem>
    <reviewItem>
      <errorID>715a1bb8-5b15-4692-9504-afd3e4ae496a</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5BAA4C09</paraID>
      <start>422</start>
      <end>423</end>
      <status>modified</status>
      <modifiedWord>对</modifiedWord>
      <trackRevisions>false</trackRevisions>
    </reviewItem>
    <reviewItem>
      <errorID>70ac4dbb-4ec2-4b07-861e-95a64fcea1b6</errorID>
      <errorWord>碳达峰与碳中和</errorWord>
      <group>L1_Political</group>
      <groupName>政治性问题</groupName>
      <ability>L2_Keyword</ability>
      <abilityName>固定表述</abilityName>
      <candidateList>
        <item>碳达峰碳中和</item>
      </candidateList>
      <explain>词汇“碳达峰碳中和”在特定场景下为固定表述形式，请确认此处的“碳达峰与碳中和”是否存在不当。</explain>
      <paraID>19484D3E</paraID>
      <start>159</start>
      <end>165</end>
      <status>modified</status>
      <modifiedWord>碳达峰碳中和</modifiedWord>
      <trackRevisions>false</trackRevisions>
    </reviewItem>
    <reviewItem>
      <errorID>eccf0480-10b4-4370-b88b-f08ebc301423</errorID>
      <errorWord>标的实现</errorWord>
      <group>L1_Grammar</group>
      <groupName>语法问题</groupName>
      <ability>L2_Confusion</ability>
      <abilityName>结构混乱</abilityName>
      <candidateList>
        <item>标</item>
      </candidateList>
      <explain>句子中可能存在两种以上的句法结构，导致结构混乱。</explain>
      <paraID>19484D3E</paraID>
      <start>168</start>
      <end>169</end>
      <status>modified</status>
      <modifiedWord>标</modifiedWord>
      <trackRevisions>false</trackRevisions>
    </reviewItem>
    <reviewItem>
      <errorID>3b0d4da3-b6d9-458d-84ca-9231b77df1b4</errorID>
      <errorWord>内容的编制</errorWord>
      <group>L1_Grammar</group>
      <groupName>语法问题</groupName>
      <ability>L2_Order</ability>
      <abilityName>语序不当</abilityName>
      <candidateList>
        <item>编制的内容</item>
      </candidateList>
      <explain>句子可能没有遵循时空、逻辑顺序，或者介词、关联词等位置不当。</explain>
      <paraID> D3B1C29</paraID>
      <start>43</start>
      <end>48</end>
      <status>modified</status>
      <modifiedWord>编制的内容</modifiedWord>
      <trackRevisions>false</trackRevisions>
    </reviewItem>
    <reviewItem>
      <errorID>e105bf8c-478a-4b6a-902a-1494950e1369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174CA3C9</paraID>
      <start>11</start>
      <end>12</end>
      <status>modified</status>
      <modifiedWord>—</modifiedWord>
      <trackRevisions>false</trackRevisions>
    </reviewItem>
    <reviewItem>
      <errorID>069ac3f8-2e19-49d7-a0fd-64caae7651be</errorID>
      <errorWord>涉及到</errorWord>
      <group>L1_Grammar</group>
      <groupName>语法问题</groupName>
      <ability>L2_Grammar</ability>
      <abilityName>语法错误</abilityName>
      <candidateList>
        <item>涉及</item>
      </candidateList>
      <explain>〈动〉牵涉到；关联到：案子～好几个人｜这个问题～面很广。</explain>
      <paraID>4951C04A</paraID>
      <start>40</start>
      <end>42</end>
      <status>modified</status>
      <modifiedWord>涉及</modifiedWord>
      <trackRevisions>false</trackRevisions>
    </reviewItem>
    <reviewItem>
      <errorID>5faa3589-b2cc-4831-b55d-04492daa6528</errorID>
      <errorWord>这其中</errorWord>
      <group>L1_Grammar</group>
      <groupName>语法问题</groupName>
      <ability>L2_Grammar</ability>
      <abilityName>语法错误</abilityName>
      <candidateList>
        <item>其中</item>
      </candidateList>
      <explain>〈名〉方位词。那里面：不知～奥妙｜气象站一共五个人，～三个是新来的。</explain>
      <paraID>4951C04A</paraID>
      <start>113</start>
      <end>115</end>
      <status>modified</status>
      <modifiedWord>其中</modifiedWord>
      <trackRevisions>false</trackRevisions>
    </reviewItem>
    <reviewItem>
      <errorID>7288d748-0315-4608-baf9-074a57dc55be</errorID>
      <errorWord>涉及到</errorWord>
      <group>L1_Grammar</group>
      <groupName>语法问题</groupName>
      <ability>L2_Grammar</ability>
      <abilityName>语法错误</abilityName>
      <candidateList>
        <item>涉及</item>
      </candidateList>
      <explain>〈动〉牵涉到；关联到：案子～好几个人｜这个问题～面很广。</explain>
      <paraID>69B3505E</paraID>
      <start>53</start>
      <end>55</end>
      <status>modified</status>
      <modifiedWord>涉及</modifiedWord>
      <trackRevisions>false</trackRevisions>
    </reviewItem>
    <reviewItem>
      <errorID>da22378c-d8ad-4de5-a5ed-bc6a5e5047d2</errorID>
      <errorWord>泄露</errorWord>
      <group>L1_Word</group>
      <groupName>字词问题</groupName>
      <ability>L2_Typo</ability>
      <abilityName>字词错误</abilityName>
      <candidateList>
        <item>泄漏</item>
      </candidateList>
      <explain>存在发音相同字词的误用。</explain>
      <paraID>69B3505E</paraID>
      <start>138</start>
      <end>140</end>
      <status>modified</status>
      <modifiedWord>泄漏</modifiedWord>
      <trackRevisions>false</trackRevisions>
    </reviewItem>
    <reviewItem>
      <errorID>21a32c92-f0ef-4c5e-8ebd-13e12fe5227b</errorID>
      <errorWord>中</errorWord>
      <group>L1_Word</group>
      <groupName>字词问题</groupName>
      <ability>L2_Typo</ability>
      <abilityName>字词错误</abilityName>
      <candidateList>
        <item>中在</item>
      </candidateList>
      <explain/>
      <paraID>735BDA3C</paraID>
      <start>3</start>
      <end>5</end>
      <status>modified</status>
      <modifiedWord>中在</modifiedWord>
      <trackRevisions>false</trackRevisions>
    </reviewItem>
    <reviewItem>
      <errorID>a04f1eb9-05fb-4e99-93ca-3e3e6b779424</errorID>
      <errorWord>化石燃量</errorWord>
      <group>L1_Knowledge</group>
      <groupName>知识性问题</groupName>
      <ability>L2_Term</ability>
      <abilityName>专业术语</abilityName>
      <candidateList>
        <item>化石燃料</item>
      </candidateList>
      <explain/>
      <paraID>6D6A5B47</paraID>
      <start>104</start>
      <end>108</end>
      <status>modified</status>
      <modifiedWord>化石燃料</modifiedWord>
      <trackRevisions>false</trackRevisions>
    </reviewItem>
    <reviewItem>
      <errorID>8c0a571d-06c2-43f1-81a0-169738456fc0</errorID>
      <errorWord>泄露</errorWord>
      <group>L1_Word</group>
      <groupName>字词问题</groupName>
      <ability>L2_Typo</ability>
      <abilityName>字词错误</abilityName>
      <candidateList>
        <item>泄漏</item>
      </candidateList>
      <explain>存在发音相同字词的误用。</explain>
      <paraID>6D6A5B47</paraID>
      <start>206</start>
      <end>208</end>
      <status>modified</status>
      <modifiedWord>泄漏</modifiedWord>
      <trackRevisions>false</trackRevisions>
    </reviewItem>
  </reviewItems>
  <config/>
</contractReview>
</file>

<file path=customXml/itemProps1.xml><?xml version="1.0" encoding="utf-8"?>
<ds:datastoreItem xmlns:ds="http://schemas.openxmlformats.org/officeDocument/2006/customXml" ds:itemID="{2A219064-1A7F-47A7-AB0B-602CB586BA55}">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6</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jf</dc:creator>
  <cp:lastModifiedBy>峰 王</cp:lastModifiedBy>
  <cp:revision>25</cp:revision>
  <dcterms:created xsi:type="dcterms:W3CDTF">2022-09-20T07:14:00Z</dcterms:created>
  <dcterms:modified xsi:type="dcterms:W3CDTF">2026-03-23T08:42:00Z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eyJoZGlkIjoiZTMwYmQ0MDkxMDJkYzFhYjVlYzFjYjE0Mzk1ODg3OGYiLCJ1c2VySWQiOiI0NDI0NzA3NTIifQ==</vt:lpwstr>
  </property>
  <property fmtid="{D5CDD505-2E9C-101B-9397-08002B2CF9AE}" pid="3" name="KSOProductBuildVer">
    <vt:lpwstr>2052-12.1.0.25225</vt:lpwstr>
  </property>
  <property fmtid="{D5CDD505-2E9C-101B-9397-08002B2CF9AE}" pid="4" name="ICV">
    <vt:lpwstr>11B7E6AB86D447599F2D70F0FD382E72_12</vt:lpwstr>
  </property>
</Properties>
</file>