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6C89C">
      <w:pPr>
        <w:pStyle w:val="40"/>
        <w:ind w:firstLine="0" w:firstLineChars="0"/>
      </w:pPr>
      <w:bookmarkStart w:id="34" w:name="_GoBack"/>
      <w:bookmarkEnd w:id="34"/>
    </w:p>
    <w:p w14:paraId="3A91F994">
      <w:pPr>
        <w:pStyle w:val="40"/>
        <w:ind w:firstLine="0" w:firstLineChars="0"/>
      </w:pPr>
    </w:p>
    <w:p w14:paraId="145AE716">
      <w:pPr>
        <w:pStyle w:val="40"/>
        <w:ind w:firstLine="0" w:firstLineChars="0"/>
      </w:pPr>
    </w:p>
    <w:p w14:paraId="7E5FE55F">
      <w:pPr>
        <w:pStyle w:val="40"/>
        <w:ind w:firstLine="0" w:firstLineChars="0"/>
      </w:pPr>
    </w:p>
    <w:p w14:paraId="3FEF580F">
      <w:pPr>
        <w:pStyle w:val="40"/>
        <w:ind w:firstLine="0" w:firstLineChars="0"/>
      </w:pPr>
    </w:p>
    <w:p w14:paraId="5C121CAD">
      <w:pPr>
        <w:pStyle w:val="40"/>
        <w:ind w:firstLine="0" w:firstLineChars="0"/>
      </w:pPr>
    </w:p>
    <w:p w14:paraId="3DE301E6">
      <w:pPr>
        <w:pStyle w:val="40"/>
        <w:ind w:firstLine="0" w:firstLineChars="0"/>
      </w:pPr>
    </w:p>
    <w:p w14:paraId="48CCA15B">
      <w:pPr>
        <w:pStyle w:val="40"/>
        <w:ind w:firstLine="0" w:firstLineChars="0"/>
      </w:pPr>
    </w:p>
    <w:p w14:paraId="6D5700DD">
      <w:pPr>
        <w:pStyle w:val="40"/>
        <w:ind w:firstLine="0" w:firstLineChars="0"/>
      </w:pPr>
    </w:p>
    <w:p w14:paraId="3DC91233">
      <w:pPr>
        <w:pStyle w:val="40"/>
        <w:ind w:firstLine="0" w:firstLineChars="0"/>
      </w:pPr>
    </w:p>
    <w:p w14:paraId="65CC085D">
      <w:pPr>
        <w:pStyle w:val="40"/>
        <w:ind w:firstLine="0" w:firstLineChars="0"/>
      </w:pPr>
    </w:p>
    <w:p w14:paraId="6262C14E">
      <w:pPr>
        <w:pStyle w:val="42"/>
        <w:numPr>
          <w:ilvl w:val="0"/>
          <w:numId w:val="0"/>
        </w:numPr>
        <w:jc w:val="center"/>
        <w:rPr>
          <w:rFonts w:hint="eastAsia" w:ascii="黑体" w:eastAsia="黑体"/>
          <w:sz w:val="44"/>
          <w:szCs w:val="44"/>
          <w:lang w:eastAsia="zh-CN"/>
        </w:rPr>
      </w:pPr>
      <w:bookmarkStart w:id="0" w:name="_Toc298937333"/>
      <w:bookmarkStart w:id="1" w:name="_Toc298937368"/>
      <w:bookmarkStart w:id="2" w:name="_Toc304825020"/>
      <w:bookmarkStart w:id="3" w:name="_Toc298938794"/>
      <w:bookmarkStart w:id="4" w:name="_Toc318613715"/>
      <w:bookmarkStart w:id="5" w:name="_Toc310002657"/>
      <w:bookmarkStart w:id="6" w:name="_Toc304824981"/>
      <w:bookmarkStart w:id="7" w:name="_Toc298937473"/>
      <w:bookmarkStart w:id="8" w:name="_Toc309993200"/>
      <w:bookmarkStart w:id="9" w:name="_Toc309995598"/>
      <w:bookmarkStart w:id="10" w:name="_Toc309994571"/>
      <w:bookmarkStart w:id="11" w:name="_Toc304402675"/>
      <w:bookmarkStart w:id="12" w:name="_Toc304828086"/>
      <w:bookmarkStart w:id="13" w:name="_Toc309995492"/>
      <w:bookmarkStart w:id="14" w:name="_Toc298937620"/>
      <w:bookmarkStart w:id="15" w:name="_Toc309996019"/>
      <w:bookmarkStart w:id="16" w:name="_Toc298938646"/>
      <w:bookmarkStart w:id="17" w:name="_Toc298937560"/>
      <w:bookmarkStart w:id="18" w:name="_Toc320020914"/>
      <w:bookmarkStart w:id="19" w:name="_Toc309995410"/>
      <w:bookmarkStart w:id="20" w:name="_Toc304825093"/>
      <w:bookmarkStart w:id="21" w:name="_Toc298937430"/>
      <w:bookmarkStart w:id="22" w:name="_Toc309997060"/>
      <w:r>
        <w:rPr>
          <w:rFonts w:hint="eastAsia" w:ascii="黑体" w:eastAsia="黑体"/>
          <w:sz w:val="44"/>
          <w:szCs w:val="44"/>
          <w:lang w:eastAsia="zh-CN"/>
        </w:rPr>
        <w:t>企业用电数据采集与能效优化策略指南</w:t>
      </w:r>
    </w:p>
    <w:p w14:paraId="5E04F570">
      <w:pPr>
        <w:pStyle w:val="42"/>
        <w:numPr>
          <w:ilvl w:val="0"/>
          <w:numId w:val="0"/>
        </w:num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编 制 说</w:t>
      </w:r>
      <w:bookmarkEnd w:id="0"/>
      <w:bookmarkEnd w:id="1"/>
      <w:r>
        <w:rPr>
          <w:rFonts w:hint="eastAsia"/>
          <w:sz w:val="28"/>
          <w:szCs w:val="28"/>
        </w:rPr>
        <w:t> 明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7F48BC06">
      <w:pPr>
        <w:pStyle w:val="40"/>
        <w:ind w:firstLine="560"/>
        <w:jc w:val="center"/>
        <w:rPr>
          <w:rFonts w:ascii="黑体" w:eastAsia="黑体"/>
          <w:sz w:val="28"/>
          <w:szCs w:val="28"/>
        </w:rPr>
      </w:pPr>
    </w:p>
    <w:p w14:paraId="2462396D">
      <w:pPr>
        <w:pStyle w:val="40"/>
        <w:ind w:firstLine="560"/>
        <w:jc w:val="center"/>
        <w:rPr>
          <w:rFonts w:ascii="黑体" w:eastAsia="黑体"/>
          <w:sz w:val="28"/>
          <w:szCs w:val="28"/>
        </w:rPr>
      </w:pPr>
    </w:p>
    <w:p w14:paraId="75AF3BC9">
      <w:pPr>
        <w:pStyle w:val="40"/>
        <w:ind w:firstLine="560"/>
        <w:rPr>
          <w:rFonts w:ascii="黑体" w:eastAsia="黑体"/>
          <w:sz w:val="28"/>
          <w:szCs w:val="28"/>
        </w:rPr>
      </w:pPr>
    </w:p>
    <w:p w14:paraId="26DA9C5B"/>
    <w:p w14:paraId="2CE172E9"/>
    <w:p w14:paraId="4B34A575"/>
    <w:p w14:paraId="7BD65426"/>
    <w:p w14:paraId="57F7BA46"/>
    <w:p w14:paraId="242C7ACD"/>
    <w:p w14:paraId="33A80D78"/>
    <w:p w14:paraId="5BED3055"/>
    <w:p w14:paraId="5AD561D5"/>
    <w:p w14:paraId="597D8759"/>
    <w:p w14:paraId="047D0448"/>
    <w:p w14:paraId="401DA595"/>
    <w:p w14:paraId="019CE5DA"/>
    <w:p w14:paraId="2A9A2DE0">
      <w:pPr>
        <w:jc w:val="center"/>
      </w:pPr>
    </w:p>
    <w:p w14:paraId="357F61A8"/>
    <w:p w14:paraId="6741DF31">
      <w:pPr>
        <w:sectPr>
          <w:headerReference r:id="rId3" w:type="default"/>
          <w:footerReference r:id="rId5" w:type="default"/>
          <w:headerReference r:id="rId4" w:type="even"/>
          <w:pgSz w:w="11906" w:h="16838"/>
          <w:pgMar w:top="1440" w:right="1800" w:bottom="1440" w:left="1800" w:header="1418" w:footer="1134" w:gutter="0"/>
          <w:cols w:space="720" w:num="1"/>
          <w:formProt w:val="0"/>
          <w:titlePg/>
          <w:docGrid w:type="lines" w:linePitch="312" w:charSpace="0"/>
        </w:sectPr>
      </w:pPr>
    </w:p>
    <w:p w14:paraId="651C3769">
      <w:pPr>
        <w:pStyle w:val="44"/>
      </w:pPr>
      <w:bookmarkStart w:id="23" w:name="_Toc513731021"/>
      <w:bookmarkStart w:id="24" w:name="_Toc309992160"/>
      <w:bookmarkStart w:id="25" w:name="_Toc513731109"/>
      <w:r>
        <w:rPr>
          <w:rFonts w:hint="eastAsia"/>
        </w:rPr>
        <w:t>目次</w:t>
      </w:r>
      <w:bookmarkEnd w:id="23"/>
      <w:bookmarkEnd w:id="24"/>
      <w:bookmarkEnd w:id="25"/>
    </w:p>
    <w:p w14:paraId="0686A478">
      <w:pPr>
        <w:pStyle w:val="13"/>
        <w:spacing w:before="78" w:after="78"/>
        <w:jc w:val="center"/>
        <w:rPr>
          <w:rFonts w:ascii="Calibri" w:hAnsi="Calibri"/>
          <w:szCs w:val="22"/>
        </w:rPr>
      </w:pPr>
      <w:r>
        <w:rPr>
          <w:rFonts w:hAnsi="宋体"/>
        </w:rPr>
        <w:fldChar w:fldCharType="begin"/>
      </w:r>
      <w:r>
        <w:rPr>
          <w:rFonts w:hAnsi="宋体"/>
        </w:rPr>
        <w:instrText xml:space="preserve"> </w:instrText>
      </w:r>
      <w:r>
        <w:rPr>
          <w:rFonts w:hint="eastAsia" w:hAnsi="宋体"/>
        </w:rPr>
        <w:instrText xml:space="preserve">TOC \o "1-1" \h \z \u</w:instrText>
      </w:r>
      <w:r>
        <w:rPr>
          <w:rFonts w:hAnsi="宋体"/>
        </w:rPr>
        <w:instrText xml:space="preserve"> </w:instrText>
      </w:r>
      <w:r>
        <w:rPr>
          <w:rFonts w:hAnsi="宋体"/>
        </w:rPr>
        <w:fldChar w:fldCharType="separate"/>
      </w:r>
    </w:p>
    <w:p w14:paraId="76604397">
      <w:pPr>
        <w:pStyle w:val="13"/>
        <w:spacing w:before="78" w:after="78"/>
        <w:jc w:val="center"/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"_Toc513731110" </w:instrText>
      </w:r>
      <w:r>
        <w:fldChar w:fldCharType="separate"/>
      </w:r>
      <w:r>
        <w:rPr>
          <w:rStyle w:val="19"/>
          <w:rFonts w:hAnsi="宋体"/>
        </w:rPr>
        <w:t xml:space="preserve">1 </w:t>
      </w:r>
      <w:r>
        <w:rPr>
          <w:rStyle w:val="19"/>
          <w:rFonts w:hint="eastAsia" w:hAnsi="宋体"/>
        </w:rPr>
        <w:t>编制背景</w:t>
      </w:r>
      <w:r>
        <w:tab/>
      </w:r>
      <w:r>
        <w:fldChar w:fldCharType="begin"/>
      </w:r>
      <w:r>
        <w:instrText xml:space="preserve"> PAGEREF _Toc513731110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660DFA4E">
      <w:pPr>
        <w:pStyle w:val="13"/>
        <w:spacing w:before="78" w:after="78"/>
        <w:jc w:val="center"/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"_Toc513731111" </w:instrText>
      </w:r>
      <w:r>
        <w:fldChar w:fldCharType="separate"/>
      </w:r>
      <w:r>
        <w:rPr>
          <w:rStyle w:val="19"/>
          <w:rFonts w:hAnsi="宋体"/>
        </w:rPr>
        <w:t xml:space="preserve">2 </w:t>
      </w:r>
      <w:r>
        <w:rPr>
          <w:rStyle w:val="19"/>
          <w:rFonts w:hint="eastAsia" w:hAnsi="宋体"/>
        </w:rPr>
        <w:t>编制主要原则</w:t>
      </w:r>
      <w:r>
        <w:tab/>
      </w:r>
      <w:r>
        <w:fldChar w:fldCharType="begin"/>
      </w:r>
      <w:r>
        <w:instrText xml:space="preserve"> PAGEREF _Toc513731111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41486551">
      <w:pPr>
        <w:pStyle w:val="13"/>
        <w:spacing w:before="78" w:after="78"/>
        <w:jc w:val="center"/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"_Toc513731112" </w:instrText>
      </w:r>
      <w:r>
        <w:fldChar w:fldCharType="separate"/>
      </w:r>
      <w:r>
        <w:rPr>
          <w:rStyle w:val="19"/>
          <w:rFonts w:hAnsi="宋体"/>
        </w:rPr>
        <w:t xml:space="preserve">3 </w:t>
      </w:r>
      <w:r>
        <w:rPr>
          <w:rStyle w:val="19"/>
          <w:rFonts w:hint="eastAsia" w:hAnsi="宋体"/>
        </w:rPr>
        <w:t>主要工作过程</w:t>
      </w:r>
      <w:r>
        <w:tab/>
      </w:r>
      <w:r>
        <w:fldChar w:fldCharType="begin"/>
      </w:r>
      <w:r>
        <w:instrText xml:space="preserve"> PAGEREF _Toc513731112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1163AC3F">
      <w:pPr>
        <w:pStyle w:val="13"/>
        <w:spacing w:before="78" w:after="78"/>
        <w:jc w:val="center"/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"_Toc513731113" </w:instrText>
      </w:r>
      <w:r>
        <w:fldChar w:fldCharType="separate"/>
      </w:r>
      <w:r>
        <w:rPr>
          <w:rStyle w:val="19"/>
          <w:rFonts w:hAnsi="宋体"/>
        </w:rPr>
        <w:t>4</w:t>
      </w:r>
      <w:r>
        <w:rPr>
          <w:rStyle w:val="19"/>
        </w:rPr>
        <w:t xml:space="preserve"> </w:t>
      </w:r>
      <w:r>
        <w:rPr>
          <w:rStyle w:val="19"/>
          <w:rFonts w:hint="eastAsia"/>
        </w:rPr>
        <w:t>标准结构和内容说明</w:t>
      </w:r>
      <w:r>
        <w:tab/>
      </w:r>
      <w:r>
        <w:fldChar w:fldCharType="begin"/>
      </w:r>
      <w:r>
        <w:instrText xml:space="preserve"> PAGEREF _Toc513731113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37D39BDE">
      <w:pPr>
        <w:pStyle w:val="13"/>
        <w:spacing w:before="78" w:after="78"/>
        <w:jc w:val="center"/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"_Toc513731114" </w:instrText>
      </w:r>
      <w:r>
        <w:fldChar w:fldCharType="separate"/>
      </w:r>
      <w:r>
        <w:rPr>
          <w:rStyle w:val="19"/>
          <w:rFonts w:hAnsi="宋体"/>
        </w:rPr>
        <w:t>5</w:t>
      </w:r>
      <w:r>
        <w:rPr>
          <w:rStyle w:val="19"/>
          <w:rFonts w:hint="eastAsia"/>
        </w:rPr>
        <w:t>相关标准对比说明</w:t>
      </w:r>
      <w:r>
        <w:rPr>
          <w:rStyle w:val="19"/>
        </w:rPr>
        <w:tab/>
      </w:r>
      <w:r>
        <w:fldChar w:fldCharType="begin"/>
      </w:r>
      <w:r>
        <w:rPr>
          <w:rStyle w:val="19"/>
        </w:rPr>
        <w:instrText xml:space="preserve"> PAGEREF _Toc513731114 \h </w:instrText>
      </w:r>
      <w:r>
        <w:fldChar w:fldCharType="separate"/>
      </w:r>
      <w:r>
        <w:rPr>
          <w:rStyle w:val="19"/>
        </w:rPr>
        <w:t>3</w:t>
      </w:r>
      <w:r>
        <w:fldChar w:fldCharType="end"/>
      </w:r>
      <w:r>
        <w:fldChar w:fldCharType="end"/>
      </w:r>
    </w:p>
    <w:p w14:paraId="4C0F6937">
      <w:pPr>
        <w:pStyle w:val="13"/>
        <w:spacing w:before="78" w:after="78"/>
        <w:jc w:val="center"/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"_Toc513731115" </w:instrText>
      </w:r>
      <w:r>
        <w:fldChar w:fldCharType="separate"/>
      </w:r>
      <w:r>
        <w:rPr>
          <w:rStyle w:val="19"/>
          <w:rFonts w:hAnsi="宋体"/>
        </w:rPr>
        <w:t>6</w:t>
      </w:r>
      <w:r>
        <w:rPr>
          <w:rStyle w:val="19"/>
          <w:rFonts w:hint="eastAsia" w:hAnsi="宋体"/>
        </w:rPr>
        <w:t>标准实施措施说明</w:t>
      </w:r>
      <w:r>
        <w:tab/>
      </w:r>
      <w:r>
        <w:fldChar w:fldCharType="begin"/>
      </w:r>
      <w:r>
        <w:instrText xml:space="preserve"> PAGEREF _Toc513731115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6444D75">
      <w:pPr>
        <w:pStyle w:val="40"/>
        <w:jc w:val="center"/>
        <w:rPr>
          <w:rFonts w:hint="eastAsia" w:hAnsi="宋体"/>
          <w:szCs w:val="21"/>
        </w:rPr>
      </w:pPr>
      <w:r>
        <w:rPr>
          <w:rFonts w:hAnsi="宋体"/>
          <w:szCs w:val="21"/>
        </w:rPr>
        <w:fldChar w:fldCharType="end"/>
      </w:r>
    </w:p>
    <w:p w14:paraId="055C3941">
      <w:pPr>
        <w:pStyle w:val="40"/>
        <w:rPr>
          <w:rFonts w:hint="eastAsia" w:hAnsi="宋体"/>
          <w:szCs w:val="21"/>
        </w:rPr>
      </w:pPr>
    </w:p>
    <w:p w14:paraId="3E0D2B7C">
      <w:pPr>
        <w:pStyle w:val="40"/>
        <w:rPr>
          <w:rFonts w:hint="eastAsia" w:hAnsi="宋体"/>
          <w:szCs w:val="21"/>
        </w:rPr>
      </w:pPr>
    </w:p>
    <w:p w14:paraId="1A4A08B8">
      <w:pPr>
        <w:pStyle w:val="40"/>
        <w:rPr>
          <w:rFonts w:hint="eastAsia" w:hAnsi="宋体"/>
          <w:szCs w:val="21"/>
        </w:rPr>
      </w:pPr>
    </w:p>
    <w:p w14:paraId="253D3810">
      <w:pPr>
        <w:pStyle w:val="40"/>
        <w:rPr>
          <w:rFonts w:hint="eastAsia" w:hAnsi="宋体"/>
          <w:szCs w:val="21"/>
        </w:rPr>
        <w:sectPr>
          <w:headerReference r:id="rId6" w:type="default"/>
          <w:footerReference r:id="rId7" w:type="default"/>
          <w:pgSz w:w="11906" w:h="16838"/>
          <w:pgMar w:top="1440" w:right="1800" w:bottom="1440" w:left="1800" w:header="1418" w:footer="1134" w:gutter="0"/>
          <w:pgNumType w:fmt="upperRoman" w:start="1"/>
          <w:cols w:space="720" w:num="1"/>
          <w:formProt w:val="0"/>
          <w:docGrid w:type="lines" w:linePitch="312" w:charSpace="0"/>
        </w:sectPr>
      </w:pPr>
    </w:p>
    <w:p w14:paraId="389C80A6">
      <w:pPr>
        <w:pStyle w:val="43"/>
        <w:spacing w:before="312" w:after="312"/>
        <w:rPr>
          <w:rFonts w:hint="eastAsia" w:ascii="黑体" w:hAnsi="黑体" w:eastAsia="黑体" w:cs="黑体"/>
          <w:szCs w:val="21"/>
        </w:rPr>
      </w:pPr>
      <w:bookmarkStart w:id="26" w:name="_Toc513731110"/>
      <w:r>
        <w:rPr>
          <w:rFonts w:hint="eastAsia" w:ascii="黑体" w:hAnsi="黑体" w:eastAsia="黑体" w:cs="黑体"/>
          <w:szCs w:val="21"/>
        </w:rPr>
        <w:t>1 编制背景</w:t>
      </w:r>
      <w:bookmarkEnd w:id="26"/>
    </w:p>
    <w:p w14:paraId="56AE08C1">
      <w:pPr>
        <w:pStyle w:val="40"/>
      </w:pPr>
      <w:r>
        <w:rPr>
          <w:rFonts w:hint="eastAsia"/>
        </w:rPr>
        <w:t>本标准是根据中国电机工程学会文件</w:t>
      </w:r>
      <w:bookmarkStart w:id="27" w:name="_Hlk192339786"/>
      <w:r>
        <w:rPr>
          <w:rFonts w:hint="eastAsia"/>
        </w:rPr>
        <w:t>电机咨[202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]</w:t>
      </w:r>
      <w:r>
        <w:rPr>
          <w:rFonts w:hint="eastAsia"/>
          <w:lang w:val="en-US" w:eastAsia="zh-CN"/>
        </w:rPr>
        <w:t>738</w:t>
      </w:r>
      <w:r>
        <w:rPr>
          <w:rFonts w:hint="eastAsia"/>
        </w:rPr>
        <w:t>号</w:t>
      </w:r>
      <w:bookmarkEnd w:id="27"/>
      <w:r>
        <w:rPr>
          <w:rFonts w:hint="eastAsia"/>
        </w:rPr>
        <w:t>文，“中国电机工程学会关于印发‘中国电机工程学会 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 xml:space="preserve"> 年标准计划（第二批）’的通知”下达的制定任务，项目序号</w:t>
      </w:r>
      <w:r>
        <w:t>202</w:t>
      </w:r>
      <w:r>
        <w:rPr>
          <w:rFonts w:hint="eastAsia"/>
          <w:lang w:val="en-US" w:eastAsia="zh-CN"/>
        </w:rPr>
        <w:t>512150005</w:t>
      </w:r>
      <w:r>
        <w:rPr>
          <w:rFonts w:hint="eastAsia"/>
        </w:rPr>
        <w:t>，对“企业用电数据采集与效率优化策略指南”团体标准进行制定的。由</w:t>
      </w:r>
      <w:r>
        <w:rPr>
          <w:rFonts w:hint="eastAsia"/>
          <w:lang w:val="en-US" w:eastAsia="zh-CN"/>
        </w:rPr>
        <w:t>大唐乾安新能源发电有限公司</w:t>
      </w:r>
      <w:r>
        <w:rPr>
          <w:rFonts w:hint="eastAsia"/>
        </w:rPr>
        <w:t>负责起草。</w:t>
      </w:r>
    </w:p>
    <w:p w14:paraId="215A5084">
      <w:pPr>
        <w:pStyle w:val="40"/>
        <w:autoSpaceDE/>
        <w:autoSpaceDN/>
        <w:ind w:firstLine="420" w:firstLineChars="200"/>
        <w:rPr>
          <w:rFonts w:hint="eastAsia" w:hAnsi="Times New Roman"/>
          <w:lang w:eastAsia="zh-CN"/>
        </w:rPr>
      </w:pPr>
      <w:r>
        <w:rPr>
          <w:rFonts w:hint="eastAsia"/>
          <w:lang w:eastAsia="zh-CN"/>
        </w:rPr>
        <w:t>随着全球气候变暖引发的环境挑战日益凸显，碳中和已成为全球共识，我国更是将绿色低碳发展纳入国家战略，加速推动产业结构优化与能源转型。在此背景下，</w:t>
      </w:r>
      <w:r>
        <w:rPr>
          <w:rFonts w:hint="eastAsia"/>
          <w:lang w:val="en-US" w:eastAsia="zh-CN"/>
        </w:rPr>
        <w:t>企业</w:t>
      </w:r>
      <w:r>
        <w:rPr>
          <w:rFonts w:hint="eastAsia"/>
          <w:lang w:eastAsia="zh-CN"/>
        </w:rPr>
        <w:t>低碳转型进程直接关系到全球减排目标的实现，能源成本的持续攀升，进一步倒逼</w:t>
      </w:r>
      <w:r>
        <w:rPr>
          <w:rFonts w:hint="eastAsia"/>
          <w:lang w:val="en-US" w:eastAsia="zh-CN"/>
        </w:rPr>
        <w:t>企</w:t>
      </w:r>
      <w:r>
        <w:rPr>
          <w:rFonts w:hint="eastAsia"/>
          <w:lang w:eastAsia="zh-CN"/>
        </w:rPr>
        <w:t>业寻求降本增效与低碳转型的协同路径。通过用电数据采集，企业能够穿透式掌握用电结构、能源消耗流向，为针对性优化提供数据支撑在降低电力消耗、削减用电成本的同时，提升能源利用效率，强化企业经济效益与市场竞争力。与此同时，社会公众环保意识全面觉醒，低碳属性已成为衡量企业社会责任的重要标尺。具备明确低碳转型路径、碳排放管控能力的企业，不仅能获得政策层面的支持与倾斜，在低碳经济浪潮中占据先发优势。。</w:t>
      </w:r>
    </w:p>
    <w:p w14:paraId="67F3D1FE">
      <w:pPr>
        <w:pStyle w:val="40"/>
        <w:autoSpaceDE/>
        <w:autoSpaceDN/>
        <w:ind w:firstLine="420" w:firstLineChars="200"/>
        <w:rPr>
          <w:rFonts w:hint="eastAsia" w:hAnsi="Times New Roman"/>
        </w:rPr>
      </w:pPr>
      <w:r>
        <w:rPr>
          <w:rFonts w:hint="eastAsia" w:hAnsi="Times New Roman"/>
        </w:rPr>
        <w:t>然而，当前</w:t>
      </w:r>
      <w:r>
        <w:rPr>
          <w:rFonts w:hint="eastAsia"/>
          <w:lang w:val="en-US" w:eastAsia="zh-CN"/>
        </w:rPr>
        <w:t>企</w:t>
      </w:r>
      <w:r>
        <w:rPr>
          <w:rFonts w:hint="eastAsia" w:hAnsi="Times New Roman"/>
        </w:rPr>
        <w:t>业领域在能效优化策略及应用方面仍存在标准不统一、技术碎片化、系统互操作性不足等问题，制约了能效提升潜力的充分释放。本项目旨在制定一套系统化、可操作的技术指南，为企业开展数据驱动的用电管理与能效优化提供规范依据，助力其在经济、安全、绿色等多重目标下实现用电系统的智能化升级与可持续发展。</w:t>
      </w:r>
    </w:p>
    <w:p w14:paraId="6D92C255">
      <w:pPr>
        <w:pStyle w:val="43"/>
        <w:spacing w:before="312" w:after="312"/>
        <w:rPr>
          <w:rFonts w:hint="eastAsia" w:ascii="黑体" w:hAnsi="黑体" w:eastAsia="黑体" w:cs="黑体"/>
          <w:szCs w:val="21"/>
        </w:rPr>
      </w:pPr>
      <w:bookmarkStart w:id="28" w:name="_Toc513731111"/>
      <w:r>
        <w:rPr>
          <w:rFonts w:hint="eastAsia" w:ascii="黑体" w:hAnsi="黑体" w:eastAsia="黑体" w:cs="黑体"/>
          <w:szCs w:val="21"/>
        </w:rPr>
        <w:t>2 编制主要原则</w:t>
      </w:r>
      <w:bookmarkEnd w:id="28"/>
    </w:p>
    <w:p w14:paraId="32361823">
      <w:pPr>
        <w:pStyle w:val="45"/>
        <w:numPr>
          <w:ilvl w:val="0"/>
          <w:numId w:val="0"/>
        </w:numPr>
        <w:spacing w:before="156" w:beforeLines="50" w:after="156" w:afterLines="50"/>
      </w:pPr>
      <w:r>
        <w:rPr>
          <w:rFonts w:hint="eastAsia"/>
        </w:rPr>
        <w:t>2.1 规范性</w:t>
      </w:r>
    </w:p>
    <w:p w14:paraId="611EA035">
      <w:pPr>
        <w:pStyle w:val="40"/>
      </w:pPr>
      <w:r>
        <w:rPr>
          <w:rFonts w:hint="eastAsia"/>
        </w:rPr>
        <w:t>本标准的编制按照GB/T 1.1—2020《标准化工作导则 第1部分：标准化文件的结构和起草规则》等进行，使标准更严谨、更规范。标准制定流程遵循学会标准化程序，包括立项、起草、征求意见、送审报批等环节，以保证标准的权威性</w:t>
      </w:r>
      <w:r>
        <w:rPr>
          <w:rFonts w:ascii="Times New Roman"/>
        </w:rPr>
        <w:t>‌</w:t>
      </w:r>
      <w:r>
        <w:rPr>
          <w:rFonts w:hint="eastAsia" w:ascii="Times New Roman"/>
        </w:rPr>
        <w:t>。</w:t>
      </w:r>
    </w:p>
    <w:p w14:paraId="1F62B0CF">
      <w:pPr>
        <w:pStyle w:val="45"/>
        <w:numPr>
          <w:ilvl w:val="0"/>
          <w:numId w:val="0"/>
        </w:numPr>
        <w:spacing w:before="156" w:beforeLines="50" w:after="156" w:afterLines="50"/>
      </w:pPr>
      <w:r>
        <w:rPr>
          <w:rFonts w:hint="eastAsia"/>
        </w:rPr>
        <w:t>2.2科学性</w:t>
      </w:r>
    </w:p>
    <w:p w14:paraId="593A05B5">
      <w:pPr>
        <w:pStyle w:val="40"/>
      </w:pPr>
      <w:r>
        <w:rPr>
          <w:rFonts w:hint="eastAsia"/>
        </w:rPr>
        <w:t>本标准是根据</w:t>
      </w:r>
      <w:r>
        <w:rPr>
          <w:rFonts w:hint="eastAsia"/>
          <w:lang w:val="en-US" w:eastAsia="zh-CN"/>
        </w:rPr>
        <w:t>企业用电数据缺乏系统性规范，企业用电能效优化缺乏推荐性的策略指导等，导致技术碎片化、系统互操作性不足的</w:t>
      </w:r>
      <w:r>
        <w:rPr>
          <w:rFonts w:hint="eastAsia"/>
        </w:rPr>
        <w:t>现存问题，基于</w:t>
      </w:r>
      <w:r>
        <w:rPr>
          <w:rFonts w:hint="eastAsia"/>
          <w:lang w:val="en-US" w:eastAsia="zh-CN"/>
        </w:rPr>
        <w:t>大唐乾安新能源发电有限公司、国网河南省电力公司经济技术研究院、杭州标检科技有限公司等</w:t>
      </w:r>
      <w:r>
        <w:rPr>
          <w:rFonts w:hint="eastAsia"/>
        </w:rPr>
        <w:t>对</w:t>
      </w:r>
      <w:r>
        <w:rPr>
          <w:rFonts w:hint="eastAsia"/>
          <w:lang w:val="en-US" w:eastAsia="zh-CN"/>
        </w:rPr>
        <w:t>企业用电管理方面的丰富经验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参考相关现有标准内容</w:t>
      </w:r>
      <w:r>
        <w:rPr>
          <w:rFonts w:hint="eastAsia"/>
        </w:rPr>
        <w:t>的相关要求进行编制的，以确保标准内容的准确性。</w:t>
      </w:r>
    </w:p>
    <w:p w14:paraId="448FCD87">
      <w:pPr>
        <w:pStyle w:val="45"/>
        <w:numPr>
          <w:ilvl w:val="0"/>
          <w:numId w:val="0"/>
        </w:numPr>
        <w:spacing w:before="156" w:beforeLines="50" w:after="156" w:afterLines="50"/>
      </w:pPr>
      <w:r>
        <w:rPr>
          <w:rFonts w:hint="eastAsia"/>
        </w:rPr>
        <w:t>2.3适用性</w:t>
      </w:r>
    </w:p>
    <w:p w14:paraId="187A814A">
      <w:pPr>
        <w:pStyle w:val="40"/>
      </w:pPr>
      <w:r>
        <w:rPr>
          <w:rFonts w:hint="eastAsia"/>
        </w:rPr>
        <w:t>本标准的编制立足于行业实际需求，以</w:t>
      </w:r>
      <w:r>
        <w:rPr>
          <w:rFonts w:hint="eastAsia"/>
          <w:lang w:eastAsia="zh-CN"/>
        </w:rPr>
        <w:t>企业用电数据采集与效率优化策略</w:t>
      </w:r>
      <w:r>
        <w:rPr>
          <w:rFonts w:hint="eastAsia"/>
          <w:lang w:val="en-US" w:eastAsia="zh-CN"/>
        </w:rPr>
        <w:t>科学指导</w:t>
      </w:r>
      <w:r>
        <w:rPr>
          <w:rFonts w:hint="eastAsia"/>
        </w:rPr>
        <w:t>需求为导向，解决</w:t>
      </w:r>
      <w:r>
        <w:rPr>
          <w:rFonts w:hint="eastAsia"/>
          <w:lang w:val="en-US" w:eastAsia="zh-CN"/>
        </w:rPr>
        <w:t>目前参考标准无法完全适用、动态权衡经济成本与碳排放困难、无法适用多场景</w:t>
      </w:r>
      <w:r>
        <w:rPr>
          <w:rFonts w:hint="eastAsia"/>
        </w:rPr>
        <w:t>等问题，标准适用性强。</w:t>
      </w:r>
    </w:p>
    <w:p w14:paraId="14D4BE94">
      <w:pPr>
        <w:pStyle w:val="45"/>
        <w:numPr>
          <w:ilvl w:val="0"/>
          <w:numId w:val="0"/>
        </w:numPr>
        <w:spacing w:before="156" w:beforeLines="50" w:after="156" w:afterLines="50"/>
      </w:pPr>
      <w:r>
        <w:rPr>
          <w:rFonts w:hint="eastAsia"/>
        </w:rPr>
        <w:t>2.3 协调性</w:t>
      </w:r>
    </w:p>
    <w:p w14:paraId="409FF5ED">
      <w:pPr>
        <w:pStyle w:val="40"/>
      </w:pPr>
      <w:r>
        <w:rPr>
          <w:rFonts w:hint="eastAsia"/>
        </w:rPr>
        <w:t>本标准在起草过程中注意了与有关法律法规、相关行业指导文件及规范政策、强制性国家标准、行业标准的协调，没有互相矛盾的内容。及时响应智能化技术迭代及政策变化，与现有</w:t>
      </w:r>
      <w:r>
        <w:rPr>
          <w:rFonts w:hint="eastAsia"/>
          <w:lang w:val="en-US" w:eastAsia="zh-CN"/>
        </w:rPr>
        <w:t>企业用电数据采集与效率优化</w:t>
      </w:r>
      <w:r>
        <w:rPr>
          <w:rFonts w:hint="eastAsia"/>
        </w:rPr>
        <w:t>系统相关标准体系相互协调，互成一体。</w:t>
      </w:r>
    </w:p>
    <w:p w14:paraId="78C1B431">
      <w:pPr>
        <w:pStyle w:val="43"/>
        <w:spacing w:before="312" w:after="312"/>
        <w:rPr>
          <w:rFonts w:hint="eastAsia" w:ascii="宋体" w:hAnsi="宋体"/>
          <w:szCs w:val="21"/>
        </w:rPr>
      </w:pPr>
      <w:bookmarkStart w:id="29" w:name="_Toc513731112"/>
      <w:r>
        <w:rPr>
          <w:rFonts w:hint="eastAsia" w:ascii="黑体" w:hAnsi="黑体" w:eastAsia="黑体" w:cs="黑体"/>
          <w:szCs w:val="21"/>
        </w:rPr>
        <w:t>3</w:t>
      </w:r>
      <w:r>
        <w:rPr>
          <w:rFonts w:hint="eastAsia" w:ascii="宋体" w:hAnsi="宋体"/>
          <w:szCs w:val="21"/>
        </w:rPr>
        <w:t xml:space="preserve"> 主要工作过程</w:t>
      </w:r>
      <w:bookmarkEnd w:id="29"/>
    </w:p>
    <w:p w14:paraId="04A2C0D5">
      <w:pPr>
        <w:pStyle w:val="45"/>
        <w:numPr>
          <w:ilvl w:val="0"/>
          <w:numId w:val="0"/>
        </w:numPr>
        <w:spacing w:before="156" w:beforeLines="50" w:after="156" w:afterLines="50"/>
      </w:pPr>
      <w:r>
        <w:rPr>
          <w:rFonts w:hint="eastAsia"/>
        </w:rPr>
        <w:t>3.1前期工作</w:t>
      </w:r>
    </w:p>
    <w:p w14:paraId="72CC51BD">
      <w:pPr>
        <w:pStyle w:val="40"/>
      </w:pPr>
      <w:r>
        <w:rPr>
          <w:rFonts w:hint="eastAsia"/>
        </w:rPr>
        <w:t>（1）成立标准编制工作组：202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月起，标准发起单位</w:t>
      </w:r>
      <w:r>
        <w:rPr>
          <w:rFonts w:hint="eastAsia"/>
          <w:lang w:val="en-US" w:eastAsia="zh-CN"/>
        </w:rPr>
        <w:t>大唐乾安新能源发电有限公司、国网河南省电力公司经济技术研究院、杭州标检科技有限公司</w:t>
      </w:r>
      <w:r>
        <w:rPr>
          <w:rFonts w:hint="eastAsia"/>
        </w:rPr>
        <w:t>等参与单位着手进行编制准备。为保证标准编制工作的顺利开展，成立标准编制工作组。</w:t>
      </w:r>
    </w:p>
    <w:p w14:paraId="2368BFDD">
      <w:pPr>
        <w:pStyle w:val="40"/>
      </w:pPr>
      <w:r>
        <w:rPr>
          <w:rFonts w:hint="eastAsia"/>
        </w:rPr>
        <w:t>（2）调查研究和收集资料：202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月至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月，工作组组织多次讨论会议，并与相关企业及标准研究机构展开交流，对相关资料进行了收集与整理，系统梳理</w:t>
      </w:r>
      <w:r>
        <w:rPr>
          <w:rFonts w:hint="eastAsia"/>
          <w:lang w:eastAsia="zh-CN"/>
        </w:rPr>
        <w:t>了</w:t>
      </w:r>
      <w:r>
        <w:rPr>
          <w:rFonts w:hint="eastAsia"/>
          <w:lang w:val="en-US" w:eastAsia="zh-CN"/>
        </w:rPr>
        <w:t>相关</w:t>
      </w:r>
      <w:r>
        <w:rPr>
          <w:rFonts w:hint="eastAsia"/>
        </w:rPr>
        <w:t>核心信息。</w:t>
      </w:r>
    </w:p>
    <w:p w14:paraId="04955309">
      <w:pPr>
        <w:pStyle w:val="40"/>
        <w:rPr>
          <w:rFonts w:hint="eastAsia"/>
        </w:rPr>
      </w:pPr>
      <w:r>
        <w:rPr>
          <w:rFonts w:hint="eastAsia"/>
        </w:rPr>
        <w:t>（3）初稿编制：202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月至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月，在前期项目研究、文献资料分析、信息调研的基础上，工作组确立了标准结构，形成标准草案。</w:t>
      </w:r>
    </w:p>
    <w:p w14:paraId="6F9F3A43">
      <w:pPr>
        <w:pStyle w:val="45"/>
        <w:numPr>
          <w:ilvl w:val="0"/>
          <w:numId w:val="0"/>
        </w:numPr>
        <w:spacing w:before="156" w:beforeLines="50" w:after="156" w:afterLines="50"/>
      </w:pPr>
      <w:r>
        <w:rPr>
          <w:rFonts w:hint="eastAsia"/>
        </w:rPr>
        <w:t>3.2标准立项</w:t>
      </w:r>
    </w:p>
    <w:p w14:paraId="4A8B0CCF">
      <w:pPr>
        <w:pStyle w:val="40"/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 xml:space="preserve">月，标准发起单位向中国电机工程学会提起立项申请，经专家质询与讨论一致同意通过该团体标准立项，并提出如下修改意见：(1) </w:t>
      </w:r>
      <w:r>
        <w:rPr>
          <w:rFonts w:hint="eastAsia"/>
          <w:lang w:val="en-US" w:eastAsia="zh-CN"/>
        </w:rPr>
        <w:t>标题建议契合国内标准表述</w:t>
      </w:r>
      <w:r>
        <w:rPr>
          <w:rFonts w:hint="eastAsia"/>
        </w:rPr>
        <w:t>；(2)</w:t>
      </w:r>
      <w:r>
        <w:rPr>
          <w:rFonts w:hint="eastAsia"/>
          <w:lang w:val="en-US" w:eastAsia="zh-CN"/>
        </w:rPr>
        <w:t>完善相关技术内容</w:t>
      </w:r>
      <w:r>
        <w:rPr>
          <w:rFonts w:hint="eastAsia"/>
        </w:rPr>
        <w:t>；(3) 按照 GB/T</w:t>
      </w:r>
      <w:r>
        <w:rPr>
          <w:rFonts w:hint="eastAsia"/>
          <w:lang w:val="en-US" w:eastAsia="zh-CN"/>
        </w:rPr>
        <w:t xml:space="preserve"> 1.1</w:t>
      </w:r>
      <w:r>
        <w:rPr>
          <w:rFonts w:hint="eastAsia"/>
        </w:rPr>
        <w:t xml:space="preserve">的要求进行编制。 </w:t>
      </w:r>
    </w:p>
    <w:p w14:paraId="53772D67">
      <w:pPr>
        <w:pStyle w:val="40"/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30</w:t>
      </w:r>
      <w:r>
        <w:rPr>
          <w:rFonts w:hint="eastAsia"/>
        </w:rPr>
        <w:t>日，中国电机工程学会发布《中国电机工程学会关于印发“中国电机工程学会 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 xml:space="preserve"> 年标准计划（第二批）”的通知》（电机咨[202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]</w:t>
      </w:r>
      <w:r>
        <w:rPr>
          <w:rFonts w:hint="eastAsia"/>
          <w:lang w:val="en-US" w:eastAsia="zh-CN"/>
        </w:rPr>
        <w:t>738</w:t>
      </w:r>
      <w:r>
        <w:rPr>
          <w:rFonts w:hint="eastAsia"/>
        </w:rPr>
        <w:t>号），该标准位列其中，正式批准立项。</w:t>
      </w:r>
    </w:p>
    <w:p w14:paraId="1E1597D8">
      <w:pPr>
        <w:pStyle w:val="45"/>
        <w:numPr>
          <w:ilvl w:val="0"/>
          <w:numId w:val="0"/>
        </w:numPr>
        <w:spacing w:before="156" w:beforeLines="50" w:after="156" w:afterLines="50"/>
      </w:pPr>
      <w:r>
        <w:rPr>
          <w:rFonts w:hint="eastAsia"/>
        </w:rPr>
        <w:t>3.3预征求意见</w:t>
      </w:r>
    </w:p>
    <w:p w14:paraId="56EF0E63">
      <w:pPr>
        <w:pStyle w:val="40"/>
        <w:rPr>
          <w:rFonts w:hint="eastAsia"/>
        </w:rPr>
      </w:pPr>
      <w:r>
        <w:rPr>
          <w:rFonts w:hint="eastAsia"/>
        </w:rPr>
        <w:t>标准立项后，标准编制工作组召开内部</w:t>
      </w:r>
      <w:r>
        <w:rPr>
          <w:rFonts w:hint="eastAsia"/>
          <w:lang w:val="en-US" w:eastAsia="zh-CN"/>
        </w:rPr>
        <w:t>启动</w:t>
      </w:r>
      <w:r>
        <w:rPr>
          <w:rFonts w:hint="eastAsia"/>
        </w:rPr>
        <w:t>会，不断收集、完善标准相关内容</w:t>
      </w:r>
      <w:r>
        <w:rPr>
          <w:rFonts w:hint="eastAsia"/>
          <w:lang w:eastAsia="zh-CN"/>
        </w:rPr>
        <w:t>，</w:t>
      </w:r>
      <w:r>
        <w:rPr>
          <w:rFonts w:hint="eastAsia"/>
        </w:rPr>
        <w:t>计划202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月形成</w:t>
      </w:r>
      <w:bookmarkStart w:id="30" w:name="_Hlk192345125"/>
      <w:r>
        <w:rPr>
          <w:rFonts w:hint="eastAsia"/>
        </w:rPr>
        <w:t>《</w:t>
      </w:r>
      <w:r>
        <w:rPr>
          <w:rFonts w:hint="eastAsia"/>
          <w:lang w:eastAsia="zh-CN"/>
        </w:rPr>
        <w:t>企业用电数据采集与效率优化策略指南</w:t>
      </w:r>
      <w:r>
        <w:rPr>
          <w:rFonts w:hint="eastAsia"/>
        </w:rPr>
        <w:t>》</w:t>
      </w:r>
      <w:bookmarkEnd w:id="30"/>
      <w:r>
        <w:rPr>
          <w:rFonts w:hint="eastAsia"/>
        </w:rPr>
        <w:t>(征求意见稿)及编制说明提交协会，经协会审核通过后正式进入征求意见阶段。</w:t>
      </w:r>
    </w:p>
    <w:p w14:paraId="15167D21">
      <w:pPr>
        <w:pStyle w:val="43"/>
        <w:spacing w:before="312" w:after="312"/>
        <w:rPr>
          <w:rFonts w:hint="eastAsia" w:ascii="黑体" w:hAnsi="黑体" w:eastAsia="黑体" w:cs="黑体"/>
          <w:szCs w:val="21"/>
        </w:rPr>
      </w:pPr>
      <w:bookmarkStart w:id="31" w:name="_Toc513731113"/>
      <w:r>
        <w:rPr>
          <w:rFonts w:hint="eastAsia" w:ascii="黑体" w:hAnsi="黑体" w:eastAsia="黑体" w:cs="黑体"/>
          <w:szCs w:val="21"/>
        </w:rPr>
        <w:t>4 标准结构和内容说明</w:t>
      </w:r>
      <w:bookmarkEnd w:id="31"/>
    </w:p>
    <w:p w14:paraId="14BA24F1">
      <w:pPr>
        <w:pStyle w:val="45"/>
        <w:numPr>
          <w:ilvl w:val="0"/>
          <w:numId w:val="0"/>
        </w:numPr>
        <w:spacing w:before="156" w:beforeLines="50" w:after="156" w:afterLines="50"/>
      </w:pPr>
      <w:r>
        <w:rPr>
          <w:rFonts w:hint="eastAsia"/>
        </w:rPr>
        <w:t>4.1适用范围</w:t>
      </w:r>
    </w:p>
    <w:p w14:paraId="455B46B8">
      <w:pPr>
        <w:pStyle w:val="40"/>
        <w:ind w:firstLine="420" w:firstLineChars="0"/>
        <w:rPr>
          <w:rFonts w:hint="default" w:ascii="Times New Roman" w:hAnsi="Times New Roman" w:cs="Times New Roman"/>
        </w:rPr>
      </w:pPr>
      <w:r>
        <w:t>本文件规定了</w:t>
      </w:r>
      <w:r>
        <w:rPr>
          <w:rFonts w:hint="eastAsia"/>
        </w:rPr>
        <w:t>企业用电</w:t>
      </w:r>
      <w:r>
        <w:t>数据的采集、分析方法及用电能效提升策略的技术要求与实施指南</w:t>
      </w:r>
      <w:r>
        <w:rPr>
          <w:rFonts w:hint="eastAsia"/>
          <w:lang w:eastAsia="zh-CN"/>
        </w:rPr>
        <w:t>。</w:t>
      </w:r>
      <w:r>
        <w:rPr>
          <w:rFonts w:hint="eastAsia"/>
        </w:rPr>
        <w:t>适用于工厂、数据中心及其他商业设施的数据驱动型用电管理与能效提升工作</w:t>
      </w:r>
      <w:r>
        <w:rPr>
          <w:rFonts w:hint="default" w:ascii="Times New Roman" w:hAnsi="Times New Roman" w:cs="Times New Roman"/>
        </w:rPr>
        <w:t>。</w:t>
      </w:r>
    </w:p>
    <w:p w14:paraId="6FAAD848">
      <w:pPr>
        <w:pStyle w:val="45"/>
        <w:numPr>
          <w:ilvl w:val="0"/>
          <w:numId w:val="0"/>
        </w:numPr>
        <w:spacing w:before="156" w:beforeLines="50" w:after="156" w:afterLines="50"/>
      </w:pPr>
      <w:r>
        <w:rPr>
          <w:rFonts w:hint="eastAsia"/>
        </w:rPr>
        <w:t>4.2主要技术内容</w:t>
      </w:r>
    </w:p>
    <w:p w14:paraId="413C82D1">
      <w:pPr>
        <w:pStyle w:val="40"/>
      </w:pPr>
      <w:r>
        <w:rPr>
          <w:rFonts w:hint="eastAsia"/>
        </w:rPr>
        <w:t>（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）</w:t>
      </w:r>
      <w:r>
        <w:rPr>
          <w:rFonts w:hint="eastAsia"/>
          <w:lang w:val="en-US" w:eastAsia="zh-CN"/>
        </w:rPr>
        <w:t>能耗数据采集</w:t>
      </w:r>
      <w:r>
        <w:rPr>
          <w:rFonts w:hint="eastAsia"/>
        </w:rPr>
        <w:t>：对</w:t>
      </w:r>
      <w:r>
        <w:rPr>
          <w:rFonts w:hint="eastAsia"/>
          <w:lang w:eastAsia="zh-CN"/>
        </w:rPr>
        <w:t>企业用电</w:t>
      </w:r>
      <w:r>
        <w:rPr>
          <w:rFonts w:hint="eastAsia"/>
          <w:lang w:val="en-US" w:eastAsia="zh-CN"/>
        </w:rPr>
        <w:t>能耗数据采集系统的总体架构设计、与系统各层的技术要求、数据安全、数据质量管理</w:t>
      </w:r>
      <w:r>
        <w:rPr>
          <w:rFonts w:hint="eastAsia"/>
        </w:rPr>
        <w:t>进行说明；</w:t>
      </w:r>
    </w:p>
    <w:p w14:paraId="6A24E1A9">
      <w:pPr>
        <w:pStyle w:val="40"/>
      </w:pPr>
      <w:r>
        <w:rPr>
          <w:rFonts w:hint="eastAsia"/>
        </w:rPr>
        <w:t>（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）</w:t>
      </w:r>
      <w:r>
        <w:rPr>
          <w:rFonts w:hint="eastAsia"/>
          <w:lang w:val="en-US" w:eastAsia="zh-CN"/>
        </w:rPr>
        <w:t>能耗数据分析</w:t>
      </w:r>
      <w:r>
        <w:rPr>
          <w:rFonts w:hint="eastAsia"/>
        </w:rPr>
        <w:t>：对</w:t>
      </w:r>
      <w:r>
        <w:rPr>
          <w:rFonts w:hint="eastAsia"/>
          <w:lang w:eastAsia="zh-CN"/>
        </w:rPr>
        <w:t>企业用电</w:t>
      </w:r>
      <w:r>
        <w:rPr>
          <w:rFonts w:hint="eastAsia"/>
          <w:lang w:val="en-US" w:eastAsia="zh-CN"/>
        </w:rPr>
        <w:t>数据分析目标与指标、数据分析方法、不同设施类型的分析重点的要求进行了规定</w:t>
      </w:r>
      <w:r>
        <w:rPr>
          <w:rFonts w:hint="eastAsia"/>
        </w:rPr>
        <w:t>；</w:t>
      </w:r>
    </w:p>
    <w:p w14:paraId="25442188">
      <w:pPr>
        <w:pStyle w:val="40"/>
      </w:pPr>
      <w:r>
        <w:rPr>
          <w:rFonts w:hint="eastAsia"/>
        </w:rPr>
        <w:t>（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）</w:t>
      </w:r>
      <w:r>
        <w:rPr>
          <w:rFonts w:hint="eastAsia"/>
          <w:lang w:val="en-US" w:eastAsia="zh-CN"/>
        </w:rPr>
        <w:t>用电能效优化策略</w:t>
      </w:r>
      <w:r>
        <w:rPr>
          <w:rFonts w:hint="eastAsia"/>
        </w:rPr>
        <w:t>：对</w:t>
      </w:r>
      <w:r>
        <w:rPr>
          <w:rFonts w:hint="eastAsia"/>
          <w:lang w:eastAsia="zh-CN"/>
        </w:rPr>
        <w:t>企业用电</w:t>
      </w:r>
      <w:r>
        <w:rPr>
          <w:rFonts w:hint="eastAsia"/>
          <w:lang w:val="en-US" w:eastAsia="zh-CN"/>
        </w:rPr>
        <w:t>的能效优化目标设定、通用优化策略、不同设施类型的针对性策略、多目标优化算法应用等要求作出了具体规定</w:t>
      </w:r>
      <w:r>
        <w:rPr>
          <w:rFonts w:hint="eastAsia"/>
        </w:rPr>
        <w:t>；</w:t>
      </w:r>
    </w:p>
    <w:p w14:paraId="2FA65068">
      <w:pPr>
        <w:pStyle w:val="40"/>
        <w:rPr>
          <w:rFonts w:hint="eastAsia"/>
          <w:lang w:eastAsia="zh-CN"/>
        </w:rPr>
      </w:pPr>
      <w:r>
        <w:rPr>
          <w:rFonts w:hint="eastAsia"/>
        </w:rPr>
        <w:t>（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）</w:t>
      </w:r>
      <w:r>
        <w:rPr>
          <w:rFonts w:hint="eastAsia"/>
          <w:lang w:val="en-US" w:eastAsia="zh-CN"/>
        </w:rPr>
        <w:t>实施与验证</w:t>
      </w:r>
      <w:r>
        <w:rPr>
          <w:rFonts w:hint="eastAsia"/>
        </w:rPr>
        <w:t>：对</w:t>
      </w:r>
      <w:r>
        <w:rPr>
          <w:rFonts w:hint="eastAsia"/>
          <w:lang w:eastAsia="zh-CN"/>
        </w:rPr>
        <w:t>企业用电数据采集与效率优化策略</w:t>
      </w:r>
      <w:r>
        <w:rPr>
          <w:rFonts w:hint="eastAsia"/>
          <w:lang w:val="en-US" w:eastAsia="zh-CN"/>
        </w:rPr>
        <w:t>的分阶段实施路径、效果验证方法、持续改进机制的要求作出了具体规定</w:t>
      </w:r>
      <w:r>
        <w:rPr>
          <w:rFonts w:hint="eastAsia"/>
          <w:lang w:eastAsia="zh-CN"/>
        </w:rPr>
        <w:t>；</w:t>
      </w:r>
    </w:p>
    <w:p w14:paraId="71FA5291">
      <w:pPr>
        <w:pStyle w:val="40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5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系统测试与验收：对</w:t>
      </w:r>
      <w:r>
        <w:rPr>
          <w:rFonts w:hint="eastAsia"/>
          <w:lang w:eastAsia="zh-CN"/>
        </w:rPr>
        <w:t>企业用电数据采集与效率优化策略</w:t>
      </w:r>
      <w:r>
        <w:rPr>
          <w:rFonts w:hint="eastAsia"/>
          <w:lang w:val="en-US" w:eastAsia="zh-CN"/>
        </w:rPr>
        <w:t>的测试要求、系统试运行和系统验收要求进行了规定。</w:t>
      </w:r>
    </w:p>
    <w:p w14:paraId="3525CE6B">
      <w:pPr>
        <w:pStyle w:val="43"/>
        <w:spacing w:before="312" w:after="312"/>
        <w:rPr>
          <w:rFonts w:hint="eastAsia" w:ascii="黑体" w:hAnsi="黑体" w:eastAsia="黑体" w:cs="黑体"/>
          <w:szCs w:val="21"/>
        </w:rPr>
      </w:pPr>
      <w:bookmarkStart w:id="32" w:name="_Toc513731114"/>
      <w:r>
        <w:rPr>
          <w:rFonts w:hint="eastAsia" w:ascii="黑体" w:hAnsi="黑体" w:eastAsia="黑体" w:cs="黑体"/>
          <w:szCs w:val="21"/>
        </w:rPr>
        <w:t>5相关标准对比说明</w:t>
      </w:r>
      <w:bookmarkEnd w:id="32"/>
    </w:p>
    <w:p w14:paraId="4C88BC61">
      <w:pPr>
        <w:pStyle w:val="40"/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《数据中心 资源利用 第3部分:电能能效要求和测量方法》（GB/T 32910.3-2016）规定了给出了数据中心的电能能效等级及影响电能能效的因素，规定了数据中心电能能效的测量方法和计算方法。适用于数据中心电能能耗的测量及电能使用效率的计算，也可用于分析数据中心电能能效状况，供数据中心设计、建设、运维、改造参考，可作为数据中心电能能效水平评级的依据。改标准仅为针对数据中心的用电能效测量和计算，缺少优化的推荐性指导，不完全适用于本项目。</w:t>
      </w:r>
    </w:p>
    <w:p w14:paraId="3D1CB728">
      <w:pPr>
        <w:pStyle w:val="40"/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《电力能效监测系统技术规范 》（GB/T 31960）系列标准为适用于电力能效检测系统的规划、建设、运营及管理。重点针对电力能效系统技术要求作出规定，不包含数据采集和能效优化。</w:t>
      </w:r>
    </w:p>
    <w:p w14:paraId="022B5F36">
      <w:pPr>
        <w:pStyle w:val="43"/>
        <w:spacing w:before="312" w:after="312"/>
        <w:rPr>
          <w:rFonts w:hint="eastAsia" w:ascii="黑体" w:hAnsi="黑体" w:eastAsia="黑体" w:cs="黑体"/>
          <w:szCs w:val="21"/>
        </w:rPr>
      </w:pPr>
      <w:bookmarkStart w:id="33" w:name="_Toc513731115"/>
      <w:r>
        <w:rPr>
          <w:rFonts w:hint="eastAsia" w:ascii="黑体" w:hAnsi="黑体" w:eastAsia="黑体" w:cs="黑体"/>
          <w:szCs w:val="21"/>
        </w:rPr>
        <w:t>6标准实施措施说明</w:t>
      </w:r>
      <w:bookmarkEnd w:id="33"/>
    </w:p>
    <w:p w14:paraId="2B8ACB62">
      <w:pPr>
        <w:pStyle w:val="40"/>
      </w:pPr>
      <w:r>
        <w:rPr>
          <w:rFonts w:hint="eastAsia"/>
        </w:rPr>
        <w:t>本标准发布后，标准发起单位</w:t>
      </w:r>
      <w:r>
        <w:rPr>
          <w:rFonts w:hint="eastAsia"/>
          <w:lang w:val="en-US" w:eastAsia="zh-CN"/>
        </w:rPr>
        <w:t>大唐乾安新能源发电有限公司</w:t>
      </w:r>
      <w:r>
        <w:rPr>
          <w:rFonts w:hint="eastAsia"/>
        </w:rPr>
        <w:t>将发挥行业领域带头作用，联合参与单位组织开展宣贯培训，高效协调行业内相关电力公司、</w:t>
      </w:r>
      <w:r>
        <w:rPr>
          <w:rFonts w:hint="eastAsia"/>
          <w:lang w:val="en-US" w:eastAsia="zh-CN"/>
        </w:rPr>
        <w:t>检测机构</w:t>
      </w:r>
      <w:r>
        <w:rPr>
          <w:rFonts w:hint="eastAsia"/>
        </w:rPr>
        <w:t>等单位参与标准学习，保障标准有效落地，并对标准实施成效作出充分的评估及持续改进。集团将第一时间落实标准内容，建立长效管理机制，确保落实到位。</w:t>
      </w:r>
    </w:p>
    <w:p w14:paraId="06A94AC4">
      <w:pPr>
        <w:pStyle w:val="40"/>
      </w:pPr>
      <w:r>
        <w:rPr>
          <w:rFonts w:hint="eastAsia"/>
        </w:rPr>
        <w:t>为全面宣传和贯彻执行标准，需采取下列措施进行推进：</w:t>
      </w:r>
    </w:p>
    <w:p w14:paraId="27A604B7">
      <w:pPr>
        <w:pStyle w:val="40"/>
      </w:pPr>
      <w:r>
        <w:rPr>
          <w:rFonts w:hint="eastAsia"/>
        </w:rPr>
        <w:t>（1）组建宣贯领导组和工作组。组织参与本标准编制工作的相关人员组成标准宣贯领导组和工作组；</w:t>
      </w:r>
    </w:p>
    <w:p w14:paraId="47E948AF">
      <w:pPr>
        <w:pStyle w:val="40"/>
      </w:pPr>
      <w:r>
        <w:rPr>
          <w:rFonts w:hint="eastAsia"/>
        </w:rPr>
        <w:t>（2）广泛宣传，大力动员。举办宣传贯彻培训班，印制发放宣传手册，借助政府网站、新闻媒体、现代通信手段等平台进行广泛宣传。</w:t>
      </w:r>
    </w:p>
    <w:p w14:paraId="6C71F28D">
      <w:pPr>
        <w:pStyle w:val="40"/>
      </w:pPr>
      <w:r>
        <w:rPr>
          <w:rFonts w:hint="eastAsia"/>
        </w:rPr>
        <w:t>（3）解析技术指标与实施难点。联合</w:t>
      </w:r>
      <w:r>
        <w:rPr>
          <w:rFonts w:hint="eastAsia"/>
          <w:lang w:val="en-US" w:eastAsia="zh-CN"/>
        </w:rPr>
        <w:t>电网公司、用电企业</w:t>
      </w:r>
      <w:r>
        <w:rPr>
          <w:rFonts w:hint="eastAsia"/>
        </w:rPr>
        <w:t>等相关单位开展</w:t>
      </w:r>
      <w:r>
        <w:rPr>
          <w:rFonts w:hint="eastAsia"/>
          <w:lang w:val="en-US" w:eastAsia="zh-CN"/>
        </w:rPr>
        <w:t>实操</w:t>
      </w:r>
      <w:r>
        <w:rPr>
          <w:rFonts w:hint="eastAsia"/>
        </w:rPr>
        <w:t>及</w:t>
      </w:r>
      <w:r>
        <w:rPr>
          <w:rFonts w:hint="eastAsia"/>
          <w:lang w:val="en-US" w:eastAsia="zh-CN"/>
        </w:rPr>
        <w:t>试验分析</w:t>
      </w:r>
      <w:r>
        <w:rPr>
          <w:rFonts w:hint="eastAsia"/>
        </w:rPr>
        <w:t>等，为</w:t>
      </w:r>
      <w:r>
        <w:rPr>
          <w:rFonts w:hint="eastAsia"/>
          <w:lang w:val="en-US" w:eastAsia="zh-CN"/>
        </w:rPr>
        <w:t>标准的制定</w:t>
      </w:r>
      <w:r>
        <w:rPr>
          <w:rFonts w:hint="eastAsia"/>
        </w:rPr>
        <w:t>提供有效的技术指导。</w:t>
      </w:r>
    </w:p>
    <w:p w14:paraId="5B963CC3">
      <w:pPr>
        <w:rPr>
          <w:rFonts w:hint="eastAsia" w:ascii="黑体" w:hAnsi="黑体" w:eastAsia="黑体"/>
          <w:bCs/>
          <w:sz w:val="32"/>
          <w:szCs w:val="32"/>
        </w:rPr>
      </w:pPr>
    </w:p>
    <w:p w14:paraId="5948D186"/>
    <w:sectPr>
      <w:pgSz w:w="11906" w:h="16838"/>
      <w:pgMar w:top="1440" w:right="1588" w:bottom="1440" w:left="158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09BA72">
    <w:pPr>
      <w:pStyle w:val="46"/>
      <w:jc w:val="center"/>
    </w:pPr>
    <w:r>
      <w:rPr>
        <w:kern w:val="2"/>
      </w:rPr>
      <w:fldChar w:fldCharType="begin"/>
    </w:r>
    <w:r>
      <w:rPr>
        <w:rStyle w:val="18"/>
        <w:kern w:val="2"/>
      </w:rPr>
      <w:instrText xml:space="preserve"> PAGE </w:instrText>
    </w:r>
    <w:r>
      <w:rPr>
        <w:kern w:val="2"/>
      </w:rPr>
      <w:fldChar w:fldCharType="separate"/>
    </w:r>
    <w:r>
      <w:rPr>
        <w:rStyle w:val="18"/>
        <w:kern w:val="2"/>
      </w:rPr>
      <w:t>27</w:t>
    </w:r>
    <w:r>
      <w:rPr>
        <w:kern w:val="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2582B3">
    <w:pPr>
      <w:pStyle w:val="1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65430" cy="174625"/>
              <wp:effectExtent l="0" t="0" r="0" b="0"/>
              <wp:wrapNone/>
              <wp:docPr id="1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430" cy="174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AFE722">
                          <w:pPr>
                            <w:tabs>
                              <w:tab w:val="center" w:pos="4153"/>
                              <w:tab w:val="right" w:pos="8306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3.75pt;width:20.9pt;mso-position-horizontal:center;mso-position-horizontal-relative:margin;z-index:251659264;mso-width-relative:page;mso-height-relative:page;" filled="f" stroked="f" coordsize="21600,21600" o:gfxdata="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QExBmdQAAAADAQAADwAAAAAAAAABACAAAAAiAAAAZHJzL2Rvd25yZXYueG1sUEsBAhQAFAAA&#10;AAgAh07iQJDCOna6AQAAcQMAAA4AAAAAAAAAAQAgAAAAIw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FAFE722">
                    <w:pPr>
                      <w:tabs>
                        <w:tab w:val="center" w:pos="4153"/>
                        <w:tab w:val="right" w:pos="8306"/>
                      </w:tabs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4C7861">
    <w:pPr>
      <w:pStyle w:val="41"/>
      <w:wordWrap w:val="0"/>
    </w:pPr>
    <w:r>
      <w:rPr>
        <w:rFonts w:hint="eastAsia"/>
      </w:rPr>
      <w:t>T</w:t>
    </w:r>
    <w:r>
      <w:t>/</w:t>
    </w:r>
    <w:r>
      <w:rPr>
        <w:rFonts w:hint="eastAsia"/>
      </w:rPr>
      <w:t>CSEE</w:t>
    </w:r>
    <w:r>
      <w:rPr>
        <w:rFonts w:hint="eastAsia" w:hAnsi="黑体"/>
      </w:rPr>
      <w:t xml:space="preserve"> XXXX-YYYY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719AE1">
    <w:pPr>
      <w:pStyle w:val="41"/>
      <w:spacing w:before="120" w:after="120"/>
      <w:jc w:val="both"/>
    </w:pPr>
    <w:r>
      <w:t>Q/</w:t>
    </w:r>
    <w:r>
      <w:rPr>
        <w:rFonts w:hint="eastAsia"/>
      </w:rPr>
      <w:t>GDW</w:t>
    </w:r>
    <w:r>
      <w:rPr>
        <w:rFonts w:hint="eastAsia" w:hAnsi="宋体"/>
      </w:rPr>
      <w:t xml:space="preserve"> </w:t>
    </w:r>
    <w:r>
      <w:rPr>
        <w:rFonts w:hint="eastAsia" w:hAnsi="黑体"/>
      </w:rPr>
      <w:t>XX-XXX</w:t>
    </w:r>
    <w:r>
      <w:rPr>
        <w:rFonts w:hAnsi="黑体"/>
      </w:rPr>
      <w:t>—</w:t>
    </w:r>
    <w:r>
      <w:rPr>
        <w:rFonts w:hint="eastAsia" w:hAnsi="黑体"/>
      </w:rPr>
      <w:t>2012-1XXXX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896C">
    <w:pPr>
      <w:pStyle w:val="41"/>
      <w:wordWrap w:val="0"/>
      <w:spacing w:before="120"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D1C199"/>
    <w:multiLevelType w:val="singleLevel"/>
    <w:tmpl w:val="A1D1C199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1FC91163"/>
    <w:multiLevelType w:val="multilevel"/>
    <w:tmpl w:val="1FC91163"/>
    <w:lvl w:ilvl="0" w:tentative="0">
      <w:start w:val="1"/>
      <w:numFmt w:val="decimal"/>
      <w:pStyle w:val="42"/>
      <w:suff w:val="nothing"/>
      <w:lvlText w:val="%1　"/>
      <w:lvlJc w:val="left"/>
      <w:pPr>
        <w:ind w:left="426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142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568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>
    <w:nsid w:val="657D3FBC"/>
    <w:multiLevelType w:val="multilevel"/>
    <w:tmpl w:val="657D3FBC"/>
    <w:lvl w:ilvl="0" w:tentative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</w:rPr>
    </w:lvl>
    <w:lvl w:ilvl="1" w:tentative="0">
      <w:start w:val="1"/>
      <w:numFmt w:val="decimal"/>
      <w:pStyle w:val="45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trackRevisions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3E9"/>
    <w:rsid w:val="0008287A"/>
    <w:rsid w:val="000C5607"/>
    <w:rsid w:val="00131C5B"/>
    <w:rsid w:val="00153106"/>
    <w:rsid w:val="001539A9"/>
    <w:rsid w:val="00163E9D"/>
    <w:rsid w:val="00175325"/>
    <w:rsid w:val="001B3D28"/>
    <w:rsid w:val="001B73FA"/>
    <w:rsid w:val="001E3E8B"/>
    <w:rsid w:val="002763D4"/>
    <w:rsid w:val="002F2E48"/>
    <w:rsid w:val="00530FED"/>
    <w:rsid w:val="005A7CD2"/>
    <w:rsid w:val="005B2AD1"/>
    <w:rsid w:val="006E2E9A"/>
    <w:rsid w:val="00746DE5"/>
    <w:rsid w:val="00750F8D"/>
    <w:rsid w:val="007538E1"/>
    <w:rsid w:val="007F43C0"/>
    <w:rsid w:val="00843D4B"/>
    <w:rsid w:val="008502D9"/>
    <w:rsid w:val="008519DE"/>
    <w:rsid w:val="008631BA"/>
    <w:rsid w:val="008A71FC"/>
    <w:rsid w:val="008F28F5"/>
    <w:rsid w:val="0094403B"/>
    <w:rsid w:val="009A23E9"/>
    <w:rsid w:val="00A407CD"/>
    <w:rsid w:val="00A561DE"/>
    <w:rsid w:val="00B451D3"/>
    <w:rsid w:val="00BE7592"/>
    <w:rsid w:val="00C41E93"/>
    <w:rsid w:val="00C81D62"/>
    <w:rsid w:val="00C8478C"/>
    <w:rsid w:val="00E32CEF"/>
    <w:rsid w:val="00EA60AA"/>
    <w:rsid w:val="00F37B7C"/>
    <w:rsid w:val="00F44D60"/>
    <w:rsid w:val="00FA7E07"/>
    <w:rsid w:val="00FE50F1"/>
    <w:rsid w:val="0136732D"/>
    <w:rsid w:val="021D229B"/>
    <w:rsid w:val="02CB3234"/>
    <w:rsid w:val="0A4F2E9A"/>
    <w:rsid w:val="0DC67C8B"/>
    <w:rsid w:val="0FE40A99"/>
    <w:rsid w:val="149D101A"/>
    <w:rsid w:val="159E3AF3"/>
    <w:rsid w:val="16D76A65"/>
    <w:rsid w:val="1AE94FB9"/>
    <w:rsid w:val="1C4A3356"/>
    <w:rsid w:val="1E124827"/>
    <w:rsid w:val="1F96462D"/>
    <w:rsid w:val="20F97046"/>
    <w:rsid w:val="21D841C9"/>
    <w:rsid w:val="266D4CF0"/>
    <w:rsid w:val="2ADC2444"/>
    <w:rsid w:val="2B473D61"/>
    <w:rsid w:val="2C8B4122"/>
    <w:rsid w:val="2E95044B"/>
    <w:rsid w:val="2FC3064C"/>
    <w:rsid w:val="3B8821A8"/>
    <w:rsid w:val="3BD84136"/>
    <w:rsid w:val="404C5150"/>
    <w:rsid w:val="4118629F"/>
    <w:rsid w:val="411B561D"/>
    <w:rsid w:val="41A9762F"/>
    <w:rsid w:val="46C823CD"/>
    <w:rsid w:val="4ADD32B8"/>
    <w:rsid w:val="4BA97CC9"/>
    <w:rsid w:val="555843FA"/>
    <w:rsid w:val="566B1D4F"/>
    <w:rsid w:val="5847689F"/>
    <w:rsid w:val="58F12AC1"/>
    <w:rsid w:val="5BBF32A4"/>
    <w:rsid w:val="5BC87CF7"/>
    <w:rsid w:val="5D3A69D3"/>
    <w:rsid w:val="5E2514A3"/>
    <w:rsid w:val="60522673"/>
    <w:rsid w:val="65D43361"/>
    <w:rsid w:val="676254A4"/>
    <w:rsid w:val="69533249"/>
    <w:rsid w:val="6CA5747E"/>
    <w:rsid w:val="6CBE10EF"/>
    <w:rsid w:val="74A25132"/>
    <w:rsid w:val="75224655"/>
    <w:rsid w:val="7564635F"/>
    <w:rsid w:val="790243F1"/>
    <w:rsid w:val="793F5645"/>
    <w:rsid w:val="7A66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  <w14:ligatures w14:val="none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qFormat/>
    <w:uiPriority w:val="39"/>
    <w:pPr>
      <w:tabs>
        <w:tab w:val="right" w:leader="dot" w:pos="9241"/>
      </w:tabs>
      <w:spacing w:before="25" w:beforeLines="25" w:after="25" w:afterLines="25"/>
      <w:jc w:val="left"/>
    </w:pPr>
    <w:rPr>
      <w:rFonts w:ascii="宋体"/>
      <w:szCs w:val="21"/>
    </w:rPr>
  </w:style>
  <w:style w:type="paragraph" w:styleId="14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9"/>
    <w:qFormat/>
    <w:uiPriority w:val="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page number"/>
    <w:basedOn w:val="17"/>
    <w:qFormat/>
    <w:uiPriority w:val="0"/>
    <w:rPr>
      <w:rFonts w:ascii="Times New Roman" w:hAnsi="Times New Roman" w:eastAsia="宋体"/>
      <w:sz w:val="18"/>
    </w:rPr>
  </w:style>
  <w:style w:type="character" w:styleId="19">
    <w:name w:val="Hyperlink"/>
    <w:unhideWhenUsed/>
    <w:qFormat/>
    <w:uiPriority w:val="99"/>
    <w:rPr>
      <w:color w:val="0000FF"/>
      <w:u w:val="single"/>
    </w:rPr>
  </w:style>
  <w:style w:type="character" w:customStyle="1" w:styleId="20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5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7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明显引用 字符"/>
    <w:basedOn w:val="17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9">
    <w:name w:val="页脚 字符"/>
    <w:basedOn w:val="17"/>
    <w:link w:val="11"/>
    <w:qFormat/>
    <w:uiPriority w:val="99"/>
    <w:rPr>
      <w:sz w:val="18"/>
      <w:szCs w:val="18"/>
    </w:rPr>
  </w:style>
  <w:style w:type="paragraph" w:customStyle="1" w:styleId="40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  <w14:ligatures w14:val="none"/>
    </w:rPr>
  </w:style>
  <w:style w:type="paragraph" w:customStyle="1" w:styleId="41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kern w:val="0"/>
      <w:sz w:val="21"/>
      <w:szCs w:val="21"/>
      <w:lang w:val="en-US" w:eastAsia="zh-CN" w:bidi="ar-SA"/>
      <w14:ligatures w14:val="none"/>
    </w:rPr>
  </w:style>
  <w:style w:type="paragraph" w:customStyle="1" w:styleId="42">
    <w:name w:val="章标题"/>
    <w:next w:val="40"/>
    <w:qFormat/>
    <w:uiPriority w:val="0"/>
    <w:pPr>
      <w:numPr>
        <w:ilvl w:val="0"/>
        <w:numId w:val="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kern w:val="0"/>
      <w:sz w:val="21"/>
      <w:szCs w:val="20"/>
      <w:lang w:val="en-US" w:eastAsia="zh-CN" w:bidi="ar-SA"/>
      <w14:ligatures w14:val="none"/>
    </w:rPr>
  </w:style>
  <w:style w:type="paragraph" w:customStyle="1" w:styleId="43">
    <w:name w:val="样式 标题 1 + 非加粗"/>
    <w:basedOn w:val="2"/>
    <w:qFormat/>
    <w:uiPriority w:val="0"/>
    <w:pPr>
      <w:spacing w:before="100" w:beforeLines="100" w:after="100" w:afterLines="100"/>
    </w:pPr>
    <w:rPr>
      <w:rFonts w:ascii="Times New Roman" w:hAnsi="Times New Roman" w:eastAsia="黑体" w:cs="Times New Roman"/>
      <w:color w:val="auto"/>
      <w:kern w:val="44"/>
      <w:sz w:val="21"/>
      <w:szCs w:val="44"/>
    </w:rPr>
  </w:style>
  <w:style w:type="paragraph" w:customStyle="1" w:styleId="44">
    <w:name w:val="目次、标准名称标题"/>
    <w:basedOn w:val="1"/>
    <w:next w:val="40"/>
    <w:qFormat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</w:rPr>
  </w:style>
  <w:style w:type="paragraph" w:customStyle="1" w:styleId="45">
    <w:name w:val="附录章标题"/>
    <w:next w:val="40"/>
    <w:qFormat/>
    <w:uiPriority w:val="0"/>
    <w:pPr>
      <w:numPr>
        <w:ilvl w:val="1"/>
        <w:numId w:val="2"/>
      </w:numPr>
      <w:tabs>
        <w:tab w:val="left" w:pos="360"/>
      </w:tabs>
      <w:wordWrap w:val="0"/>
      <w:overflowPunct w:val="0"/>
      <w:autoSpaceDE w:val="0"/>
      <w:spacing w:before="100" w:beforeLines="100" w:after="100" w:afterLines="10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szCs w:val="20"/>
      <w:lang w:val="en-US" w:eastAsia="zh-CN" w:bidi="ar-SA"/>
      <w14:ligatures w14:val="none"/>
    </w:rPr>
  </w:style>
  <w:style w:type="paragraph" w:customStyle="1" w:styleId="46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kern w:val="0"/>
      <w:sz w:val="18"/>
      <w:szCs w:val="18"/>
      <w:lang w:val="en-US" w:eastAsia="zh-CN" w:bidi="ar-SA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72D07D-5FF2-4CDE-8862-1B34271E39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4311</Words>
  <Characters>4451</Characters>
  <Lines>31</Lines>
  <Paragraphs>8</Paragraphs>
  <TotalTime>66</TotalTime>
  <ScaleCrop>false</ScaleCrop>
  <LinksUpToDate>false</LinksUpToDate>
  <CharactersWithSpaces>4486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2025-03-04T06:49:00Z</dcterms:created>
  <dc:creator>硕 董</dc:creator>
  <cp:lastModifiedBy>JZ</cp:lastModifiedBy>
  <dcterms:modified xsi:type="dcterms:W3CDTF">2026-04-07T08:53:35Z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DA7BE1D2273042E49DDBE784711C67BA_12</vt:lpwstr>
  </property>
  <property fmtid="{D5CDD505-2E9C-101B-9397-08002B2CF9AE}" pid="4" name="KSOTemplateDocerSaveRecord">
    <vt:lpwstr>eyJoZGlkIjoiMTRlNzVhZTFiN2QwNDc3YjIzMmNlNjU3ZDkyNGU0NzEiLCJ1c2VySWQiOiIyNzI5MzA3ODQifQ==</vt:lpwstr>
  </property>
</Properties>
</file>