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22D4">
      <w:pPr>
        <w:pStyle w:val="286"/>
        <w:rPr>
          <w:highlight w:val="none"/>
        </w:rPr>
      </w:pPr>
      <w:bookmarkStart w:id="0" w:name="标准封面"/>
      <w:bookmarkEnd w:id="0"/>
      <w:r>
        <w:rPr>
          <w:rFonts w:ascii="Times New Roman"/>
          <w:highlight w:val="none"/>
        </w:rPr>
        <mc:AlternateContent>
          <mc:Choice Requires="wps">
            <w:drawing>
              <wp:anchor distT="0" distB="0" distL="114300" distR="114300" simplePos="0" relativeHeight="251668480" behindDoc="0" locked="0" layoutInCell="1" allowOverlap="1">
                <wp:simplePos x="0" y="0"/>
                <wp:positionH relativeFrom="column">
                  <wp:posOffset>-102870</wp:posOffset>
                </wp:positionH>
                <wp:positionV relativeFrom="paragraph">
                  <wp:posOffset>1011555</wp:posOffset>
                </wp:positionV>
                <wp:extent cx="6276340" cy="892175"/>
                <wp:effectExtent l="0" t="0" r="0" b="2540"/>
                <wp:wrapSquare wrapText="bothSides"/>
                <wp:docPr id="8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76340" cy="892175"/>
                        </a:xfrm>
                        <a:prstGeom prst="rect">
                          <a:avLst/>
                        </a:prstGeom>
                        <a:noFill/>
                        <a:ln w="9525">
                          <a:noFill/>
                          <a:miter lim="800000"/>
                        </a:ln>
                      </wps:spPr>
                      <wps:txbx>
                        <w:txbxContent>
                          <w:sdt>
                            <w:sdtPr>
                              <w:rPr>
                                <w:rFonts w:ascii="黑体" w:hAnsi="黑体" w:eastAsia="黑体"/>
                                <w:sz w:val="84"/>
                                <w:szCs w:val="84"/>
                              </w:rPr>
                              <w:id w:val="-1332523213"/>
                              <w:lock w:val="contentLocked"/>
                              <w:placeholder>
                                <w:docPart w:val="E8B50BDDE2984F14824977729F4D0D62"/>
                              </w:placeholder>
                            </w:sdtPr>
                            <w:sdtEndPr>
                              <w:rPr>
                                <w:rFonts w:ascii="黑体" w:hAnsi="黑体" w:eastAsia="黑体"/>
                                <w:sz w:val="84"/>
                                <w:szCs w:val="84"/>
                              </w:rPr>
                            </w:sdtEndPr>
                            <w:sdtContent>
                              <w:p w14:paraId="6D0DB975">
                                <w:pPr>
                                  <w:jc w:val="distribute"/>
                                  <w:rPr>
                                    <w:rFonts w:ascii="黑体" w:hAnsi="黑体" w:eastAsia="黑体"/>
                                    <w:sz w:val="84"/>
                                    <w:szCs w:val="84"/>
                                  </w:rPr>
                                </w:pPr>
                                <w:r>
                                  <w:rPr>
                                    <w:rFonts w:hint="eastAsia" w:ascii="黑体" w:hAnsi="黑体" w:eastAsia="黑体"/>
                                    <w:sz w:val="84"/>
                                    <w:szCs w:val="84"/>
                                  </w:rPr>
                                  <w:t>团体标准</w:t>
                                </w:r>
                              </w:p>
                            </w:sdtContent>
                          </w:sdt>
                        </w:txbxContent>
                      </wps:txbx>
                      <wps:bodyPr rot="0" vert="horz" wrap="square" lIns="91440" tIns="45720" rIns="91440" bIns="45720" anchor="ctr" anchorCtr="0">
                        <a:spAutoFit/>
                      </wps:bodyPr>
                    </wps:wsp>
                  </a:graphicData>
                </a:graphic>
              </wp:anchor>
            </w:drawing>
          </mc:Choice>
          <mc:Fallback>
            <w:pict>
              <v:shape id="文本框 2" o:spid="_x0000_s1026" o:spt="202" type="#_x0000_t202" style="position:absolute;left:0pt;margin-left:-8.1pt;margin-top:79.65pt;height:70.25pt;width:494.2pt;mso-wrap-distance-bottom:0pt;mso-wrap-distance-left:9pt;mso-wrap-distance-right:9pt;mso-wrap-distance-top:0pt;z-index:251668480;v-text-anchor:middle;mso-width-relative:page;mso-height-relative:page;" filled="f" stroked="f" coordsize="21600,21600" o:gfxdata="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483L9sAAAALAQAADwAAAAAAAAABACAAAAAiAAAAZHJzL2Rvd25yZXYueG1sUEsBAhQAFAAA&#10;AAgAh07iQLJCwIElAgAALAQAAA4AAAAAAAAAAQAgAAAAKgEAAGRycy9lMm9Eb2MueG1sUEsFBgAA&#10;AAAGAAYAWQEAAMEFAAAAAA==&#10;">
                <v:fill on="f" focussize="0,0"/>
                <v:stroke on="f" miterlimit="8" joinstyle="miter"/>
                <v:imagedata o:title=""/>
                <o:lock v:ext="edit" aspectratio="f"/>
                <v:textbox style="mso-fit-shape-to-text:t;">
                  <w:txbxContent>
                    <w:sdt>
                      <w:sdtPr>
                        <w:rPr>
                          <w:rFonts w:ascii="黑体" w:hAnsi="黑体" w:eastAsia="黑体"/>
                          <w:sz w:val="84"/>
                          <w:szCs w:val="84"/>
                        </w:rPr>
                        <w:id w:val="-1332523213"/>
                        <w:lock w:val="contentLocked"/>
                        <w:placeholder>
                          <w:docPart w:val="E8B50BDDE2984F14824977729F4D0D62"/>
                        </w:placeholder>
                      </w:sdtPr>
                      <w:sdtEndPr>
                        <w:rPr>
                          <w:rFonts w:ascii="黑体" w:hAnsi="黑体" w:eastAsia="黑体"/>
                          <w:sz w:val="84"/>
                          <w:szCs w:val="84"/>
                        </w:rPr>
                      </w:sdtEndPr>
                      <w:sdtContent>
                        <w:p w14:paraId="6D0DB975">
                          <w:pPr>
                            <w:jc w:val="distribute"/>
                            <w:rPr>
                              <w:rFonts w:ascii="黑体" w:hAnsi="黑体" w:eastAsia="黑体"/>
                              <w:sz w:val="84"/>
                              <w:szCs w:val="84"/>
                            </w:rPr>
                          </w:pPr>
                          <w:r>
                            <w:rPr>
                              <w:rFonts w:hint="eastAsia" w:ascii="黑体" w:hAnsi="黑体" w:eastAsia="黑体"/>
                              <w:sz w:val="84"/>
                              <w:szCs w:val="84"/>
                            </w:rPr>
                            <w:t>团体标准</w:t>
                          </w:r>
                        </w:p>
                      </w:sdtContent>
                    </w:sdt>
                  </w:txbxContent>
                </v:textbox>
                <w10:wrap type="square"/>
              </v:shape>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page">
                  <wp:posOffset>4798060</wp:posOffset>
                </wp:positionH>
                <wp:positionV relativeFrom="page">
                  <wp:posOffset>9763125</wp:posOffset>
                </wp:positionV>
                <wp:extent cx="811530" cy="184150"/>
                <wp:effectExtent l="0" t="0" r="7620" b="6350"/>
                <wp:wrapNone/>
                <wp:docPr id="23"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wps:spPr>
                      <wps:txbx>
                        <w:txbxContent>
                          <w:p w14:paraId="4D187177">
                            <w:pPr>
                              <w:pStyle w:val="504"/>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77.8pt;margin-top:768.75pt;height:14.5pt;width:63.9pt;mso-position-horizontal-relative:page;mso-position-vertical-relative:page;z-index:251667456;mso-width-relative:page;mso-height-relative:page;" filled="f" stroked="f" coordsize="21600,21600" o:gfxdata="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UaHczbAAAADQEAAA8AAAAAAAAAAQAg&#10;AAAAIgAAAGRycy9kb3ducmV2LnhtbFBLAQIUABQAAAAIAIdO4kCqypSaRAIAAF8EAAAOAAAAAAAA&#10;AAEAIAAAACoBAABkcnMvZTJvRG9jLnhtbFBLBQYAAAAABgAGAFkBAADgBQAAAAA=&#10;">
                <v:fill on="f" focussize="0,0"/>
                <v:stroke on="f" weight="0.5pt"/>
                <v:imagedata o:title=""/>
                <o:lock v:ext="edit" aspectratio="f"/>
                <v:textbox inset="0mm,0mm,0mm,0mm">
                  <w:txbxContent>
                    <w:p w14:paraId="4D187177">
                      <w:pPr>
                        <w:pStyle w:val="504"/>
                      </w:pPr>
                      <w:r>
                        <w:rPr>
                          <w:rFonts w:hint="eastAsia"/>
                        </w:rPr>
                        <w:t>发 布</w:t>
                      </w:r>
                    </w:p>
                  </w:txbxContent>
                </v:textbox>
              </v:shape>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2374265</wp:posOffset>
                </wp:positionV>
                <wp:extent cx="6120765" cy="0"/>
                <wp:effectExtent l="0" t="0" r="0" b="0"/>
                <wp:wrapNone/>
                <wp:docPr id="17"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0pt;margin-top:186.95pt;height:0pt;width:481.95pt;z-index:251661312;mso-width-relative:page;mso-height-relative:page;" filled="f" stroked="t" coordsize="21600,21600" o:gfxdata="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FBX&#10;FdUAAAAIAQAADwAAAAAAAAABACAAAAAiAAAAZHJzL2Rvd25yZXYueG1sUEsBAhQAFAAAAAgAh07i&#10;QIgaPbvsAQAAtAMAAA4AAAAAAAAAAQAgAAAAJAEAAGRycy9lMm9Eb2MueG1sUEsFBgAAAAAGAAYA&#10;WQEAAIIFAAAAAA==&#10;">
                <v:fill on="f" focussize="0,0"/>
                <v:stroke weight="0.5pt" color="#000000 [3204]" miterlimit="8" joinstyle="miter"/>
                <v:imagedata o:title=""/>
                <o:lock v:ext="edit" aspectratio="f"/>
              </v:line>
            </w:pict>
          </mc:Fallback>
        </mc:AlternateContent>
      </w:r>
      <w:r>
        <w:rPr>
          <w:highlight w:val="none"/>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8926830</wp:posOffset>
                </wp:positionV>
                <wp:extent cx="6120765" cy="0"/>
                <wp:effectExtent l="0" t="0" r="0" b="0"/>
                <wp:wrapNone/>
                <wp:docPr id="21"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0pt;margin-top:702.9pt;height:0pt;width:481.95pt;z-index:251665408;mso-width-relative:page;mso-height-relative:page;" filled="f" stroked="t" coordsize="21600,21600" o:gfxdata="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sQ&#10;QG/WAAAACgEAAA8AAAAAAAAAAQAgAAAAIgAAAGRycy9kb3ducmV2LnhtbFBLAQIUABQAAAAIAIdO&#10;4kB/xYyE7AEAALUDAAAOAAAAAAAAAAEAIAAAACUBAABkcnMvZTJvRG9jLnhtbFBLBQYAAAAABgAG&#10;AFkBAACDBQAAAAA=&#10;">
                <v:fill on="f" focussize="0,0"/>
                <v:stroke weight="0.5pt" color="#000000 [3204]" miterlimit="8" joinstyle="miter"/>
                <v:imagedata o:title=""/>
                <o:lock v:ext="edit" aspectratio="f"/>
              </v:line>
            </w:pict>
          </mc:Fallback>
        </mc:AlternateContent>
      </w:r>
      <w:r>
        <w:rPr>
          <w:highlight w:val="none"/>
        </w:rPr>
        <mc:AlternateContent>
          <mc:Choice Requires="wps">
            <w:drawing>
              <wp:anchor distT="0" distB="0" distL="114300" distR="114300" simplePos="0" relativeHeight="251666432" behindDoc="0" locked="0" layoutInCell="1" allowOverlap="1">
                <wp:simplePos x="0" y="0"/>
                <wp:positionH relativeFrom="page">
                  <wp:posOffset>2130425</wp:posOffset>
                </wp:positionH>
                <wp:positionV relativeFrom="page">
                  <wp:posOffset>9737725</wp:posOffset>
                </wp:positionV>
                <wp:extent cx="2667635" cy="234950"/>
                <wp:effectExtent l="0" t="0" r="0" b="12700"/>
                <wp:wrapNone/>
                <wp:docPr id="22" name="首页自画框图11"/>
                <wp:cNvGraphicFramePr/>
                <a:graphic xmlns:a="http://schemas.openxmlformats.org/drawingml/2006/main">
                  <a:graphicData uri="http://schemas.microsoft.com/office/word/2010/wordprocessingShape">
                    <wps:wsp>
                      <wps:cNvSpPr txBox="1"/>
                      <wps:spPr>
                        <a:xfrm>
                          <a:off x="0" y="0"/>
                          <a:ext cx="2667635" cy="234950"/>
                        </a:xfrm>
                        <a:prstGeom prst="rect">
                          <a:avLst/>
                        </a:prstGeom>
                        <a:noFill/>
                        <a:ln w="6350">
                          <a:noFill/>
                        </a:ln>
                      </wps:spPr>
                      <wps:txbx>
                        <w:txbxContent>
                          <w:p w14:paraId="3D5D6BF4">
                            <w:pPr>
                              <w:pStyle w:val="505"/>
                            </w:pPr>
                            <w:r>
                              <w:rPr>
                                <w:rFonts w:hint="eastAsia"/>
                              </w:rPr>
                              <w:t>中国电机工程学会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67.75pt;margin-top:766.75pt;height:18.5pt;width:210.05pt;mso-position-horizontal-relative:page;mso-position-vertical-relative:page;z-index:251666432;mso-width-relative:page;mso-height-relative:page;" filled="f" stroked="f" coordsize="21600,21600" o:gfxdata="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FQtRbaAAAADQEAAA8AAAAAAAAAAQAg&#10;AAAAIgAAAGRycy9kb3ducmV2LnhtbFBLAQIUABQAAAAIAIdO4kA1BpwrRQIAAGAEAAAOAAAAAAAA&#10;AAEAIAAAACkBAABkcnMvZTJvRG9jLnhtbFBLBQYAAAAABgAGAFkBAADgBQAAAAA=&#10;">
                <v:fill on="f" focussize="0,0"/>
                <v:stroke on="f" weight="0.5pt"/>
                <v:imagedata o:title=""/>
                <o:lock v:ext="edit" aspectratio="f"/>
                <v:textbox inset="0mm,0mm,0mm,0mm">
                  <w:txbxContent>
                    <w:p w14:paraId="3D5D6BF4">
                      <w:pPr>
                        <w:pStyle w:val="505"/>
                      </w:pPr>
                      <w:r>
                        <w:rPr>
                          <w:rFonts w:hint="eastAsia"/>
                        </w:rPr>
                        <w:t>中国电机工程学会</w:t>
                      </w:r>
                    </w:p>
                  </w:txbxContent>
                </v:textbox>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3240405</wp:posOffset>
                </wp:positionH>
                <wp:positionV relativeFrom="paragraph">
                  <wp:posOffset>8566785</wp:posOffset>
                </wp:positionV>
                <wp:extent cx="2880360" cy="360045"/>
                <wp:effectExtent l="0" t="0" r="0" b="0"/>
                <wp:wrapNone/>
                <wp:docPr id="20" name="首页自画框图9"/>
                <wp:cNvGraphicFramePr/>
                <a:graphic xmlns:a="http://schemas.openxmlformats.org/drawingml/2006/main">
                  <a:graphicData uri="http://schemas.microsoft.com/office/word/2010/wordprocessingShape">
                    <wps:wsp>
                      <wps:cNvSpPr txBox="1"/>
                      <wps:spPr>
                        <a:xfrm>
                          <a:off x="0" y="0"/>
                          <a:ext cx="2880361" cy="360045"/>
                        </a:xfrm>
                        <a:prstGeom prst="rect">
                          <a:avLst/>
                        </a:prstGeom>
                        <a:noFill/>
                        <a:ln w="6350">
                          <a:noFill/>
                        </a:ln>
                      </wps:spPr>
                      <wps:txbx>
                        <w:txbxContent>
                          <w:p w14:paraId="1BB4C3BC">
                            <w:pPr>
                              <w:pStyle w:val="291"/>
                            </w:pPr>
                            <w:r>
                              <w:t>20XX—XX—XX实施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9" o:spid="_x0000_s1026" o:spt="202" type="#_x0000_t202" style="position:absolute;left:0pt;margin-left:255.15pt;margin-top:674.55pt;height:28.35pt;width:226.8pt;z-index:251664384;mso-width-relative:page;mso-height-relative:page;" filled="f" stroked="f" coordsize="21600,21600" o:gfxdata="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OM1tl2QAAAA0BAAAPAAAAAAAA&#10;AAEAIAAAACIAAABkcnMvZG93bnJldi54bWxQSwECFAAUAAAACACHTuJA5jhBY0oCAABjBAAADgAA&#10;AAAAAAABACAAAAAoAQAAZHJzL2Uyb0RvYy54bWxQSwUGAAAAAAYABgBZAQAA5AUAAAAA&#10;">
                <v:fill on="f" focussize="0,0"/>
                <v:stroke on="f" weight="0.5pt"/>
                <v:imagedata o:title=""/>
                <o:lock v:ext="edit" aspectratio="f"/>
                <v:textbox inset="0mm,0mm,2.54mm,0mm" style="mso-fit-shape-to-text:t;">
                  <w:txbxContent>
                    <w:p w14:paraId="1BB4C3BC">
                      <w:pPr>
                        <w:pStyle w:val="291"/>
                      </w:pPr>
                      <w:r>
                        <w:t>20XX—XX—XX实施</w:t>
                      </w:r>
                    </w:p>
                  </w:txbxContent>
                </v:textbox>
              </v:shape>
            </w:pict>
          </mc:Fallback>
        </mc:AlternateContent>
      </w:r>
      <w:r>
        <w:rPr>
          <w:highlight w:val="non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8566785</wp:posOffset>
                </wp:positionV>
                <wp:extent cx="2880360" cy="360045"/>
                <wp:effectExtent l="0" t="0" r="0" b="0"/>
                <wp:wrapNone/>
                <wp:docPr id="19" name="首页自画框图8"/>
                <wp:cNvGraphicFramePr/>
                <a:graphic xmlns:a="http://schemas.openxmlformats.org/drawingml/2006/main">
                  <a:graphicData uri="http://schemas.microsoft.com/office/word/2010/wordprocessingShape">
                    <wps:wsp>
                      <wps:cNvSpPr txBox="1"/>
                      <wps:spPr>
                        <a:xfrm>
                          <a:off x="0" y="0"/>
                          <a:ext cx="2880359" cy="360045"/>
                        </a:xfrm>
                        <a:prstGeom prst="rect">
                          <a:avLst/>
                        </a:prstGeom>
                        <a:noFill/>
                        <a:ln w="6350">
                          <a:noFill/>
                        </a:ln>
                      </wps:spPr>
                      <wps:txbx>
                        <w:txbxContent>
                          <w:p w14:paraId="541E54FC">
                            <w:pPr>
                              <w:pStyle w:val="264"/>
                            </w:pPr>
                            <w:r>
                              <w:t>20XX—XX—XX发布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8" o:spid="_x0000_s1026" o:spt="202" type="#_x0000_t202" style="position:absolute;left:0pt;margin-left:0pt;margin-top:674.55pt;height:28.35pt;width:226.8pt;z-index:251663360;mso-width-relative:page;mso-height-relative:page;" filled="f" stroked="f" coordsize="21600,21600" o:gfxdata="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k7C7d2AAAAAoBAAAPAAAAAAAA&#10;AAEAIAAAACIAAABkcnMvZG93bnJldi54bWxQSwECFAAUAAAACACHTuJATNWh5ksCAABjBAAADgAA&#10;AAAAAAABACAAAAAnAQAAZHJzL2Uyb0RvYy54bWxQSwUGAAAAAAYABgBZAQAA5AUAAAAA&#10;">
                <v:fill on="f" focussize="0,0"/>
                <v:stroke on="f" weight="0.5pt"/>
                <v:imagedata o:title=""/>
                <o:lock v:ext="edit" aspectratio="f"/>
                <v:textbox inset="0mm,0mm,2.54mm,0mm" style="mso-fit-shape-to-text:t;">
                  <w:txbxContent>
                    <w:p w14:paraId="541E54FC">
                      <w:pPr>
                        <w:pStyle w:val="264"/>
                      </w:pPr>
                      <w:r>
                        <w:t>20XX—XX—XX发布</w:t>
                      </w:r>
                    </w:p>
                  </w:txbxContent>
                </v:textbox>
              </v:shape>
            </w:pict>
          </mc:Fallback>
        </mc:AlternateContent>
      </w:r>
      <w:r>
        <w:rPr>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3814445</wp:posOffset>
                </wp:positionV>
                <wp:extent cx="6120765" cy="4320540"/>
                <wp:effectExtent l="0" t="0" r="0" b="0"/>
                <wp:wrapNone/>
                <wp:docPr id="18"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noFill/>
                        <a:ln w="6350">
                          <a:noFill/>
                        </a:ln>
                      </wps:spPr>
                      <wps:txbx>
                        <w:txbxContent>
                          <w:p w14:paraId="49ACD7D2">
                            <w:pPr>
                              <w:pStyle w:val="268"/>
                              <w:rPr>
                                <w:rFonts w:hint="eastAsia" w:eastAsia="黑体"/>
                                <w:lang w:eastAsia="zh-CN"/>
                              </w:rPr>
                            </w:pPr>
                            <w:r>
                              <w:rPr>
                                <w:rFonts w:hint="eastAsia"/>
                              </w:rPr>
                              <w:t xml:space="preserve">温室气体 </w:t>
                            </w:r>
                            <w:r>
                              <w:rPr>
                                <w:rFonts w:hint="eastAsia"/>
                                <w:lang w:val="en-US" w:eastAsia="zh-CN"/>
                              </w:rPr>
                              <w:t>电工装备</w:t>
                            </w:r>
                            <w:r>
                              <w:rPr>
                                <w:rFonts w:hint="eastAsia"/>
                              </w:rPr>
                              <w:t xml:space="preserve">产品碳足迹量化方法与要求 </w:t>
                            </w:r>
                            <w:r>
                              <w:rPr>
                                <w:rFonts w:hint="eastAsia"/>
                                <w:lang w:val="en-US" w:eastAsia="zh-CN"/>
                              </w:rPr>
                              <w:t>变压器</w:t>
                            </w:r>
                          </w:p>
                          <w:p w14:paraId="06E081BD">
                            <w:pPr>
                              <w:pStyle w:val="268"/>
                            </w:pPr>
                          </w:p>
                          <w:p w14:paraId="72DE58B7">
                            <w:pPr>
                              <w:pStyle w:val="271"/>
                              <w:spacing w:before="0"/>
                              <w:rPr>
                                <w:rFonts w:hint="eastAsia" w:ascii="Times New Roman" w:hAnsi="Times New Roman" w:eastAsia="宋体" w:cs="Times New Roman"/>
                                <w:i w:val="0"/>
                                <w:iCs w:val="0"/>
                                <w:caps w:val="0"/>
                                <w:color w:val="000000"/>
                                <w:spacing w:val="0"/>
                                <w:sz w:val="28"/>
                                <w:szCs w:val="28"/>
                                <w:shd w:val="clear" w:color="auto" w:fill="FFFFFF"/>
                                <w:lang w:eastAsia="zh-CN"/>
                              </w:rPr>
                            </w:pPr>
                            <w:r>
                              <w:rPr>
                                <w:rFonts w:hint="default" w:ascii="Times New Roman" w:hAnsi="Times New Roman" w:eastAsia="宋体" w:cs="Times New Roman"/>
                                <w:i w:val="0"/>
                                <w:iCs w:val="0"/>
                                <w:caps w:val="0"/>
                                <w:color w:val="000000"/>
                                <w:spacing w:val="0"/>
                                <w:sz w:val="28"/>
                                <w:szCs w:val="28"/>
                                <w:shd w:val="clear" w:color="auto" w:fill="FFFFFF"/>
                              </w:rPr>
                              <w:t xml:space="preserve">Greenhouse Gases- Quantification method and requirement </w:t>
                            </w:r>
                            <w:r>
                              <w:rPr>
                                <w:rFonts w:hint="eastAsia" w:ascii="Times New Roman" w:hAnsi="Times New Roman" w:eastAsia="宋体" w:cs="Times New Roman"/>
                                <w:i w:val="0"/>
                                <w:iCs w:val="0"/>
                                <w:caps w:val="0"/>
                                <w:color w:val="000000"/>
                                <w:spacing w:val="0"/>
                                <w:sz w:val="28"/>
                                <w:szCs w:val="28"/>
                                <w:shd w:val="clear" w:color="auto" w:fill="FFFFFF"/>
                                <w:lang w:val="en-US" w:eastAsia="zh-CN"/>
                              </w:rPr>
                              <w:t>for</w:t>
                            </w:r>
                            <w:r>
                              <w:rPr>
                                <w:rFonts w:hint="default" w:ascii="Times New Roman" w:hAnsi="Times New Roman" w:eastAsia="宋体" w:cs="Times New Roman"/>
                                <w:i w:val="0"/>
                                <w:iCs w:val="0"/>
                                <w:caps w:val="0"/>
                                <w:color w:val="000000"/>
                                <w:spacing w:val="0"/>
                                <w:sz w:val="28"/>
                                <w:szCs w:val="28"/>
                                <w:shd w:val="clear" w:color="auto" w:fill="FFFFFF"/>
                              </w:rPr>
                              <w:t xml:space="preserve"> product carbon footprint </w:t>
                            </w:r>
                            <w:r>
                              <w:rPr>
                                <w:rFonts w:hint="eastAsia" w:ascii="Times New Roman" w:hAnsi="Times New Roman" w:eastAsia="宋体" w:cs="Times New Roman"/>
                                <w:i w:val="0"/>
                                <w:iCs w:val="0"/>
                                <w:caps w:val="0"/>
                                <w:color w:val="000000"/>
                                <w:spacing w:val="0"/>
                                <w:sz w:val="28"/>
                                <w:szCs w:val="28"/>
                                <w:shd w:val="clear" w:color="auto" w:fill="FFFFFF"/>
                                <w:lang w:val="en-US" w:eastAsia="zh-CN"/>
                              </w:rPr>
                              <w:t xml:space="preserve">of </w:t>
                            </w:r>
                            <w:r>
                              <w:rPr>
                                <w:rFonts w:hint="default" w:ascii="Times New Roman" w:hAnsi="Times New Roman" w:eastAsia="宋体" w:cs="Times New Roman"/>
                                <w:i w:val="0"/>
                                <w:iCs w:val="0"/>
                                <w:caps w:val="0"/>
                                <w:color w:val="000000"/>
                                <w:spacing w:val="0"/>
                                <w:sz w:val="28"/>
                                <w:szCs w:val="28"/>
                                <w:shd w:val="clear" w:color="auto" w:fill="FFFFFF"/>
                              </w:rPr>
                              <w:t>electrical equipment</w:t>
                            </w:r>
                            <w:r>
                              <w:rPr>
                                <w:rFonts w:hint="eastAsia" w:ascii="Times New Roman" w:hAnsi="Times New Roman" w:eastAsia="宋体" w:cs="Times New Roman"/>
                                <w:i w:val="0"/>
                                <w:iCs w:val="0"/>
                                <w:caps w:val="0"/>
                                <w:color w:val="000000"/>
                                <w:spacing w:val="0"/>
                                <w:sz w:val="28"/>
                                <w:szCs w:val="28"/>
                                <w:shd w:val="clear" w:color="auto" w:fill="FFFFFF"/>
                                <w:lang w:val="en-US" w:eastAsia="zh-CN"/>
                              </w:rPr>
                              <w:t>-Transformer</w:t>
                            </w:r>
                          </w:p>
                          <w:p w14:paraId="56FE4D01">
                            <w:pPr>
                              <w:pStyle w:val="272"/>
                            </w:pPr>
                          </w:p>
                          <w:p w14:paraId="74DD082F">
                            <w:pPr>
                              <w:pStyle w:val="272"/>
                            </w:pPr>
                            <w:r>
                              <w:t>（</w:t>
                            </w:r>
                            <w:r>
                              <w:rPr>
                                <w:rFonts w:hint="eastAsia"/>
                                <w:lang w:val="en-US" w:eastAsia="zh-CN"/>
                              </w:rPr>
                              <w:t>征求意见稿</w:t>
                            </w:r>
                            <w:r>
                              <w:t>）</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7" o:spid="_x0000_s1026" o:spt="202" type="#_x0000_t202" style="position:absolute;left:0pt;margin-left:0pt;margin-top:300.35pt;height:340.2pt;width:481.95pt;z-index:251662336;mso-width-relative:page;mso-height-relative:page;" filled="f" stroked="f" coordsize="21600,21600" o:gfxdata="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dugT51wAAAAkBAAAPAAAAAAAAAAEA&#10;IAAAACIAAABkcnMvZG93bnJldi54bWxQSwECFAAUAAAACACHTuJAJ169yUkCAABkBAAADgAAAAAA&#10;AAABACAAAAAmAQAAZHJzL2Uyb0RvYy54bWxQSwUGAAAAAAYABgBZAQAA4QUAAAAA&#10;">
                <v:fill on="f" focussize="0,0"/>
                <v:stroke on="f" weight="0.5pt"/>
                <v:imagedata o:title=""/>
                <o:lock v:ext="edit" aspectratio="f"/>
                <v:textbox inset="0mm,0mm,2.54mm,0mm" style="mso-fit-shape-to-text:t;">
                  <w:txbxContent>
                    <w:p w14:paraId="49ACD7D2">
                      <w:pPr>
                        <w:pStyle w:val="268"/>
                        <w:rPr>
                          <w:rFonts w:hint="eastAsia" w:eastAsia="黑体"/>
                          <w:lang w:eastAsia="zh-CN"/>
                        </w:rPr>
                      </w:pPr>
                      <w:r>
                        <w:rPr>
                          <w:rFonts w:hint="eastAsia"/>
                        </w:rPr>
                        <w:t xml:space="preserve">温室气体 </w:t>
                      </w:r>
                      <w:r>
                        <w:rPr>
                          <w:rFonts w:hint="eastAsia"/>
                          <w:lang w:val="en-US" w:eastAsia="zh-CN"/>
                        </w:rPr>
                        <w:t>电工装备</w:t>
                      </w:r>
                      <w:r>
                        <w:rPr>
                          <w:rFonts w:hint="eastAsia"/>
                        </w:rPr>
                        <w:t xml:space="preserve">产品碳足迹量化方法与要求 </w:t>
                      </w:r>
                      <w:r>
                        <w:rPr>
                          <w:rFonts w:hint="eastAsia"/>
                          <w:lang w:val="en-US" w:eastAsia="zh-CN"/>
                        </w:rPr>
                        <w:t>变压器</w:t>
                      </w:r>
                    </w:p>
                    <w:p w14:paraId="06E081BD">
                      <w:pPr>
                        <w:pStyle w:val="268"/>
                      </w:pPr>
                    </w:p>
                    <w:p w14:paraId="72DE58B7">
                      <w:pPr>
                        <w:pStyle w:val="271"/>
                        <w:spacing w:before="0"/>
                        <w:rPr>
                          <w:rFonts w:hint="eastAsia" w:ascii="Times New Roman" w:hAnsi="Times New Roman" w:eastAsia="宋体" w:cs="Times New Roman"/>
                          <w:i w:val="0"/>
                          <w:iCs w:val="0"/>
                          <w:caps w:val="0"/>
                          <w:color w:val="000000"/>
                          <w:spacing w:val="0"/>
                          <w:sz w:val="28"/>
                          <w:szCs w:val="28"/>
                          <w:shd w:val="clear" w:color="auto" w:fill="FFFFFF"/>
                          <w:lang w:eastAsia="zh-CN"/>
                        </w:rPr>
                      </w:pPr>
                      <w:r>
                        <w:rPr>
                          <w:rFonts w:hint="default" w:ascii="Times New Roman" w:hAnsi="Times New Roman" w:eastAsia="宋体" w:cs="Times New Roman"/>
                          <w:i w:val="0"/>
                          <w:iCs w:val="0"/>
                          <w:caps w:val="0"/>
                          <w:color w:val="000000"/>
                          <w:spacing w:val="0"/>
                          <w:sz w:val="28"/>
                          <w:szCs w:val="28"/>
                          <w:shd w:val="clear" w:color="auto" w:fill="FFFFFF"/>
                        </w:rPr>
                        <w:t xml:space="preserve">Greenhouse Gases- Quantification method and requirement </w:t>
                      </w:r>
                      <w:r>
                        <w:rPr>
                          <w:rFonts w:hint="eastAsia" w:ascii="Times New Roman" w:hAnsi="Times New Roman" w:eastAsia="宋体" w:cs="Times New Roman"/>
                          <w:i w:val="0"/>
                          <w:iCs w:val="0"/>
                          <w:caps w:val="0"/>
                          <w:color w:val="000000"/>
                          <w:spacing w:val="0"/>
                          <w:sz w:val="28"/>
                          <w:szCs w:val="28"/>
                          <w:shd w:val="clear" w:color="auto" w:fill="FFFFFF"/>
                          <w:lang w:val="en-US" w:eastAsia="zh-CN"/>
                        </w:rPr>
                        <w:t>for</w:t>
                      </w:r>
                      <w:r>
                        <w:rPr>
                          <w:rFonts w:hint="default" w:ascii="Times New Roman" w:hAnsi="Times New Roman" w:eastAsia="宋体" w:cs="Times New Roman"/>
                          <w:i w:val="0"/>
                          <w:iCs w:val="0"/>
                          <w:caps w:val="0"/>
                          <w:color w:val="000000"/>
                          <w:spacing w:val="0"/>
                          <w:sz w:val="28"/>
                          <w:szCs w:val="28"/>
                          <w:shd w:val="clear" w:color="auto" w:fill="FFFFFF"/>
                        </w:rPr>
                        <w:t xml:space="preserve"> product carbon footprint </w:t>
                      </w:r>
                      <w:r>
                        <w:rPr>
                          <w:rFonts w:hint="eastAsia" w:ascii="Times New Roman" w:hAnsi="Times New Roman" w:eastAsia="宋体" w:cs="Times New Roman"/>
                          <w:i w:val="0"/>
                          <w:iCs w:val="0"/>
                          <w:caps w:val="0"/>
                          <w:color w:val="000000"/>
                          <w:spacing w:val="0"/>
                          <w:sz w:val="28"/>
                          <w:szCs w:val="28"/>
                          <w:shd w:val="clear" w:color="auto" w:fill="FFFFFF"/>
                          <w:lang w:val="en-US" w:eastAsia="zh-CN"/>
                        </w:rPr>
                        <w:t xml:space="preserve">of </w:t>
                      </w:r>
                      <w:r>
                        <w:rPr>
                          <w:rFonts w:hint="default" w:ascii="Times New Roman" w:hAnsi="Times New Roman" w:eastAsia="宋体" w:cs="Times New Roman"/>
                          <w:i w:val="0"/>
                          <w:iCs w:val="0"/>
                          <w:caps w:val="0"/>
                          <w:color w:val="000000"/>
                          <w:spacing w:val="0"/>
                          <w:sz w:val="28"/>
                          <w:szCs w:val="28"/>
                          <w:shd w:val="clear" w:color="auto" w:fill="FFFFFF"/>
                        </w:rPr>
                        <w:t>electrical equipment</w:t>
                      </w:r>
                      <w:r>
                        <w:rPr>
                          <w:rFonts w:hint="eastAsia" w:ascii="Times New Roman" w:hAnsi="Times New Roman" w:eastAsia="宋体" w:cs="Times New Roman"/>
                          <w:i w:val="0"/>
                          <w:iCs w:val="0"/>
                          <w:caps w:val="0"/>
                          <w:color w:val="000000"/>
                          <w:spacing w:val="0"/>
                          <w:sz w:val="28"/>
                          <w:szCs w:val="28"/>
                          <w:shd w:val="clear" w:color="auto" w:fill="FFFFFF"/>
                          <w:lang w:val="en-US" w:eastAsia="zh-CN"/>
                        </w:rPr>
                        <w:t>-Transformer</w:t>
                      </w:r>
                    </w:p>
                    <w:p w14:paraId="56FE4D01">
                      <w:pPr>
                        <w:pStyle w:val="272"/>
                      </w:pPr>
                    </w:p>
                    <w:p w14:paraId="74DD082F">
                      <w:pPr>
                        <w:pStyle w:val="272"/>
                      </w:pPr>
                      <w:r>
                        <w:t>（</w:t>
                      </w:r>
                      <w:r>
                        <w:rPr>
                          <w:rFonts w:hint="eastAsia"/>
                          <w:lang w:val="en-US" w:eastAsia="zh-CN"/>
                        </w:rPr>
                        <w:t>征求意见稿</w:t>
                      </w:r>
                      <w:r>
                        <w:t>）</w:t>
                      </w:r>
                    </w:p>
                  </w:txbxContent>
                </v:textbox>
              </v:shape>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1620520</wp:posOffset>
                </wp:positionH>
                <wp:positionV relativeFrom="paragraph">
                  <wp:posOffset>1798320</wp:posOffset>
                </wp:positionV>
                <wp:extent cx="4320540" cy="720090"/>
                <wp:effectExtent l="0" t="0" r="0" b="12700"/>
                <wp:wrapNone/>
                <wp:docPr id="16"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wps:spPr>
                      <wps:txbx>
                        <w:txbxContent>
                          <w:p w14:paraId="3CB0724F">
                            <w:pPr>
                              <w:pStyle w:val="265"/>
                              <w:wordWrap w:val="0"/>
                            </w:pPr>
                            <w:r>
                              <w:t>T/CSEE XXXX</w:t>
                            </w:r>
                            <w:r>
                              <w:rPr>
                                <w:color w:val="auto"/>
                              </w:rPr>
                              <w:t>—</w:t>
                            </w:r>
                            <w:r>
                              <w:t>YYYY</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5" o:spid="_x0000_s1026" o:spt="202" type="#_x0000_t202" style="position:absolute;left:0pt;margin-left:127.6pt;margin-top:141.6pt;height:56.7pt;width:340.2pt;z-index:251660288;mso-width-relative:page;mso-height-relative:page;" filled="f" stroked="f" coordsize="21600,21600" o:gfxdata="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tnvP2AAAAAsBAAAPAAAAAAAAAAEA&#10;IAAAACIAAABkcnMvZG93bnJldi54bWxQSwECFAAUAAAACACHTuJAQgERAEgCAABjBAAADgAAAAAA&#10;AAABACAAAAAnAQAAZHJzL2Uyb0RvYy54bWxQSwUGAAAAAAYABgBZAQAA4QUAAAAA&#10;">
                <v:fill on="f" focussize="0,0"/>
                <v:stroke on="f" weight="0.5pt"/>
                <v:imagedata o:title=""/>
                <o:lock v:ext="edit" aspectratio="f"/>
                <v:textbox inset="0mm,0mm,2.54mm,0mm" style="mso-fit-shape-to-text:t;">
                  <w:txbxContent>
                    <w:p w14:paraId="3CB0724F">
                      <w:pPr>
                        <w:pStyle w:val="265"/>
                        <w:wordWrap w:val="0"/>
                      </w:pPr>
                      <w:r>
                        <w:t>T/CSEE XXXX</w:t>
                      </w:r>
                      <w:r>
                        <w:rPr>
                          <w:color w:val="auto"/>
                        </w:rPr>
                        <w:t>—</w:t>
                      </w:r>
                      <w:r>
                        <w:t>YYYY</w:t>
                      </w:r>
                    </w:p>
                  </w:txbxContent>
                </v:textbox>
              </v:shape>
            </w:pict>
          </mc:Fallback>
        </mc:AlternateContent>
      </w:r>
      <w:r>
        <w:rPr>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34290</wp:posOffset>
                </wp:positionV>
                <wp:extent cx="1800225" cy="720090"/>
                <wp:effectExtent l="0" t="0" r="0" b="8890"/>
                <wp:wrapNone/>
                <wp:docPr id="13"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noFill/>
                        <a:ln w="6350">
                          <a:noFill/>
                        </a:ln>
                      </wps:spPr>
                      <wps:txbx>
                        <w:txbxContent>
                          <w:p w14:paraId="6E9A5BF7">
                            <w:pPr>
                              <w:pStyle w:val="334"/>
                            </w:pPr>
                            <w:r>
                              <w:rPr>
                                <w:rFonts w:hint="eastAsia"/>
                              </w:rPr>
                              <w:t>I</w:t>
                            </w:r>
                            <w:r>
                              <w:t>CS 19.020</w:t>
                            </w:r>
                          </w:p>
                          <w:p w14:paraId="32C6F590">
                            <w:pPr>
                              <w:pStyle w:val="334"/>
                            </w:pPr>
                            <w:r>
                              <w:rPr>
                                <w:rFonts w:hint="eastAsia"/>
                              </w:rPr>
                              <w:t>C</w:t>
                            </w:r>
                            <w:r>
                              <w:t>CS K85</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2" o:spid="_x0000_s1026" o:spt="202" type="#_x0000_t202" style="position:absolute;left:0pt;margin-left:0pt;margin-top:2.7pt;height:56.7pt;width:141.75pt;z-index:251659264;mso-width-relative:page;mso-height-relative:page;" filled="f" stroked="f" coordsize="21600,21600" o:gfxdata="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ePuBg1QAAAAYBAAAPAAAAAAAAAAEAIAAA&#10;ACIAAABkcnMvZG93bnJldi54bWxQSwECFAAUAAAACACHTuJAn1ryk0gCAABjBAAADgAAAAAAAAAB&#10;ACAAAAAkAQAAZHJzL2Uyb0RvYy54bWxQSwUGAAAAAAYABgBZAQAA3gUAAAAA&#10;">
                <v:fill on="f" focussize="0,0"/>
                <v:stroke on="f" weight="0.5pt"/>
                <v:imagedata o:title=""/>
                <o:lock v:ext="edit" aspectratio="f"/>
                <v:textbox inset="0mm,0mm,2.54mm,0mm" style="mso-fit-shape-to-text:t;">
                  <w:txbxContent>
                    <w:p w14:paraId="6E9A5BF7">
                      <w:pPr>
                        <w:pStyle w:val="334"/>
                      </w:pPr>
                      <w:r>
                        <w:rPr>
                          <w:rFonts w:hint="eastAsia"/>
                        </w:rPr>
                        <w:t>I</w:t>
                      </w:r>
                      <w:r>
                        <w:t>CS 19.020</w:t>
                      </w:r>
                    </w:p>
                    <w:p w14:paraId="32C6F590">
                      <w:pPr>
                        <w:pStyle w:val="334"/>
                      </w:pPr>
                      <w:r>
                        <w:rPr>
                          <w:rFonts w:hint="eastAsia"/>
                        </w:rPr>
                        <w:t>C</w:t>
                      </w:r>
                      <w:r>
                        <w:t>CS K85</w:t>
                      </w:r>
                    </w:p>
                  </w:txbxContent>
                </v:textbox>
              </v:shape>
            </w:pict>
          </mc:Fallback>
        </mc:AlternateContent>
      </w:r>
    </w:p>
    <w:p w14:paraId="324CDC88">
      <w:pPr>
        <w:pStyle w:val="258"/>
        <w:ind w:firstLine="420"/>
        <w:rPr>
          <w:highlight w:val="none"/>
        </w:rPr>
      </w:pPr>
    </w:p>
    <w:p w14:paraId="49B52C1E">
      <w:pPr>
        <w:pStyle w:val="258"/>
        <w:ind w:firstLine="420"/>
        <w:rPr>
          <w:highlight w:val="none"/>
        </w:rPr>
      </w:pPr>
    </w:p>
    <w:p w14:paraId="466A4527">
      <w:pPr>
        <w:pStyle w:val="258"/>
        <w:ind w:firstLine="420"/>
        <w:rPr>
          <w:highlight w:val="none"/>
        </w:rPr>
      </w:pPr>
    </w:p>
    <w:p w14:paraId="75EBC33B">
      <w:pPr>
        <w:pStyle w:val="258"/>
        <w:ind w:firstLine="420"/>
        <w:rPr>
          <w:highlight w:val="none"/>
        </w:rPr>
      </w:pPr>
    </w:p>
    <w:p w14:paraId="70AD9502">
      <w:pPr>
        <w:pStyle w:val="258"/>
        <w:ind w:firstLine="420"/>
        <w:rPr>
          <w:highlight w:val="none"/>
        </w:rPr>
      </w:pPr>
    </w:p>
    <w:p w14:paraId="4E3A6131">
      <w:pPr>
        <w:pStyle w:val="258"/>
        <w:ind w:firstLine="420"/>
        <w:rPr>
          <w:highlight w:val="none"/>
        </w:rPr>
        <w:sectPr>
          <w:headerReference r:id="rId5" w:type="first"/>
          <w:footerReference r:id="rId8" w:type="first"/>
          <w:headerReference r:id="rId3" w:type="default"/>
          <w:footerReference r:id="rId6" w:type="default"/>
          <w:headerReference r:id="rId4" w:type="even"/>
          <w:footerReference r:id="rId7" w:type="even"/>
          <w:pgSz w:w="11907" w:h="16839"/>
          <w:pgMar w:top="283" w:right="1134" w:bottom="1134" w:left="1417" w:header="283" w:footer="1134" w:gutter="0"/>
          <w:pgNumType w:fmt="upperRoman" w:start="1"/>
          <w:cols w:space="425" w:num="1"/>
          <w:titlePg/>
          <w:docGrid w:type="lines" w:linePitch="312" w:charSpace="0"/>
        </w:sectPr>
      </w:pPr>
    </w:p>
    <w:p w14:paraId="72EDADEB">
      <w:pPr>
        <w:pStyle w:val="286"/>
        <w:rPr>
          <w:rFonts w:hAnsi="宋体"/>
          <w:highlight w:val="none"/>
        </w:rPr>
      </w:pPr>
      <w:bookmarkStart w:id="1" w:name="标准内容"/>
      <w:bookmarkEnd w:id="1"/>
      <w:r>
        <w:rPr>
          <w:rFonts w:hint="eastAsia"/>
          <w:highlight w:val="none"/>
        </w:rPr>
        <w:t>目    次</w:t>
      </w:r>
    </w:p>
    <w:sdt>
      <w:sdtPr>
        <w:rPr>
          <w:rFonts w:ascii="宋体" w:hAnsi="宋体" w:eastAsia="宋体" w:cs="Times New Roman"/>
          <w:kern w:val="2"/>
          <w:sz w:val="21"/>
          <w:szCs w:val="24"/>
          <w:lang w:val="en-US" w:eastAsia="zh-CN" w:bidi="ar-SA"/>
        </w:rPr>
        <w:id w:val="147480253"/>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34C7ACC4">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cs="宋体"/>
              <w:sz w:val="21"/>
              <w:szCs w:val="21"/>
            </w:rPr>
          </w:pPr>
        </w:p>
        <w:p w14:paraId="62F9345D">
          <w:pPr>
            <w:pStyle w:val="62"/>
            <w:tabs>
              <w:tab w:val="right" w:leader="dot" w:pos="9356"/>
            </w:tabs>
            <w:rPr>
              <w:rFonts w:hint="eastAsia" w:hAnsi="宋体" w:cs="宋体"/>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"1-2" \h \u </w:instrText>
          </w:r>
          <w:r>
            <w:rPr>
              <w:rFonts w:hint="eastAsia" w:ascii="宋体" w:hAnsi="宋体" w:eastAsia="宋体" w:cs="宋体"/>
              <w:sz w:val="21"/>
              <w:szCs w:val="21"/>
            </w:rPr>
            <w:fldChar w:fldCharType="separate"/>
          </w:r>
          <w:r>
            <w:rPr>
              <w:rFonts w:hint="eastAsia" w:ascii="宋体" w:hAnsi="宋体" w:eastAsia="宋体" w:cs="宋体"/>
              <w:szCs w:val="21"/>
            </w:rPr>
            <w:fldChar w:fldCharType="begin"/>
          </w:r>
          <w:r>
            <w:rPr>
              <w:rFonts w:hint="eastAsia" w:ascii="宋体" w:hAnsi="宋体" w:eastAsia="宋体" w:cs="宋体"/>
              <w:szCs w:val="21"/>
            </w:rPr>
            <w:instrText xml:space="preserve"> HYPERLINK \l _Toc22474 </w:instrText>
          </w:r>
          <w:r>
            <w:rPr>
              <w:rFonts w:hint="eastAsia" w:ascii="宋体" w:hAnsi="宋体" w:eastAsia="宋体" w:cs="宋体"/>
              <w:szCs w:val="21"/>
            </w:rPr>
            <w:fldChar w:fldCharType="separate"/>
          </w:r>
          <w:r>
            <w:rPr>
              <w:rFonts w:hint="eastAsia" w:ascii="宋体" w:hAnsi="宋体" w:cs="宋体"/>
              <w:highlight w:val="none"/>
            </w:rPr>
            <w:t>前    言</w:t>
          </w:r>
          <w:r>
            <w:rPr>
              <w:rFonts w:hint="eastAsia" w:hAnsi="宋体" w:cs="宋体"/>
            </w:rPr>
            <w:tab/>
          </w:r>
          <w:r>
            <w:rPr>
              <w:rFonts w:hint="eastAsia" w:hAnsi="宋体" w:cs="宋体"/>
            </w:rPr>
            <w:fldChar w:fldCharType="begin"/>
          </w:r>
          <w:r>
            <w:rPr>
              <w:rFonts w:hint="eastAsia" w:hAnsi="宋体" w:cs="宋体"/>
            </w:rPr>
            <w:instrText xml:space="preserve"> PAGEREF _Toc22474 \h </w:instrText>
          </w:r>
          <w:r>
            <w:rPr>
              <w:rFonts w:hint="eastAsia" w:hAnsi="宋体" w:cs="宋体"/>
            </w:rPr>
            <w:fldChar w:fldCharType="separate"/>
          </w:r>
          <w:r>
            <w:rPr>
              <w:rFonts w:hint="eastAsia" w:hAnsi="宋体" w:cs="宋体"/>
            </w:rPr>
            <w:t>III</w:t>
          </w:r>
          <w:r>
            <w:rPr>
              <w:rFonts w:hint="eastAsia" w:hAnsi="宋体" w:cs="宋体"/>
            </w:rPr>
            <w:fldChar w:fldCharType="end"/>
          </w:r>
          <w:r>
            <w:rPr>
              <w:rFonts w:hint="eastAsia" w:ascii="宋体" w:hAnsi="宋体" w:eastAsia="宋体" w:cs="宋体"/>
              <w:szCs w:val="21"/>
            </w:rPr>
            <w:fldChar w:fldCharType="end"/>
          </w:r>
        </w:p>
        <w:p w14:paraId="420EC59E">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_Toc24729 </w:instrText>
          </w:r>
          <w:r>
            <w:rPr>
              <w:rFonts w:hint="eastAsia" w:ascii="宋体" w:hAnsi="宋体" w:eastAsia="宋体" w:cs="宋体"/>
              <w:szCs w:val="21"/>
            </w:rPr>
            <w:fldChar w:fldCharType="separate"/>
          </w:r>
          <w:r>
            <w:rPr>
              <w:rFonts w:hint="eastAsia" w:ascii="宋体" w:hAnsi="宋体" w:eastAsia="宋体" w:cs="宋体"/>
              <w:strike w:val="0"/>
              <w:szCs w:val="21"/>
              <w:highlight w:val="none"/>
              <w:lang w:val="en-US" w:eastAsia="zh-CN"/>
            </w:rPr>
            <w:t xml:space="preserve">1 </w:t>
          </w:r>
          <w:r>
            <w:rPr>
              <w:rFonts w:hint="eastAsia" w:ascii="宋体" w:hAnsi="宋体" w:eastAsia="宋体" w:cs="宋体"/>
              <w:szCs w:val="21"/>
              <w:highlight w:val="none"/>
            </w:rPr>
            <w:t>范围</w:t>
          </w:r>
          <w:r>
            <w:rPr>
              <w:rFonts w:hint="eastAsia" w:hAnsi="宋体" w:cs="宋体"/>
            </w:rPr>
            <w:tab/>
          </w:r>
          <w:r>
            <w:rPr>
              <w:rFonts w:hint="eastAsia" w:hAnsi="宋体" w:cs="宋体"/>
            </w:rPr>
            <w:fldChar w:fldCharType="begin"/>
          </w:r>
          <w:r>
            <w:rPr>
              <w:rFonts w:hint="eastAsia" w:hAnsi="宋体" w:cs="宋体"/>
            </w:rPr>
            <w:instrText xml:space="preserve"> PAGEREF _Toc24729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szCs w:val="21"/>
            </w:rPr>
            <w:fldChar w:fldCharType="end"/>
          </w:r>
        </w:p>
        <w:p w14:paraId="590DB43B">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_Toc2785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 xml:space="preserve">2 </w:t>
          </w:r>
          <w:r>
            <w:rPr>
              <w:rFonts w:hint="eastAsia" w:ascii="宋体" w:hAnsi="宋体" w:eastAsia="宋体" w:cs="宋体"/>
              <w:szCs w:val="21"/>
              <w:highlight w:val="none"/>
            </w:rPr>
            <w:t>规范性引用文件</w:t>
          </w:r>
          <w:r>
            <w:rPr>
              <w:rFonts w:hint="eastAsia" w:hAnsi="宋体" w:cs="宋体"/>
            </w:rPr>
            <w:tab/>
          </w:r>
          <w:r>
            <w:rPr>
              <w:rFonts w:hint="eastAsia" w:hAnsi="宋体" w:cs="宋体"/>
            </w:rPr>
            <w:fldChar w:fldCharType="begin"/>
          </w:r>
          <w:r>
            <w:rPr>
              <w:rFonts w:hint="eastAsia" w:hAnsi="宋体" w:cs="宋体"/>
            </w:rPr>
            <w:instrText xml:space="preserve"> PAGEREF _Toc2785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szCs w:val="21"/>
            </w:rPr>
            <w:fldChar w:fldCharType="end"/>
          </w:r>
        </w:p>
        <w:p w14:paraId="67AE30AE">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_Toc20957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 xml:space="preserve">3 </w:t>
          </w:r>
          <w:r>
            <w:rPr>
              <w:rFonts w:hint="eastAsia" w:ascii="宋体" w:hAnsi="宋体" w:eastAsia="宋体" w:cs="宋体"/>
              <w:szCs w:val="21"/>
              <w:highlight w:val="none"/>
            </w:rPr>
            <w:t>术语和定义</w:t>
          </w:r>
          <w:r>
            <w:rPr>
              <w:rFonts w:hint="eastAsia" w:hAnsi="宋体" w:cs="宋体"/>
            </w:rPr>
            <w:tab/>
          </w:r>
          <w:r>
            <w:rPr>
              <w:rFonts w:hint="eastAsia" w:hAnsi="宋体" w:cs="宋体"/>
            </w:rPr>
            <w:fldChar w:fldCharType="begin"/>
          </w:r>
          <w:r>
            <w:rPr>
              <w:rFonts w:hint="eastAsia" w:hAnsi="宋体" w:cs="宋体"/>
            </w:rPr>
            <w:instrText xml:space="preserve"> PAGEREF _Toc20957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szCs w:val="21"/>
            </w:rPr>
            <w:fldChar w:fldCharType="end"/>
          </w:r>
        </w:p>
        <w:p w14:paraId="434DE236">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_Toc12708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 xml:space="preserve">4 </w:t>
          </w:r>
          <w:r>
            <w:rPr>
              <w:rFonts w:hint="eastAsia" w:ascii="宋体" w:hAnsi="宋体" w:eastAsia="宋体" w:cs="宋体"/>
              <w:szCs w:val="21"/>
              <w:highlight w:val="none"/>
            </w:rPr>
            <w:t>量化目的</w:t>
          </w:r>
          <w:r>
            <w:rPr>
              <w:rFonts w:hint="eastAsia" w:hAnsi="宋体" w:cs="宋体"/>
            </w:rPr>
            <w:tab/>
          </w:r>
          <w:r>
            <w:rPr>
              <w:rFonts w:hint="eastAsia" w:hAnsi="宋体" w:cs="宋体"/>
            </w:rPr>
            <w:fldChar w:fldCharType="begin"/>
          </w:r>
          <w:r>
            <w:rPr>
              <w:rFonts w:hint="eastAsia" w:hAnsi="宋体" w:cs="宋体"/>
            </w:rPr>
            <w:instrText xml:space="preserve"> PAGEREF _Toc12708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ascii="宋体" w:hAnsi="宋体" w:eastAsia="宋体" w:cs="宋体"/>
              <w:szCs w:val="21"/>
            </w:rPr>
            <w:fldChar w:fldCharType="end"/>
          </w:r>
        </w:p>
        <w:p w14:paraId="7295FB21">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_Toc32607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5 量化范围</w:t>
          </w:r>
          <w:r>
            <w:rPr>
              <w:rFonts w:hint="eastAsia" w:hAnsi="宋体" w:cs="宋体"/>
            </w:rPr>
            <w:tab/>
          </w:r>
          <w:r>
            <w:rPr>
              <w:rFonts w:hint="eastAsia" w:hAnsi="宋体" w:cs="宋体"/>
            </w:rPr>
            <w:fldChar w:fldCharType="begin"/>
          </w:r>
          <w:r>
            <w:rPr>
              <w:rFonts w:hint="eastAsia" w:hAnsi="宋体" w:cs="宋体"/>
            </w:rPr>
            <w:instrText xml:space="preserve"> PAGEREF _Toc32607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ascii="宋体" w:hAnsi="宋体" w:eastAsia="宋体" w:cs="宋体"/>
              <w:szCs w:val="21"/>
            </w:rPr>
            <w:fldChar w:fldCharType="end"/>
          </w:r>
        </w:p>
        <w:p w14:paraId="1F0F6B26">
          <w:pPr>
            <w:pStyle w:val="19"/>
            <w:tabs>
              <w:tab w:val="right" w:leader="dot" w:pos="9356"/>
            </w:tabs>
            <w:rPr>
              <w:rFonts w:hint="eastAsia" w:ascii="宋体"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_Toc27081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5.1 产品信息</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_Toc27081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eastAsia="宋体" w:cs="宋体"/>
              <w:szCs w:val="21"/>
            </w:rPr>
            <w:fldChar w:fldCharType="end"/>
          </w:r>
        </w:p>
        <w:p w14:paraId="3F36A278">
          <w:pPr>
            <w:pStyle w:val="19"/>
            <w:tabs>
              <w:tab w:val="right" w:leader="dot" w:pos="9356"/>
            </w:tabs>
            <w:rPr>
              <w:rFonts w:hint="eastAsia" w:ascii="宋体"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_Toc747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5.2 功能单位</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_Toc747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eastAsia="宋体" w:cs="宋体"/>
              <w:szCs w:val="21"/>
            </w:rPr>
            <w:fldChar w:fldCharType="end"/>
          </w:r>
        </w:p>
        <w:p w14:paraId="6E754CD6">
          <w:pPr>
            <w:pStyle w:val="19"/>
            <w:tabs>
              <w:tab w:val="right" w:leader="dot" w:pos="9356"/>
            </w:tabs>
            <w:rPr>
              <w:rFonts w:hint="eastAsia" w:ascii="宋体"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_Toc29911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5.3 基准流</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_Toc29911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eastAsia="宋体" w:cs="宋体"/>
              <w:szCs w:val="21"/>
            </w:rPr>
            <w:fldChar w:fldCharType="end"/>
          </w:r>
        </w:p>
        <w:p w14:paraId="0AA7880D">
          <w:pPr>
            <w:pStyle w:val="19"/>
            <w:tabs>
              <w:tab w:val="right" w:leader="dot" w:pos="9356"/>
            </w:tabs>
            <w:rPr>
              <w:rFonts w:hint="eastAsia" w:ascii="宋体"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_Toc21449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5.4 系统边界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_Toc21449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eastAsia="宋体" w:cs="宋体"/>
              <w:szCs w:val="21"/>
            </w:rPr>
            <w:fldChar w:fldCharType="end"/>
          </w:r>
        </w:p>
        <w:p w14:paraId="58D91FB2">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_Toc4801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 xml:space="preserve">6 </w:t>
          </w:r>
          <w:r>
            <w:rPr>
              <w:rFonts w:hint="eastAsia" w:ascii="宋体" w:hAnsi="宋体" w:eastAsia="宋体" w:cs="宋体"/>
              <w:szCs w:val="21"/>
              <w:highlight w:val="none"/>
            </w:rPr>
            <w:t>取舍准则</w:t>
          </w:r>
          <w:r>
            <w:rPr>
              <w:rFonts w:hint="eastAsia" w:hAnsi="宋体" w:cs="宋体"/>
            </w:rPr>
            <w:tab/>
          </w:r>
          <w:r>
            <w:rPr>
              <w:rFonts w:hint="eastAsia" w:hAnsi="宋体" w:cs="宋体"/>
            </w:rPr>
            <w:fldChar w:fldCharType="begin"/>
          </w:r>
          <w:r>
            <w:rPr>
              <w:rFonts w:hint="eastAsia" w:hAnsi="宋体" w:cs="宋体"/>
            </w:rPr>
            <w:instrText xml:space="preserve"> PAGEREF _Toc4801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ascii="宋体" w:hAnsi="宋体" w:eastAsia="宋体" w:cs="宋体"/>
              <w:szCs w:val="21"/>
            </w:rPr>
            <w:fldChar w:fldCharType="end"/>
          </w:r>
        </w:p>
        <w:p w14:paraId="044F60AA">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_Toc5276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7 清单分析</w:t>
          </w:r>
          <w:r>
            <w:rPr>
              <w:rFonts w:hint="eastAsia" w:hAnsi="宋体" w:cs="宋体"/>
            </w:rPr>
            <w:tab/>
          </w:r>
          <w:r>
            <w:rPr>
              <w:rFonts w:hint="eastAsia" w:hAnsi="宋体" w:cs="宋体"/>
            </w:rPr>
            <w:fldChar w:fldCharType="begin"/>
          </w:r>
          <w:r>
            <w:rPr>
              <w:rFonts w:hint="eastAsia" w:hAnsi="宋体" w:cs="宋体"/>
            </w:rPr>
            <w:instrText xml:space="preserve"> PAGEREF _Toc5276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ascii="宋体" w:hAnsi="宋体" w:eastAsia="宋体" w:cs="宋体"/>
              <w:szCs w:val="21"/>
            </w:rPr>
            <w:fldChar w:fldCharType="end"/>
          </w:r>
        </w:p>
        <w:p w14:paraId="777C96DC">
          <w:pPr>
            <w:pStyle w:val="19"/>
            <w:tabs>
              <w:tab w:val="right" w:leader="dot" w:pos="9356"/>
            </w:tabs>
            <w:rPr>
              <w:rFonts w:hint="eastAsia" w:ascii="宋体"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_Toc7217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7.1 数据收集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_Toc7217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eastAsia="宋体" w:cs="宋体"/>
              <w:szCs w:val="21"/>
            </w:rPr>
            <w:fldChar w:fldCharType="end"/>
          </w:r>
        </w:p>
        <w:p w14:paraId="62B6BC60">
          <w:pPr>
            <w:pStyle w:val="19"/>
            <w:tabs>
              <w:tab w:val="right" w:leader="dot" w:pos="9356"/>
            </w:tabs>
            <w:rPr>
              <w:rFonts w:hint="eastAsia" w:ascii="宋体"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_Toc16819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7.2 数据质量要求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_Toc16819 \h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eastAsia="宋体" w:cs="宋体"/>
              <w:szCs w:val="21"/>
            </w:rPr>
            <w:fldChar w:fldCharType="end"/>
          </w:r>
        </w:p>
        <w:p w14:paraId="2FC7DE6F">
          <w:pPr>
            <w:pStyle w:val="19"/>
            <w:tabs>
              <w:tab w:val="right" w:leader="dot" w:pos="9356"/>
            </w:tabs>
            <w:rPr>
              <w:rFonts w:hint="eastAsia" w:ascii="宋体"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_Toc12635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7.3 数据分配</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_Toc12635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eastAsia="宋体" w:cs="宋体"/>
              <w:szCs w:val="21"/>
            </w:rPr>
            <w:fldChar w:fldCharType="end"/>
          </w:r>
        </w:p>
        <w:p w14:paraId="1B48DDCE">
          <w:pPr>
            <w:pStyle w:val="19"/>
            <w:tabs>
              <w:tab w:val="right" w:leader="dot" w:pos="9356"/>
            </w:tabs>
            <w:rPr>
              <w:rFonts w:hint="eastAsia" w:ascii="宋体"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_Toc17160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7.4 数据确认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_Toc17160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eastAsia="宋体" w:cs="宋体"/>
              <w:szCs w:val="21"/>
            </w:rPr>
            <w:fldChar w:fldCharType="end"/>
          </w:r>
        </w:p>
        <w:p w14:paraId="2F1E5556">
          <w:pPr>
            <w:pStyle w:val="19"/>
            <w:tabs>
              <w:tab w:val="right" w:leader="dot" w:pos="9356"/>
            </w:tabs>
            <w:rPr>
              <w:rFonts w:hint="eastAsia" w:ascii="宋体"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_Toc10372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7.5 数据与单元过程的关联</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_Toc10372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eastAsia="宋体" w:cs="宋体"/>
              <w:szCs w:val="21"/>
            </w:rPr>
            <w:fldChar w:fldCharType="end"/>
          </w:r>
        </w:p>
        <w:p w14:paraId="1DB54080">
          <w:pPr>
            <w:pStyle w:val="19"/>
            <w:tabs>
              <w:tab w:val="right" w:leader="dot" w:pos="9356"/>
            </w:tabs>
            <w:rPr>
              <w:rFonts w:hint="eastAsia" w:ascii="宋体"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_Toc13112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7.6 数据与功能单位的关联</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_Toc13112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eastAsia="宋体" w:cs="宋体"/>
              <w:szCs w:val="21"/>
            </w:rPr>
            <w:fldChar w:fldCharType="end"/>
          </w:r>
        </w:p>
        <w:p w14:paraId="7B92CA94">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_Toc406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8 影响评价</w:t>
          </w:r>
          <w:r>
            <w:rPr>
              <w:rFonts w:hint="eastAsia" w:hAnsi="宋体" w:cs="宋体"/>
            </w:rPr>
            <w:tab/>
          </w:r>
          <w:r>
            <w:rPr>
              <w:rFonts w:hint="eastAsia" w:hAnsi="宋体" w:cs="宋体"/>
            </w:rPr>
            <w:fldChar w:fldCharType="begin"/>
          </w:r>
          <w:r>
            <w:rPr>
              <w:rFonts w:hint="eastAsia" w:hAnsi="宋体" w:cs="宋体"/>
            </w:rPr>
            <w:instrText xml:space="preserve"> PAGEREF _Toc406 \h </w:instrText>
          </w:r>
          <w:r>
            <w:rPr>
              <w:rFonts w:hint="eastAsia" w:hAnsi="宋体" w:cs="宋体"/>
            </w:rPr>
            <w:fldChar w:fldCharType="separate"/>
          </w:r>
          <w:r>
            <w:rPr>
              <w:rFonts w:hint="eastAsia" w:hAnsi="宋体" w:cs="宋体"/>
            </w:rPr>
            <w:t>8</w:t>
          </w:r>
          <w:r>
            <w:rPr>
              <w:rFonts w:hint="eastAsia" w:hAnsi="宋体" w:cs="宋体"/>
            </w:rPr>
            <w:fldChar w:fldCharType="end"/>
          </w:r>
          <w:r>
            <w:rPr>
              <w:rFonts w:hint="eastAsia" w:ascii="宋体" w:hAnsi="宋体" w:eastAsia="宋体" w:cs="宋体"/>
              <w:szCs w:val="21"/>
            </w:rPr>
            <w:fldChar w:fldCharType="end"/>
          </w:r>
        </w:p>
        <w:p w14:paraId="13459AAF">
          <w:pPr>
            <w:pStyle w:val="19"/>
            <w:tabs>
              <w:tab w:val="right" w:leader="dot" w:pos="9356"/>
            </w:tabs>
            <w:rPr>
              <w:rFonts w:hint="eastAsia" w:ascii="宋体"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_Toc11068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8.1 产品碳足迹量化</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_Toc11068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eastAsia="宋体" w:cs="宋体"/>
              <w:szCs w:val="21"/>
            </w:rPr>
            <w:fldChar w:fldCharType="end"/>
          </w:r>
        </w:p>
        <w:p w14:paraId="5CACB073">
          <w:pPr>
            <w:pStyle w:val="19"/>
            <w:tabs>
              <w:tab w:val="right" w:leader="dot" w:pos="9356"/>
            </w:tabs>
            <w:rPr>
              <w:rFonts w:hint="eastAsia" w:ascii="宋体"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_Toc3961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8.2 影响评价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_Toc3961 \h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eastAsia="宋体" w:cs="宋体"/>
              <w:szCs w:val="21"/>
            </w:rPr>
            <w:fldChar w:fldCharType="end"/>
          </w:r>
        </w:p>
        <w:p w14:paraId="021795BC">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_Toc8427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9 结果解释</w:t>
          </w:r>
          <w:r>
            <w:rPr>
              <w:rFonts w:hint="eastAsia" w:hAnsi="宋体" w:cs="宋体"/>
            </w:rPr>
            <w:tab/>
          </w:r>
          <w:r>
            <w:rPr>
              <w:rFonts w:hint="eastAsia" w:hAnsi="宋体" w:cs="宋体"/>
            </w:rPr>
            <w:fldChar w:fldCharType="begin"/>
          </w:r>
          <w:r>
            <w:rPr>
              <w:rFonts w:hint="eastAsia" w:hAnsi="宋体" w:cs="宋体"/>
            </w:rPr>
            <w:instrText xml:space="preserve"> PAGEREF _Toc8427 \h </w:instrText>
          </w:r>
          <w:r>
            <w:rPr>
              <w:rFonts w:hint="eastAsia" w:hAnsi="宋体" w:cs="宋体"/>
            </w:rPr>
            <w:fldChar w:fldCharType="separate"/>
          </w:r>
          <w:r>
            <w:rPr>
              <w:rFonts w:hint="eastAsia" w:hAnsi="宋体" w:cs="宋体"/>
            </w:rPr>
            <w:t>11</w:t>
          </w:r>
          <w:r>
            <w:rPr>
              <w:rFonts w:hint="eastAsia" w:hAnsi="宋体" w:cs="宋体"/>
            </w:rPr>
            <w:fldChar w:fldCharType="end"/>
          </w:r>
          <w:r>
            <w:rPr>
              <w:rFonts w:hint="eastAsia" w:ascii="宋体" w:hAnsi="宋体" w:eastAsia="宋体" w:cs="宋体"/>
              <w:szCs w:val="21"/>
            </w:rPr>
            <w:fldChar w:fldCharType="end"/>
          </w:r>
        </w:p>
        <w:p w14:paraId="1C8E8930">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_Toc19718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10 产品碳足迹报告</w:t>
          </w:r>
          <w:r>
            <w:rPr>
              <w:rFonts w:hint="eastAsia" w:hAnsi="宋体" w:cs="宋体"/>
            </w:rPr>
            <w:tab/>
          </w:r>
          <w:r>
            <w:rPr>
              <w:rFonts w:hint="eastAsia" w:hAnsi="宋体" w:cs="宋体"/>
            </w:rPr>
            <w:fldChar w:fldCharType="begin"/>
          </w:r>
          <w:r>
            <w:rPr>
              <w:rFonts w:hint="eastAsia" w:hAnsi="宋体" w:cs="宋体"/>
            </w:rPr>
            <w:instrText xml:space="preserve"> PAGEREF _Toc19718 \h </w:instrText>
          </w:r>
          <w:r>
            <w:rPr>
              <w:rFonts w:hint="eastAsia" w:hAnsi="宋体" w:cs="宋体"/>
            </w:rPr>
            <w:fldChar w:fldCharType="separate"/>
          </w:r>
          <w:r>
            <w:rPr>
              <w:rFonts w:hint="eastAsia" w:hAnsi="宋体" w:cs="宋体"/>
            </w:rPr>
            <w:t>11</w:t>
          </w:r>
          <w:r>
            <w:rPr>
              <w:rFonts w:hint="eastAsia" w:hAnsi="宋体" w:cs="宋体"/>
            </w:rPr>
            <w:fldChar w:fldCharType="end"/>
          </w:r>
          <w:r>
            <w:rPr>
              <w:rFonts w:hint="eastAsia" w:ascii="宋体" w:hAnsi="宋体" w:eastAsia="宋体" w:cs="宋体"/>
              <w:szCs w:val="21"/>
            </w:rPr>
            <w:fldChar w:fldCharType="end"/>
          </w:r>
        </w:p>
        <w:p w14:paraId="25420E5D">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_Toc5776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1</w:t>
          </w:r>
          <w:r>
            <w:rPr>
              <w:rFonts w:hint="eastAsia" w:hAnsi="宋体" w:eastAsia="宋体" w:cs="宋体"/>
              <w:szCs w:val="21"/>
              <w:highlight w:val="none"/>
              <w:lang w:val="en-US" w:eastAsia="zh-CN"/>
            </w:rPr>
            <w:t>1</w:t>
          </w:r>
          <w:r>
            <w:rPr>
              <w:rFonts w:hint="eastAsia" w:ascii="宋体" w:hAnsi="宋体" w:eastAsia="宋体" w:cs="宋体"/>
              <w:szCs w:val="21"/>
              <w:highlight w:val="none"/>
              <w:lang w:val="en-US" w:eastAsia="zh-CN"/>
            </w:rPr>
            <w:t xml:space="preserve"> 产品碳足迹</w:t>
          </w:r>
          <w:r>
            <w:rPr>
              <w:rFonts w:hint="eastAsia" w:hAnsi="宋体" w:eastAsia="宋体" w:cs="宋体"/>
              <w:szCs w:val="21"/>
              <w:highlight w:val="none"/>
              <w:lang w:val="en-US" w:eastAsia="zh-CN"/>
            </w:rPr>
            <w:t>声明</w:t>
          </w:r>
          <w:r>
            <w:rPr>
              <w:rFonts w:hint="eastAsia" w:hAnsi="宋体" w:cs="宋体"/>
            </w:rPr>
            <w:tab/>
          </w:r>
          <w:r>
            <w:rPr>
              <w:rFonts w:hint="eastAsia" w:hAnsi="宋体" w:cs="宋体"/>
            </w:rPr>
            <w:fldChar w:fldCharType="begin"/>
          </w:r>
          <w:r>
            <w:rPr>
              <w:rFonts w:hint="eastAsia" w:hAnsi="宋体" w:cs="宋体"/>
            </w:rPr>
            <w:instrText xml:space="preserve"> PAGEREF _Toc5776 \h </w:instrText>
          </w:r>
          <w:r>
            <w:rPr>
              <w:rFonts w:hint="eastAsia" w:hAnsi="宋体" w:cs="宋体"/>
            </w:rPr>
            <w:fldChar w:fldCharType="separate"/>
          </w:r>
          <w:r>
            <w:rPr>
              <w:rFonts w:hint="eastAsia" w:hAnsi="宋体" w:cs="宋体"/>
            </w:rPr>
            <w:t>11</w:t>
          </w:r>
          <w:r>
            <w:rPr>
              <w:rFonts w:hint="eastAsia" w:hAnsi="宋体" w:cs="宋体"/>
            </w:rPr>
            <w:fldChar w:fldCharType="end"/>
          </w:r>
          <w:r>
            <w:rPr>
              <w:rFonts w:hint="eastAsia" w:ascii="宋体" w:hAnsi="宋体" w:eastAsia="宋体" w:cs="宋体"/>
              <w:szCs w:val="21"/>
            </w:rPr>
            <w:fldChar w:fldCharType="end"/>
          </w:r>
        </w:p>
        <w:p w14:paraId="3D5B07FF">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_Toc17108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附录</w:t>
          </w:r>
          <w:r>
            <w:rPr>
              <w:rFonts w:hint="eastAsia" w:hAnsi="宋体" w:eastAsia="宋体" w:cs="宋体"/>
              <w:szCs w:val="21"/>
              <w:highlight w:val="none"/>
              <w:lang w:val="en-US" w:eastAsia="zh-CN"/>
            </w:rPr>
            <w:t>A</w:t>
          </w:r>
          <w:r>
            <w:rPr>
              <w:rFonts w:hint="eastAsia" w:ascii="宋体" w:hAnsi="宋体" w:eastAsia="宋体" w:cs="宋体"/>
            </w:rPr>
            <w:t xml:space="preserve"> </w:t>
          </w:r>
          <w:r>
            <w:rPr>
              <w:rFonts w:hint="eastAsia" w:ascii="宋体" w:hAnsi="宋体" w:eastAsia="宋体" w:cs="宋体"/>
              <w:szCs w:val="21"/>
              <w:highlight w:val="none"/>
              <w:lang w:val="en-US" w:eastAsia="zh-CN"/>
            </w:rPr>
            <w:t>（</w:t>
          </w:r>
          <w:r>
            <w:rPr>
              <w:rFonts w:hint="eastAsia" w:hAnsi="宋体" w:eastAsia="宋体" w:cs="宋体"/>
              <w:szCs w:val="21"/>
              <w:highlight w:val="none"/>
              <w:lang w:val="en-US" w:eastAsia="zh-CN"/>
            </w:rPr>
            <w:t>规范</w:t>
          </w:r>
          <w:r>
            <w:rPr>
              <w:rFonts w:hint="eastAsia" w:ascii="宋体" w:hAnsi="宋体" w:eastAsia="宋体" w:cs="宋体"/>
              <w:szCs w:val="21"/>
              <w:highlight w:val="none"/>
              <w:lang w:val="en-US" w:eastAsia="zh-CN"/>
            </w:rPr>
            <w:t>性）</w:t>
          </w:r>
          <w:r>
            <w:rPr>
              <w:rFonts w:hint="eastAsia" w:ascii="宋体" w:hAnsi="宋体" w:eastAsia="宋体" w:cs="宋体"/>
            </w:rPr>
            <w:t xml:space="preserve"> </w:t>
          </w:r>
          <w:r>
            <w:rPr>
              <w:rFonts w:hint="eastAsia" w:hAnsi="宋体" w:eastAsia="宋体" w:cs="宋体"/>
              <w:szCs w:val="21"/>
              <w:highlight w:val="none"/>
              <w:lang w:val="en-US" w:eastAsia="zh-CN"/>
            </w:rPr>
            <w:t>数据质量评估</w:t>
          </w:r>
          <w:r>
            <w:rPr>
              <w:rFonts w:hint="eastAsia" w:hAnsi="宋体" w:cs="宋体"/>
            </w:rPr>
            <w:tab/>
          </w:r>
          <w:r>
            <w:rPr>
              <w:rFonts w:hint="eastAsia" w:hAnsi="宋体" w:cs="宋体"/>
            </w:rPr>
            <w:fldChar w:fldCharType="begin"/>
          </w:r>
          <w:r>
            <w:rPr>
              <w:rFonts w:hint="eastAsia" w:hAnsi="宋体" w:cs="宋体"/>
            </w:rPr>
            <w:instrText xml:space="preserve"> PAGEREF _Toc17108 \h </w:instrText>
          </w:r>
          <w:r>
            <w:rPr>
              <w:rFonts w:hint="eastAsia" w:hAnsi="宋体" w:cs="宋体"/>
            </w:rPr>
            <w:fldChar w:fldCharType="separate"/>
          </w:r>
          <w:r>
            <w:rPr>
              <w:rFonts w:hint="eastAsia" w:hAnsi="宋体" w:cs="宋体"/>
            </w:rPr>
            <w:t>12</w:t>
          </w:r>
          <w:r>
            <w:rPr>
              <w:rFonts w:hint="eastAsia" w:hAnsi="宋体" w:cs="宋体"/>
            </w:rPr>
            <w:fldChar w:fldCharType="end"/>
          </w:r>
          <w:r>
            <w:rPr>
              <w:rFonts w:hint="eastAsia" w:ascii="宋体" w:hAnsi="宋体" w:eastAsia="宋体" w:cs="宋体"/>
              <w:szCs w:val="21"/>
            </w:rPr>
            <w:fldChar w:fldCharType="end"/>
          </w:r>
        </w:p>
        <w:p w14:paraId="5987FBB7">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_Toc3088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附录</w:t>
          </w:r>
          <w:r>
            <w:rPr>
              <w:rFonts w:hint="eastAsia" w:hAnsi="宋体" w:eastAsia="宋体" w:cs="宋体"/>
              <w:szCs w:val="21"/>
              <w:highlight w:val="none"/>
              <w:lang w:val="en-US" w:eastAsia="zh-CN"/>
            </w:rPr>
            <w:t>B</w:t>
          </w:r>
          <w:r>
            <w:rPr>
              <w:rFonts w:hint="eastAsia" w:ascii="宋体" w:hAnsi="宋体" w:eastAsia="宋体" w:cs="宋体"/>
            </w:rPr>
            <w:t xml:space="preserve"> </w:t>
          </w:r>
          <w:r>
            <w:rPr>
              <w:rFonts w:hint="eastAsia" w:ascii="宋体" w:hAnsi="宋体" w:eastAsia="宋体" w:cs="宋体"/>
              <w:szCs w:val="21"/>
              <w:highlight w:val="none"/>
              <w:lang w:val="en-US" w:eastAsia="zh-CN"/>
            </w:rPr>
            <w:t>（资料性）</w:t>
          </w:r>
          <w:r>
            <w:rPr>
              <w:rFonts w:hint="eastAsia" w:ascii="宋体" w:hAnsi="宋体" w:eastAsia="宋体" w:cs="宋体"/>
            </w:rPr>
            <w:t xml:space="preserve"> </w:t>
          </w:r>
          <w:r>
            <w:rPr>
              <w:rFonts w:hint="eastAsia" w:hAnsi="宋体" w:eastAsia="宋体" w:cs="宋体"/>
              <w:szCs w:val="21"/>
              <w:highlight w:val="none"/>
              <w:lang w:val="en-US" w:eastAsia="zh-CN"/>
            </w:rPr>
            <w:t>变压器</w:t>
          </w:r>
          <w:r>
            <w:rPr>
              <w:rFonts w:hint="eastAsia" w:ascii="宋体" w:hAnsi="宋体" w:eastAsia="宋体" w:cs="宋体"/>
              <w:szCs w:val="21"/>
              <w:highlight w:val="none"/>
              <w:lang w:val="en-US" w:eastAsia="zh-CN"/>
            </w:rPr>
            <w:t>产品碳足迹量化数据收集表</w:t>
          </w:r>
          <w:r>
            <w:rPr>
              <w:rFonts w:hint="eastAsia" w:hAnsi="宋体" w:cs="宋体"/>
            </w:rPr>
            <w:tab/>
          </w:r>
          <w:r>
            <w:rPr>
              <w:rFonts w:hint="eastAsia" w:hAnsi="宋体" w:cs="宋体"/>
            </w:rPr>
            <w:fldChar w:fldCharType="begin"/>
          </w:r>
          <w:r>
            <w:rPr>
              <w:rFonts w:hint="eastAsia" w:hAnsi="宋体" w:cs="宋体"/>
            </w:rPr>
            <w:instrText xml:space="preserve"> PAGEREF _Toc3088 \h </w:instrText>
          </w:r>
          <w:r>
            <w:rPr>
              <w:rFonts w:hint="eastAsia" w:hAnsi="宋体" w:cs="宋体"/>
            </w:rPr>
            <w:fldChar w:fldCharType="separate"/>
          </w:r>
          <w:r>
            <w:rPr>
              <w:rFonts w:hint="eastAsia" w:hAnsi="宋体" w:cs="宋体"/>
            </w:rPr>
            <w:t>15</w:t>
          </w:r>
          <w:r>
            <w:rPr>
              <w:rFonts w:hint="eastAsia" w:hAnsi="宋体" w:cs="宋体"/>
            </w:rPr>
            <w:fldChar w:fldCharType="end"/>
          </w:r>
          <w:r>
            <w:rPr>
              <w:rFonts w:hint="eastAsia" w:ascii="宋体" w:hAnsi="宋体" w:eastAsia="宋体" w:cs="宋体"/>
              <w:szCs w:val="21"/>
            </w:rPr>
            <w:fldChar w:fldCharType="end"/>
          </w:r>
        </w:p>
        <w:p w14:paraId="556ED5F6">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_Toc19505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附录</w:t>
          </w:r>
          <w:r>
            <w:rPr>
              <w:rFonts w:hint="eastAsia" w:hAnsi="宋体" w:eastAsia="宋体" w:cs="宋体"/>
              <w:szCs w:val="21"/>
              <w:highlight w:val="none"/>
              <w:lang w:val="en-US" w:eastAsia="zh-CN"/>
            </w:rPr>
            <w:t>C</w:t>
          </w:r>
          <w:r>
            <w:rPr>
              <w:rFonts w:hint="eastAsia" w:ascii="宋体" w:hAnsi="宋体" w:eastAsia="宋体" w:cs="宋体"/>
            </w:rPr>
            <w:t xml:space="preserve"> </w:t>
          </w:r>
          <w:r>
            <w:rPr>
              <w:rFonts w:hint="eastAsia" w:ascii="宋体" w:hAnsi="宋体" w:eastAsia="宋体" w:cs="宋体"/>
              <w:szCs w:val="21"/>
              <w:highlight w:val="none"/>
              <w:lang w:val="en-US" w:eastAsia="zh-CN"/>
            </w:rPr>
            <w:t>（资料性）</w:t>
          </w:r>
          <w:r>
            <w:rPr>
              <w:rFonts w:hint="eastAsia" w:ascii="宋体" w:hAnsi="宋体" w:eastAsia="宋体" w:cs="宋体"/>
            </w:rPr>
            <w:t xml:space="preserve"> </w:t>
          </w:r>
          <w:r>
            <w:rPr>
              <w:rFonts w:hint="eastAsia" w:ascii="宋体" w:hAnsi="宋体" w:eastAsia="宋体" w:cs="宋体"/>
              <w:szCs w:val="21"/>
              <w:highlight w:val="none"/>
              <w:lang w:val="en-US" w:eastAsia="zh-CN"/>
            </w:rPr>
            <w:t>GWP参考值</w:t>
          </w:r>
          <w:r>
            <w:rPr>
              <w:rFonts w:hint="eastAsia" w:hAnsi="宋体" w:cs="宋体"/>
            </w:rPr>
            <w:tab/>
          </w:r>
          <w:r>
            <w:rPr>
              <w:rFonts w:hint="eastAsia" w:hAnsi="宋体" w:cs="宋体"/>
            </w:rPr>
            <w:fldChar w:fldCharType="begin"/>
          </w:r>
          <w:r>
            <w:rPr>
              <w:rFonts w:hint="eastAsia" w:hAnsi="宋体" w:cs="宋体"/>
            </w:rPr>
            <w:instrText xml:space="preserve"> PAGEREF _Toc19505 \h </w:instrText>
          </w:r>
          <w:r>
            <w:rPr>
              <w:rFonts w:hint="eastAsia" w:hAnsi="宋体" w:cs="宋体"/>
            </w:rPr>
            <w:fldChar w:fldCharType="separate"/>
          </w:r>
          <w:r>
            <w:rPr>
              <w:rFonts w:hint="eastAsia" w:hAnsi="宋体" w:cs="宋体"/>
            </w:rPr>
            <w:t>17</w:t>
          </w:r>
          <w:r>
            <w:rPr>
              <w:rFonts w:hint="eastAsia" w:hAnsi="宋体" w:cs="宋体"/>
            </w:rPr>
            <w:fldChar w:fldCharType="end"/>
          </w:r>
          <w:r>
            <w:rPr>
              <w:rFonts w:hint="eastAsia" w:ascii="宋体" w:hAnsi="宋体" w:eastAsia="宋体" w:cs="宋体"/>
              <w:szCs w:val="21"/>
            </w:rPr>
            <w:fldChar w:fldCharType="end"/>
          </w:r>
        </w:p>
        <w:p w14:paraId="786AC02B">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_Toc26239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附录</w:t>
          </w:r>
          <w:r>
            <w:rPr>
              <w:rFonts w:hint="eastAsia" w:hAnsi="宋体" w:eastAsia="宋体" w:cs="宋体"/>
              <w:szCs w:val="21"/>
              <w:highlight w:val="none"/>
              <w:lang w:val="en-US" w:eastAsia="zh-CN"/>
            </w:rPr>
            <w:t>D</w:t>
          </w:r>
          <w:r>
            <w:rPr>
              <w:rFonts w:hint="eastAsia" w:ascii="宋体" w:hAnsi="宋体" w:eastAsia="宋体" w:cs="宋体"/>
            </w:rPr>
            <w:t xml:space="preserve"> </w:t>
          </w:r>
          <w:r>
            <w:rPr>
              <w:rFonts w:hint="eastAsia" w:ascii="宋体" w:hAnsi="宋体" w:eastAsia="宋体" w:cs="宋体"/>
              <w:szCs w:val="21"/>
              <w:highlight w:val="none"/>
              <w:lang w:val="en-US" w:eastAsia="zh-CN"/>
            </w:rPr>
            <w:t>（资料性）</w:t>
          </w:r>
          <w:r>
            <w:rPr>
              <w:rFonts w:hint="eastAsia" w:ascii="宋体" w:hAnsi="宋体" w:eastAsia="宋体" w:cs="宋体"/>
            </w:rPr>
            <w:t xml:space="preserve"> </w:t>
          </w:r>
          <w:r>
            <w:rPr>
              <w:rFonts w:hint="eastAsia" w:ascii="宋体" w:hAnsi="宋体" w:eastAsia="宋体" w:cs="宋体"/>
              <w:szCs w:val="21"/>
              <w:highlight w:val="none"/>
              <w:lang w:val="en-US" w:eastAsia="zh-CN"/>
            </w:rPr>
            <w:t>产品碳足迹报告（模板）</w:t>
          </w:r>
          <w:r>
            <w:rPr>
              <w:rFonts w:hint="eastAsia" w:hAnsi="宋体" w:cs="宋体"/>
            </w:rPr>
            <w:tab/>
          </w:r>
          <w:r>
            <w:rPr>
              <w:rFonts w:hint="eastAsia" w:hAnsi="宋体" w:cs="宋体"/>
            </w:rPr>
            <w:fldChar w:fldCharType="begin"/>
          </w:r>
          <w:r>
            <w:rPr>
              <w:rFonts w:hint="eastAsia" w:hAnsi="宋体" w:cs="宋体"/>
            </w:rPr>
            <w:instrText xml:space="preserve"> PAGEREF _Toc26239 \h </w:instrText>
          </w:r>
          <w:r>
            <w:rPr>
              <w:rFonts w:hint="eastAsia" w:hAnsi="宋体" w:cs="宋体"/>
            </w:rPr>
            <w:fldChar w:fldCharType="separate"/>
          </w:r>
          <w:r>
            <w:rPr>
              <w:rFonts w:hint="eastAsia" w:hAnsi="宋体" w:cs="宋体"/>
            </w:rPr>
            <w:t>18</w:t>
          </w:r>
          <w:r>
            <w:rPr>
              <w:rFonts w:hint="eastAsia" w:hAnsi="宋体" w:cs="宋体"/>
            </w:rPr>
            <w:fldChar w:fldCharType="end"/>
          </w:r>
          <w:r>
            <w:rPr>
              <w:rFonts w:hint="eastAsia" w:ascii="宋体" w:hAnsi="宋体" w:eastAsia="宋体" w:cs="宋体"/>
              <w:szCs w:val="21"/>
            </w:rPr>
            <w:fldChar w:fldCharType="end"/>
          </w:r>
        </w:p>
        <w:p w14:paraId="77871642">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_Toc15609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参考文献</w:t>
          </w:r>
          <w:r>
            <w:rPr>
              <w:rFonts w:hint="eastAsia" w:hAnsi="宋体" w:cs="宋体"/>
            </w:rPr>
            <w:tab/>
          </w:r>
          <w:r>
            <w:rPr>
              <w:rFonts w:hint="eastAsia" w:hAnsi="宋体" w:cs="宋体"/>
            </w:rPr>
            <w:fldChar w:fldCharType="begin"/>
          </w:r>
          <w:r>
            <w:rPr>
              <w:rFonts w:hint="eastAsia" w:hAnsi="宋体" w:cs="宋体"/>
            </w:rPr>
            <w:instrText xml:space="preserve"> PAGEREF _Toc15609 \h </w:instrText>
          </w:r>
          <w:r>
            <w:rPr>
              <w:rFonts w:hint="eastAsia" w:hAnsi="宋体" w:cs="宋体"/>
            </w:rPr>
            <w:fldChar w:fldCharType="separate"/>
          </w:r>
          <w:r>
            <w:rPr>
              <w:rFonts w:hint="eastAsia" w:hAnsi="宋体" w:cs="宋体"/>
            </w:rPr>
            <w:t>22</w:t>
          </w:r>
          <w:r>
            <w:rPr>
              <w:rFonts w:hint="eastAsia" w:hAnsi="宋体" w:cs="宋体"/>
            </w:rPr>
            <w:fldChar w:fldCharType="end"/>
          </w:r>
          <w:r>
            <w:rPr>
              <w:rFonts w:hint="eastAsia" w:ascii="宋体" w:hAnsi="宋体" w:eastAsia="宋体" w:cs="宋体"/>
              <w:szCs w:val="21"/>
            </w:rPr>
            <w:fldChar w:fldCharType="end"/>
          </w:r>
        </w:p>
        <w:p w14:paraId="24105672">
          <w:pPr>
            <w:keepNext w:val="0"/>
            <w:keepLines w:val="0"/>
            <w:pageBreakBefore w:val="0"/>
            <w:kinsoku/>
            <w:wordWrap/>
            <w:overflowPunct/>
            <w:topLinePunct w:val="0"/>
            <w:autoSpaceDE/>
            <w:autoSpaceDN/>
            <w:bidi w:val="0"/>
            <w:adjustRightInd/>
            <w:snapToGrid/>
            <w:textAlignment w:val="auto"/>
          </w:pPr>
          <w:r>
            <w:rPr>
              <w:rFonts w:hint="eastAsia" w:ascii="宋体" w:hAnsi="宋体" w:eastAsia="宋体" w:cs="宋体"/>
              <w:sz w:val="21"/>
              <w:szCs w:val="21"/>
            </w:rPr>
            <w:fldChar w:fldCharType="end"/>
          </w:r>
        </w:p>
      </w:sdtContent>
    </w:sdt>
    <w:p w14:paraId="65820F52"/>
    <w:p w14:paraId="414CF2A9">
      <w:pPr>
        <w:widowControl/>
        <w:jc w:val="left"/>
        <w:rPr>
          <w:rFonts w:eastAsia="黑体"/>
          <w:kern w:val="0"/>
          <w:sz w:val="32"/>
          <w:szCs w:val="20"/>
          <w:highlight w:val="none"/>
        </w:rPr>
      </w:pPr>
      <w:r>
        <w:rPr>
          <w:highlight w:val="none"/>
        </w:rPr>
        <w:br w:type="page"/>
      </w:r>
    </w:p>
    <w:p w14:paraId="30AF6B32">
      <w:pPr>
        <w:pStyle w:val="256"/>
        <w:rPr>
          <w:rFonts w:ascii="Times New Roman"/>
          <w:highlight w:val="none"/>
        </w:rPr>
      </w:pPr>
      <w:bookmarkStart w:id="2" w:name="_Toc22474"/>
      <w:bookmarkStart w:id="3" w:name="_Toc20891"/>
      <w:bookmarkStart w:id="4" w:name="_Toc4228"/>
      <w:bookmarkStart w:id="5" w:name="_Toc21287"/>
      <w:r>
        <w:rPr>
          <w:rFonts w:ascii="Times New Roman"/>
          <w:highlight w:val="none"/>
        </w:rPr>
        <w:t>前    言</w:t>
      </w:r>
      <w:bookmarkEnd w:id="2"/>
      <w:bookmarkEnd w:id="3"/>
      <w:bookmarkEnd w:id="4"/>
      <w:bookmarkEnd w:id="5"/>
    </w:p>
    <w:p w14:paraId="54B02133">
      <w:pPr>
        <w:ind w:firstLine="420" w:firstLineChars="200"/>
        <w:rPr>
          <w:rFonts w:ascii="宋体" w:hAnsi="宋体"/>
          <w:b/>
          <w:color w:val="auto"/>
          <w:highlight w:val="none"/>
        </w:rPr>
      </w:pPr>
      <w:r>
        <w:rPr>
          <w:color w:val="auto"/>
          <w:highlight w:val="none"/>
        </w:rPr>
        <w:t>本文件</w:t>
      </w:r>
      <w:r>
        <w:rPr>
          <w:rFonts w:hint="eastAsia" w:ascii="宋体" w:hAnsi="宋体"/>
          <w:color w:val="auto"/>
          <w:highlight w:val="none"/>
        </w:rPr>
        <w:t>按照</w:t>
      </w:r>
      <w:r>
        <w:rPr>
          <w:rFonts w:ascii="宋体" w:hAnsi="宋体"/>
          <w:color w:val="auto"/>
          <w:highlight w:val="none"/>
        </w:rPr>
        <w:t>《中国电机工程学会标准化管理办法》、《中国电机工程学会标准化管理办法实施细则》</w:t>
      </w:r>
      <w:r>
        <w:rPr>
          <w:rFonts w:hint="eastAsia" w:ascii="宋体" w:hAnsi="宋体"/>
          <w:color w:val="auto"/>
          <w:highlight w:val="none"/>
        </w:rPr>
        <w:t>的要求，依据</w:t>
      </w:r>
      <w:r>
        <w:rPr>
          <w:color w:val="auto"/>
          <w:highlight w:val="none"/>
        </w:rPr>
        <w:t>GB/T 1.1—2020《标准化工作导则 第1部分：标准化文件的结构和起草规则》的规定起草。</w:t>
      </w:r>
    </w:p>
    <w:p w14:paraId="03F678AC">
      <w:pPr>
        <w:ind w:firstLine="420" w:firstLineChars="200"/>
        <w:rPr>
          <w:color w:val="auto"/>
          <w:highlight w:val="none"/>
        </w:rPr>
      </w:pPr>
      <w:r>
        <w:rPr>
          <w:color w:val="auto"/>
          <w:highlight w:val="none"/>
        </w:rPr>
        <w:t>请注意本文件的某些内容可能涉及专利。本文件的发布机构不承担识别专利的责任。</w:t>
      </w:r>
    </w:p>
    <w:p w14:paraId="04847801">
      <w:pPr>
        <w:autoSpaceDE w:val="0"/>
        <w:autoSpaceDN w:val="0"/>
        <w:adjustRightInd w:val="0"/>
        <w:ind w:firstLine="420" w:firstLineChars="200"/>
        <w:jc w:val="left"/>
        <w:rPr>
          <w:rFonts w:ascii="宋体" w:cs="宋体"/>
          <w:color w:val="auto"/>
          <w:kern w:val="0"/>
          <w:szCs w:val="21"/>
          <w:highlight w:val="none"/>
        </w:rPr>
      </w:pPr>
      <w:r>
        <w:rPr>
          <w:color w:val="auto"/>
          <w:highlight w:val="none"/>
        </w:rPr>
        <w:t>本文件</w:t>
      </w:r>
      <w:r>
        <w:rPr>
          <w:rFonts w:hint="eastAsia" w:ascii="宋体" w:cs="宋体"/>
          <w:color w:val="auto"/>
          <w:kern w:val="0"/>
          <w:szCs w:val="21"/>
          <w:highlight w:val="none"/>
        </w:rPr>
        <w:t>由中国电机工程学会提出。</w:t>
      </w:r>
    </w:p>
    <w:p w14:paraId="21801B7A">
      <w:pPr>
        <w:ind w:firstLine="420" w:firstLineChars="200"/>
        <w:rPr>
          <w:color w:val="auto"/>
          <w:highlight w:val="none"/>
        </w:rPr>
      </w:pPr>
      <w:r>
        <w:rPr>
          <w:rFonts w:hint="eastAsia" w:ascii="宋体" w:hAnsi="宋体"/>
          <w:color w:val="auto"/>
          <w:highlight w:val="none"/>
        </w:rPr>
        <w:t>本文件由中国电机工程学会</w:t>
      </w:r>
      <w:r>
        <w:rPr>
          <w:rFonts w:hint="default" w:ascii="Times New Roman" w:hAnsi="Times New Roman" w:cs="Times New Roman"/>
          <w:color w:val="auto"/>
          <w:kern w:val="0"/>
          <w:szCs w:val="21"/>
          <w:highlight w:val="none"/>
        </w:rPr>
        <w:t>电力</w:t>
      </w:r>
      <w:r>
        <w:rPr>
          <w:rFonts w:hint="eastAsia" w:ascii="Times New Roman" w:hAnsi="Times New Roman" w:cs="Times New Roman"/>
          <w:color w:val="auto"/>
          <w:kern w:val="0"/>
          <w:szCs w:val="21"/>
          <w:highlight w:val="none"/>
          <w:lang w:val="en-US" w:eastAsia="zh-CN"/>
        </w:rPr>
        <w:t>碳减排</w:t>
      </w:r>
      <w:r>
        <w:rPr>
          <w:rFonts w:hint="eastAsia" w:ascii="宋体" w:hAnsi="宋体"/>
          <w:color w:val="auto"/>
          <w:highlight w:val="none"/>
        </w:rPr>
        <w:t>标准专业委员会技术归口和解释。</w:t>
      </w:r>
    </w:p>
    <w:p w14:paraId="4AAAEB9D">
      <w:pPr>
        <w:ind w:firstLine="420" w:firstLineChars="200"/>
        <w:rPr>
          <w:color w:val="auto"/>
          <w:highlight w:val="none"/>
        </w:rPr>
      </w:pPr>
      <w:r>
        <w:rPr>
          <w:color w:val="auto"/>
          <w:highlight w:val="none"/>
        </w:rPr>
        <w:t>本文件起草单位：</w:t>
      </w:r>
      <w:r>
        <w:rPr>
          <w:rFonts w:hint="eastAsia"/>
          <w:color w:val="auto"/>
          <w:highlight w:val="none"/>
        </w:rPr>
        <w:t>低碳城市研究院、东南大学、中国华能集团能源研究院</w:t>
      </w:r>
      <w:r>
        <w:rPr>
          <w:rFonts w:hint="eastAsia"/>
          <w:color w:val="auto"/>
          <w:highlight w:val="none"/>
          <w:lang w:eastAsia="zh-CN"/>
        </w:rPr>
        <w:t>、国网能源研究院有限公司、中国电力科学研究院有限公司</w:t>
      </w:r>
      <w:r>
        <w:rPr>
          <w:color w:val="auto"/>
          <w:highlight w:val="none"/>
        </w:rPr>
        <w:t>。</w:t>
      </w:r>
    </w:p>
    <w:p w14:paraId="1A1DCD24">
      <w:pPr>
        <w:ind w:firstLine="420" w:firstLineChars="200"/>
        <w:rPr>
          <w:color w:val="auto"/>
          <w:highlight w:val="none"/>
        </w:rPr>
      </w:pPr>
      <w:r>
        <w:rPr>
          <w:color w:val="auto"/>
          <w:highlight w:val="none"/>
        </w:rPr>
        <w:t>本文件主要起草人：</w:t>
      </w:r>
      <w:r>
        <w:rPr>
          <w:rFonts w:hint="eastAsia"/>
          <w:color w:val="auto"/>
          <w:highlight w:val="none"/>
        </w:rPr>
        <w:t>徐石明、赵良、秦政、刘海东、陈时熠、许斐然、</w:t>
      </w:r>
      <w:r>
        <w:rPr>
          <w:rFonts w:hint="eastAsia"/>
          <w:color w:val="auto"/>
          <w:highlight w:val="none"/>
          <w:lang w:val="en-US" w:eastAsia="zh-CN"/>
        </w:rPr>
        <w:t>鲁刚、于万水、刘超、</w:t>
      </w:r>
      <w:r>
        <w:rPr>
          <w:rFonts w:hint="eastAsia"/>
          <w:color w:val="auto"/>
          <w:highlight w:val="none"/>
        </w:rPr>
        <w:t>陈贝</w:t>
      </w:r>
      <w:bookmarkStart w:id="478" w:name="_GoBack"/>
      <w:bookmarkEnd w:id="478"/>
      <w:r>
        <w:rPr>
          <w:rFonts w:hint="eastAsia"/>
          <w:color w:val="auto"/>
          <w:highlight w:val="none"/>
        </w:rPr>
        <w:t>赳、郝慧玲、梅先锋。</w:t>
      </w:r>
    </w:p>
    <w:p w14:paraId="04538F29">
      <w:pPr>
        <w:ind w:firstLine="420" w:firstLineChars="200"/>
        <w:rPr>
          <w:color w:val="auto"/>
          <w:highlight w:val="none"/>
        </w:rPr>
      </w:pPr>
      <w:r>
        <w:rPr>
          <w:color w:val="auto"/>
          <w:highlight w:val="none"/>
        </w:rPr>
        <w:t>本文件首次发布。</w:t>
      </w:r>
    </w:p>
    <w:p w14:paraId="4A04DAA2">
      <w:pPr>
        <w:pStyle w:val="258"/>
        <w:rPr>
          <w:rFonts w:ascii="宋体" w:hAnsi="宋体"/>
          <w:color w:val="auto"/>
          <w:highlight w:val="none"/>
        </w:rPr>
      </w:pPr>
      <w:r>
        <w:rPr>
          <w:rFonts w:hint="eastAsia" w:ascii="宋体" w:hAnsi="宋体"/>
          <w:color w:val="auto"/>
          <w:highlight w:val="none"/>
        </w:rPr>
        <w:t>本文件在执行过程中的意见或建议反馈至中国电机工程学会标准执行办公室（地址：北京市西城区白广路二条1号，100761，网址：http：//www.csee.org.cn，邮箱：</w:t>
      </w:r>
      <w:r>
        <w:rPr>
          <w:color w:val="auto"/>
          <w:highlight w:val="none"/>
        </w:rPr>
        <w:fldChar w:fldCharType="begin"/>
      </w:r>
      <w:r>
        <w:rPr>
          <w:color w:val="auto"/>
          <w:highlight w:val="none"/>
        </w:rPr>
        <w:instrText xml:space="preserve"> HYPERLINK "mailto:cseebz@csee.org.cn" </w:instrText>
      </w:r>
      <w:r>
        <w:rPr>
          <w:color w:val="auto"/>
          <w:highlight w:val="none"/>
        </w:rPr>
        <w:fldChar w:fldCharType="separate"/>
      </w:r>
      <w:r>
        <w:rPr>
          <w:rStyle w:val="242"/>
          <w:rFonts w:hint="eastAsia" w:ascii="宋体" w:hAnsi="宋体"/>
          <w:highlight w:val="none"/>
        </w:rPr>
        <w:t>cseebz@csee.org.cn</w:t>
      </w:r>
      <w:r>
        <w:rPr>
          <w:rStyle w:val="242"/>
          <w:rFonts w:ascii="宋体" w:hAnsi="宋体"/>
          <w:highlight w:val="none"/>
        </w:rPr>
        <w:fldChar w:fldCharType="end"/>
      </w:r>
      <w:r>
        <w:rPr>
          <w:rFonts w:hint="eastAsia" w:ascii="宋体" w:hAnsi="宋体"/>
          <w:color w:val="auto"/>
          <w:highlight w:val="none"/>
        </w:rPr>
        <w:t>）。</w:t>
      </w:r>
    </w:p>
    <w:p w14:paraId="0D49CCCA">
      <w:pPr>
        <w:ind w:firstLine="420" w:firstLineChars="200"/>
        <w:rPr>
          <w:rFonts w:ascii="宋体" w:hAnsi="宋体"/>
          <w:highlight w:val="none"/>
        </w:rPr>
      </w:pPr>
    </w:p>
    <w:p w14:paraId="77255622">
      <w:pPr>
        <w:ind w:firstLine="420" w:firstLineChars="200"/>
        <w:rPr>
          <w:rFonts w:ascii="宋体" w:hAnsi="宋体"/>
          <w:highlight w:val="none"/>
        </w:rPr>
      </w:pPr>
    </w:p>
    <w:p w14:paraId="46D6504C">
      <w:pPr>
        <w:pStyle w:val="316"/>
        <w:rPr>
          <w:rFonts w:hint="eastAsia" w:ascii="Times New Roman"/>
          <w:highlight w:val="none"/>
        </w:rPr>
        <w:sectPr>
          <w:headerReference r:id="rId9" w:type="default"/>
          <w:footerReference r:id="rId10" w:type="default"/>
          <w:footerReference r:id="rId11" w:type="even"/>
          <w:pgSz w:w="11907" w:h="16839"/>
          <w:pgMar w:top="1417" w:right="1134" w:bottom="1134" w:left="1417" w:header="1417" w:footer="1134" w:gutter="0"/>
          <w:pgNumType w:fmt="upperRoman"/>
          <w:cols w:space="425" w:num="1"/>
          <w:docGrid w:type="lines" w:linePitch="312" w:charSpace="0"/>
        </w:sectPr>
      </w:pPr>
      <w:bookmarkStart w:id="6" w:name="标准目次"/>
      <w:bookmarkEnd w:id="6"/>
      <w:bookmarkStart w:id="7" w:name="标准引言"/>
      <w:bookmarkEnd w:id="7"/>
    </w:p>
    <w:p w14:paraId="14A7CA66">
      <w:pPr>
        <w:pStyle w:val="316"/>
        <w:rPr>
          <w:rFonts w:hint="eastAsia" w:ascii="Times New Roman" w:eastAsia="黑体"/>
          <w:highlight w:val="none"/>
          <w:lang w:eastAsia="zh-CN"/>
        </w:rPr>
      </w:pPr>
      <w:r>
        <w:rPr>
          <w:rFonts w:hint="eastAsia" w:ascii="Times New Roman"/>
          <w:highlight w:val="none"/>
        </w:rPr>
        <w:t xml:space="preserve">温室气体 </w:t>
      </w:r>
      <w:r>
        <w:rPr>
          <w:rFonts w:hint="eastAsia" w:ascii="Times New Roman"/>
          <w:highlight w:val="none"/>
          <w:lang w:val="en-US" w:eastAsia="zh-CN"/>
        </w:rPr>
        <w:t>电工装备</w:t>
      </w:r>
      <w:r>
        <w:rPr>
          <w:rFonts w:hint="eastAsia" w:ascii="Times New Roman"/>
          <w:highlight w:val="none"/>
        </w:rPr>
        <w:t xml:space="preserve">产品碳足迹量化方法与要求 </w:t>
      </w:r>
      <w:r>
        <w:rPr>
          <w:rFonts w:hint="eastAsia" w:ascii="Times New Roman"/>
          <w:highlight w:val="none"/>
          <w:lang w:val="en-US" w:eastAsia="zh-CN"/>
        </w:rPr>
        <w:t>变压器</w:t>
      </w:r>
    </w:p>
    <w:p w14:paraId="040C6EDE">
      <w:pPr>
        <w:spacing w:before="157" w:beforeLines="50" w:after="157" w:afterLines="50"/>
        <w:outlineLvl w:val="0"/>
        <w:rPr>
          <w:rFonts w:hint="eastAsia" w:ascii="Times New Roman" w:hAnsi="Times New Roman" w:eastAsia="黑体" w:cs="Times New Roman"/>
          <w:szCs w:val="21"/>
          <w:highlight w:val="none"/>
        </w:rPr>
      </w:pPr>
      <w:bookmarkStart w:id="8" w:name="_Toc55228494"/>
      <w:bookmarkStart w:id="9" w:name="_Toc25315"/>
      <w:bookmarkStart w:id="10" w:name="_Toc19441"/>
      <w:bookmarkStart w:id="11" w:name="_Toc63642847"/>
      <w:bookmarkStart w:id="12" w:name="_Toc63642873"/>
      <w:bookmarkStart w:id="13" w:name="_Toc25259"/>
      <w:bookmarkStart w:id="14" w:name="_Toc62027348"/>
      <w:bookmarkStart w:id="15" w:name="_Toc24729"/>
      <w:r>
        <w:rPr>
          <w:rFonts w:hint="eastAsia" w:ascii="Times New Roman" w:hAnsi="Times New Roman" w:eastAsia="黑体" w:cs="Times New Roman"/>
          <w:strike w:val="0"/>
          <w:szCs w:val="21"/>
          <w:highlight w:val="none"/>
          <w:lang w:val="en-US" w:eastAsia="zh-CN"/>
        </w:rPr>
        <w:t xml:space="preserve">1 </w:t>
      </w:r>
      <w:r>
        <w:rPr>
          <w:rFonts w:hint="eastAsia" w:ascii="Times New Roman" w:hAnsi="Times New Roman" w:eastAsia="黑体" w:cs="Times New Roman"/>
          <w:szCs w:val="21"/>
          <w:highlight w:val="none"/>
        </w:rPr>
        <w:t>范围</w:t>
      </w:r>
      <w:bookmarkEnd w:id="8"/>
      <w:bookmarkEnd w:id="9"/>
      <w:bookmarkEnd w:id="10"/>
      <w:bookmarkEnd w:id="11"/>
      <w:bookmarkEnd w:id="12"/>
      <w:bookmarkEnd w:id="13"/>
      <w:bookmarkEnd w:id="14"/>
      <w:bookmarkEnd w:id="15"/>
    </w:p>
    <w:p w14:paraId="6C05FCE2">
      <w:pPr>
        <w:pStyle w:val="258"/>
        <w:ind w:firstLine="420"/>
        <w:rPr>
          <w:rFonts w:ascii="Times New Roman"/>
          <w:szCs w:val="21"/>
          <w:highlight w:val="none"/>
        </w:rPr>
      </w:pPr>
      <w:r>
        <w:rPr>
          <w:rFonts w:ascii="Times New Roman"/>
          <w:szCs w:val="21"/>
          <w:highlight w:val="none"/>
        </w:rPr>
        <w:t>本文件</w:t>
      </w:r>
      <w:r>
        <w:rPr>
          <w:rFonts w:hint="eastAsia" w:ascii="Times New Roman"/>
          <w:color w:val="auto"/>
          <w:szCs w:val="21"/>
          <w:highlight w:val="none"/>
        </w:rPr>
        <w:t>规定</w:t>
      </w:r>
      <w:r>
        <w:rPr>
          <w:rFonts w:ascii="Times New Roman"/>
          <w:color w:val="auto"/>
          <w:szCs w:val="21"/>
          <w:highlight w:val="none"/>
        </w:rPr>
        <w:t>了</w:t>
      </w:r>
      <w:r>
        <w:rPr>
          <w:rFonts w:hint="eastAsia" w:ascii="Times New Roman"/>
          <w:szCs w:val="21"/>
          <w:highlight w:val="none"/>
          <w:lang w:val="en-US" w:eastAsia="zh-CN"/>
        </w:rPr>
        <w:t>变压器</w:t>
      </w:r>
      <w:r>
        <w:rPr>
          <w:rFonts w:hint="eastAsia" w:ascii="Times New Roman"/>
          <w:szCs w:val="21"/>
          <w:highlight w:val="none"/>
        </w:rPr>
        <w:t>产品碳足迹量化的方法与要求，包括量化目的和范围、清单分析、影响评价、结果解释、产品碳足迹报告等内容</w:t>
      </w:r>
      <w:r>
        <w:rPr>
          <w:rFonts w:ascii="Times New Roman"/>
          <w:szCs w:val="21"/>
          <w:highlight w:val="none"/>
        </w:rPr>
        <w:t>。</w:t>
      </w:r>
    </w:p>
    <w:p w14:paraId="36D81BE5">
      <w:pPr>
        <w:pStyle w:val="258"/>
        <w:ind w:firstLine="420"/>
        <w:rPr>
          <w:rFonts w:hint="eastAsia" w:ascii="Times New Roman"/>
          <w:szCs w:val="21"/>
          <w:highlight w:val="none"/>
        </w:rPr>
      </w:pPr>
      <w:r>
        <w:rPr>
          <w:rFonts w:ascii="Times New Roman"/>
          <w:szCs w:val="21"/>
          <w:highlight w:val="none"/>
        </w:rPr>
        <w:t>本文件</w:t>
      </w:r>
      <w:r>
        <w:rPr>
          <w:rFonts w:ascii="Times New Roman"/>
          <w:color w:val="auto"/>
          <w:szCs w:val="21"/>
          <w:highlight w:val="none"/>
        </w:rPr>
        <w:t>适用于</w:t>
      </w:r>
      <w:r>
        <w:rPr>
          <w:rFonts w:hint="eastAsia" w:ascii="Times New Roman"/>
          <w:color w:val="auto"/>
          <w:szCs w:val="21"/>
          <w:highlight w:val="none"/>
          <w:lang w:val="en-US" w:eastAsia="zh-CN"/>
        </w:rPr>
        <w:t>各类型</w:t>
      </w:r>
      <w:r>
        <w:rPr>
          <w:rFonts w:hint="eastAsia" w:ascii="Times New Roman"/>
          <w:szCs w:val="21"/>
          <w:highlight w:val="none"/>
          <w:lang w:val="en-US" w:eastAsia="zh-CN"/>
        </w:rPr>
        <w:t>变压器</w:t>
      </w:r>
      <w:r>
        <w:rPr>
          <w:rFonts w:hint="eastAsia" w:ascii="Times New Roman"/>
          <w:szCs w:val="21"/>
          <w:highlight w:val="none"/>
        </w:rPr>
        <w:t>的</w:t>
      </w:r>
      <w:r>
        <w:rPr>
          <w:rFonts w:hint="eastAsia" w:ascii="Times New Roman"/>
          <w:szCs w:val="21"/>
          <w:highlight w:val="none"/>
          <w:lang w:val="en-US" w:eastAsia="zh-CN"/>
        </w:rPr>
        <w:t>产品</w:t>
      </w:r>
      <w:r>
        <w:rPr>
          <w:rFonts w:hint="eastAsia" w:ascii="Times New Roman"/>
          <w:szCs w:val="21"/>
          <w:highlight w:val="none"/>
        </w:rPr>
        <w:t>碳足迹量化和报告。</w:t>
      </w:r>
    </w:p>
    <w:p w14:paraId="2D59A089">
      <w:pPr>
        <w:spacing w:before="157" w:beforeLines="50" w:after="157" w:afterLines="50"/>
        <w:outlineLvl w:val="0"/>
        <w:rPr>
          <w:rFonts w:hint="eastAsia" w:ascii="Times New Roman" w:hAnsi="Times New Roman" w:eastAsia="黑体" w:cs="Times New Roman"/>
          <w:szCs w:val="21"/>
          <w:highlight w:val="none"/>
        </w:rPr>
      </w:pPr>
      <w:bookmarkStart w:id="16" w:name="_Toc55228495"/>
      <w:bookmarkStart w:id="17" w:name="_Toc63642848"/>
      <w:bookmarkStart w:id="18" w:name="_Toc2785"/>
      <w:bookmarkStart w:id="19" w:name="_Toc20632"/>
      <w:bookmarkStart w:id="20" w:name="_Toc3890"/>
      <w:bookmarkStart w:id="21" w:name="_Toc22940"/>
      <w:bookmarkStart w:id="22" w:name="_Toc63642874"/>
      <w:bookmarkStart w:id="23" w:name="_Toc62027349"/>
      <w:r>
        <w:rPr>
          <w:rFonts w:hint="eastAsia" w:ascii="Times New Roman" w:hAnsi="Times New Roman" w:eastAsia="黑体" w:cs="Times New Roman"/>
          <w:szCs w:val="21"/>
          <w:highlight w:val="none"/>
          <w:lang w:val="en-US" w:eastAsia="zh-CN"/>
        </w:rPr>
        <w:t xml:space="preserve">2 </w:t>
      </w:r>
      <w:r>
        <w:rPr>
          <w:rFonts w:hint="eastAsia" w:ascii="Times New Roman" w:hAnsi="Times New Roman" w:eastAsia="黑体" w:cs="Times New Roman"/>
          <w:szCs w:val="21"/>
          <w:highlight w:val="none"/>
        </w:rPr>
        <w:t>规范性引用文</w:t>
      </w:r>
      <w:bookmarkEnd w:id="16"/>
      <w:r>
        <w:rPr>
          <w:rFonts w:hint="eastAsia" w:ascii="Times New Roman" w:hAnsi="Times New Roman" w:eastAsia="黑体" w:cs="Times New Roman"/>
          <w:szCs w:val="21"/>
          <w:highlight w:val="none"/>
        </w:rPr>
        <w:t>件</w:t>
      </w:r>
      <w:bookmarkEnd w:id="17"/>
      <w:bookmarkEnd w:id="18"/>
      <w:bookmarkEnd w:id="19"/>
      <w:bookmarkEnd w:id="20"/>
      <w:bookmarkEnd w:id="21"/>
      <w:bookmarkEnd w:id="22"/>
      <w:bookmarkEnd w:id="23"/>
    </w:p>
    <w:p w14:paraId="62707A0A">
      <w:pPr>
        <w:pStyle w:val="258"/>
        <w:ind w:firstLine="420"/>
        <w:rPr>
          <w:rFonts w:ascii="Times New Roman"/>
          <w:color w:val="auto"/>
          <w:szCs w:val="21"/>
          <w:highlight w:val="none"/>
        </w:rPr>
      </w:pPr>
      <w:r>
        <w:rPr>
          <w:rFonts w:ascii="Times New Roman"/>
          <w:color w:val="auto"/>
          <w:szCs w:val="21"/>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4D53D0B">
      <w:pPr>
        <w:pStyle w:val="258"/>
        <w:ind w:firstLine="420"/>
        <w:rPr>
          <w:rFonts w:hint="default" w:ascii="Times New Roman" w:eastAsia="宋体"/>
          <w:szCs w:val="21"/>
          <w:highlight w:val="none"/>
          <w:lang w:val="en-US" w:eastAsia="zh-CN"/>
        </w:rPr>
      </w:pPr>
      <w:r>
        <w:rPr>
          <w:rFonts w:hint="eastAsia" w:ascii="Times New Roman"/>
          <w:szCs w:val="21"/>
          <w:highlight w:val="none"/>
        </w:rPr>
        <w:t>GB/T 24040</w:t>
      </w:r>
      <w:r>
        <w:rPr>
          <w:rFonts w:hint="eastAsia" w:ascii="Times New Roman"/>
          <w:szCs w:val="21"/>
          <w:highlight w:val="none"/>
          <w:lang w:val="en-US" w:eastAsia="zh-CN"/>
        </w:rPr>
        <w:t xml:space="preserve">-2008  </w:t>
      </w:r>
      <w:r>
        <w:rPr>
          <w:rFonts w:hint="eastAsia" w:ascii="Times New Roman"/>
          <w:szCs w:val="21"/>
          <w:highlight w:val="none"/>
        </w:rPr>
        <w:t>环境管理 生命周期评价 原则与框架</w:t>
      </w:r>
    </w:p>
    <w:p w14:paraId="6A862F02">
      <w:pPr>
        <w:pStyle w:val="258"/>
        <w:ind w:firstLine="420"/>
        <w:rPr>
          <w:rFonts w:hint="default" w:ascii="Times New Roman" w:eastAsia="宋体"/>
          <w:szCs w:val="21"/>
          <w:highlight w:val="none"/>
          <w:lang w:val="en-US" w:eastAsia="zh-CN"/>
        </w:rPr>
      </w:pPr>
      <w:r>
        <w:rPr>
          <w:rFonts w:hint="eastAsia" w:ascii="Times New Roman"/>
          <w:szCs w:val="21"/>
          <w:highlight w:val="none"/>
        </w:rPr>
        <w:t>GB/T 24044</w:t>
      </w:r>
      <w:r>
        <w:rPr>
          <w:rFonts w:hint="eastAsia" w:ascii="Times New Roman"/>
          <w:szCs w:val="21"/>
          <w:highlight w:val="none"/>
          <w:lang w:val="en-US" w:eastAsia="zh-CN"/>
        </w:rPr>
        <w:t xml:space="preserve">-2008  </w:t>
      </w:r>
      <w:r>
        <w:rPr>
          <w:rFonts w:hint="eastAsia" w:ascii="Times New Roman"/>
          <w:szCs w:val="21"/>
          <w:highlight w:val="none"/>
        </w:rPr>
        <w:t>环境管理 生命周期评价 要求与指南</w:t>
      </w:r>
    </w:p>
    <w:p w14:paraId="0ABF870A">
      <w:pPr>
        <w:pStyle w:val="258"/>
        <w:ind w:firstLine="420"/>
        <w:rPr>
          <w:rFonts w:hint="eastAsia" w:ascii="Times New Roman"/>
          <w:szCs w:val="21"/>
          <w:highlight w:val="none"/>
        </w:rPr>
      </w:pPr>
      <w:r>
        <w:rPr>
          <w:rFonts w:hint="eastAsia" w:ascii="Times New Roman"/>
          <w:szCs w:val="21"/>
          <w:highlight w:val="none"/>
        </w:rPr>
        <w:t>GB/T 24067</w:t>
      </w:r>
      <w:r>
        <w:rPr>
          <w:rFonts w:hint="eastAsia" w:ascii="Times New Roman"/>
          <w:szCs w:val="21"/>
          <w:highlight w:val="none"/>
          <w:lang w:val="en-US" w:eastAsia="zh-CN"/>
        </w:rPr>
        <w:t>-2024</w:t>
      </w:r>
      <w:r>
        <w:rPr>
          <w:rFonts w:hint="eastAsia" w:ascii="Times New Roman"/>
          <w:szCs w:val="21"/>
          <w:highlight w:val="none"/>
        </w:rPr>
        <w:t xml:space="preserve">  温室气体 产品碳足迹 量化要求与指南</w:t>
      </w:r>
    </w:p>
    <w:p w14:paraId="60379080">
      <w:pPr>
        <w:pStyle w:val="258"/>
        <w:ind w:firstLine="420"/>
        <w:rPr>
          <w:rFonts w:hint="eastAsia" w:ascii="Times New Roman"/>
          <w:szCs w:val="21"/>
          <w:highlight w:val="none"/>
        </w:rPr>
      </w:pPr>
      <w:r>
        <w:rPr>
          <w:rFonts w:hint="eastAsia" w:ascii="Times New Roman"/>
          <w:szCs w:val="21"/>
          <w:highlight w:val="none"/>
        </w:rPr>
        <w:t>GB/T 2900.95-2015</w:t>
      </w:r>
      <w:r>
        <w:rPr>
          <w:rFonts w:hint="eastAsia" w:ascii="Times New Roman"/>
          <w:szCs w:val="21"/>
          <w:highlight w:val="none"/>
          <w:lang w:val="en-US" w:eastAsia="zh-CN"/>
        </w:rPr>
        <w:t xml:space="preserve">  </w:t>
      </w:r>
      <w:r>
        <w:rPr>
          <w:rFonts w:hint="eastAsia" w:ascii="Times New Roman"/>
          <w:szCs w:val="21"/>
          <w:highlight w:val="none"/>
        </w:rPr>
        <w:t>电工术语变压器、调压器和电抗器</w:t>
      </w:r>
    </w:p>
    <w:p w14:paraId="41301821">
      <w:pPr>
        <w:pStyle w:val="258"/>
        <w:ind w:firstLine="420"/>
        <w:rPr>
          <w:rFonts w:hint="eastAsia" w:ascii="Times New Roman"/>
          <w:szCs w:val="21"/>
          <w:highlight w:val="none"/>
          <w:lang w:val="en-US" w:eastAsia="zh-CN"/>
        </w:rPr>
      </w:pPr>
      <w:r>
        <w:rPr>
          <w:rFonts w:hint="eastAsia" w:ascii="Times New Roman"/>
          <w:szCs w:val="21"/>
          <w:highlight w:val="none"/>
        </w:rPr>
        <w:t>GB/T 17468-2019</w:t>
      </w:r>
      <w:r>
        <w:rPr>
          <w:rFonts w:hint="eastAsia" w:ascii="Times New Roman"/>
          <w:szCs w:val="21"/>
          <w:highlight w:val="none"/>
          <w:lang w:val="en-US" w:eastAsia="zh-CN"/>
        </w:rPr>
        <w:t xml:space="preserve">  电力变压器选用导则</w:t>
      </w:r>
    </w:p>
    <w:p w14:paraId="57FBDD34">
      <w:pPr>
        <w:pStyle w:val="258"/>
        <w:ind w:firstLine="420"/>
        <w:rPr>
          <w:color w:val="5B9BD5" w:themeColor="accent1"/>
          <w14:textFill>
            <w14:solidFill>
              <w14:schemeClr w14:val="accent1"/>
            </w14:solidFill>
          </w14:textFill>
        </w:rPr>
      </w:pPr>
      <w:r>
        <w:rPr>
          <w:rFonts w:hint="eastAsia" w:ascii="Times New Roman"/>
          <w:szCs w:val="21"/>
        </w:rPr>
        <w:t>ISO 14026  环境标志和声明 足迹信息交流的原则、要求和指南（Environmental labels and declarations - Principles, requirements and guidelines for communication of footprint information）</w:t>
      </w:r>
    </w:p>
    <w:p w14:paraId="438D7410">
      <w:pPr>
        <w:spacing w:before="157" w:beforeLines="50" w:after="157" w:afterLines="50"/>
        <w:outlineLvl w:val="0"/>
        <w:rPr>
          <w:rFonts w:hint="eastAsia" w:ascii="Times New Roman" w:hAnsi="Times New Roman" w:eastAsia="黑体" w:cs="Times New Roman"/>
          <w:szCs w:val="21"/>
          <w:highlight w:val="none"/>
        </w:rPr>
      </w:pPr>
      <w:bookmarkStart w:id="24" w:name="_Toc63642875"/>
      <w:bookmarkStart w:id="25" w:name="_Toc63642849"/>
      <w:bookmarkStart w:id="26" w:name="_Toc55228496"/>
      <w:bookmarkStart w:id="27" w:name="_Toc32624"/>
      <w:bookmarkStart w:id="28" w:name="_Toc24045"/>
      <w:bookmarkStart w:id="29" w:name="_Toc20957"/>
      <w:bookmarkStart w:id="30" w:name="_Toc62027350"/>
      <w:bookmarkStart w:id="31" w:name="_Toc23076"/>
      <w:r>
        <w:rPr>
          <w:rFonts w:hint="eastAsia" w:ascii="Times New Roman" w:hAnsi="Times New Roman" w:eastAsia="黑体" w:cs="Times New Roman"/>
          <w:szCs w:val="21"/>
          <w:highlight w:val="none"/>
          <w:lang w:val="en-US" w:eastAsia="zh-CN"/>
        </w:rPr>
        <w:t xml:space="preserve">3 </w:t>
      </w:r>
      <w:r>
        <w:rPr>
          <w:rFonts w:hint="eastAsia" w:ascii="Times New Roman" w:hAnsi="Times New Roman" w:eastAsia="黑体" w:cs="Times New Roman"/>
          <w:szCs w:val="21"/>
          <w:highlight w:val="none"/>
        </w:rPr>
        <w:t>术语和定义</w:t>
      </w:r>
      <w:bookmarkEnd w:id="24"/>
      <w:bookmarkEnd w:id="25"/>
      <w:bookmarkEnd w:id="26"/>
      <w:bookmarkEnd w:id="27"/>
      <w:bookmarkEnd w:id="28"/>
      <w:bookmarkEnd w:id="29"/>
      <w:bookmarkEnd w:id="30"/>
      <w:bookmarkEnd w:id="31"/>
    </w:p>
    <w:p w14:paraId="24AA6587">
      <w:pPr>
        <w:pStyle w:val="258"/>
        <w:ind w:firstLine="420"/>
        <w:rPr>
          <w:rFonts w:ascii="Times New Roman"/>
          <w:szCs w:val="21"/>
          <w:highlight w:val="none"/>
        </w:rPr>
      </w:pPr>
      <w:r>
        <w:rPr>
          <w:rFonts w:hint="eastAsia" w:ascii="Times New Roman"/>
          <w:szCs w:val="21"/>
          <w:highlight w:val="none"/>
        </w:rPr>
        <w:t>GB/T 24040-2008、GB/T 24044-2008、GB/T 24067-2024、GB/T 2900.95-2015</w:t>
      </w:r>
      <w:r>
        <w:rPr>
          <w:rFonts w:hint="eastAsia" w:ascii="Times New Roman"/>
          <w:szCs w:val="21"/>
          <w:highlight w:val="none"/>
          <w:lang w:eastAsia="zh-CN"/>
        </w:rPr>
        <w:t>、GB/T 17468-2019</w:t>
      </w:r>
      <w:r>
        <w:rPr>
          <w:rFonts w:hint="eastAsia" w:ascii="Times New Roman"/>
          <w:szCs w:val="21"/>
          <w:highlight w:val="none"/>
        </w:rPr>
        <w:t>界定的以及下列术语和定义适用于本文件</w:t>
      </w:r>
      <w:r>
        <w:rPr>
          <w:rFonts w:ascii="Times New Roman"/>
          <w:szCs w:val="21"/>
          <w:highlight w:val="none"/>
        </w:rPr>
        <w:t>。</w:t>
      </w:r>
    </w:p>
    <w:p w14:paraId="37B28FFF">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32" w:name="_Toc13672"/>
      <w:bookmarkStart w:id="33" w:name="_Toc5493"/>
      <w:bookmarkStart w:id="34" w:name="_Toc16374"/>
      <w:bookmarkStart w:id="35" w:name="_Toc20274"/>
      <w:bookmarkStart w:id="36" w:name="_Toc27397"/>
      <w:bookmarkStart w:id="37" w:name="_Toc3436"/>
      <w:bookmarkStart w:id="38" w:name="_Toc9383"/>
      <w:bookmarkStart w:id="39" w:name="_Toc4289"/>
      <w:bookmarkStart w:id="40" w:name="_Toc10370"/>
      <w:bookmarkStart w:id="41" w:name="_Toc4183"/>
      <w:bookmarkStart w:id="42" w:name="_Toc16569"/>
      <w:bookmarkStart w:id="43" w:name="_Toc30469"/>
      <w:bookmarkStart w:id="44" w:name="_Toc2601"/>
      <w:bookmarkStart w:id="45" w:name="_Toc19287"/>
      <w:r>
        <w:rPr>
          <w:rFonts w:hint="default" w:ascii="Times New Roman" w:hAnsi="Times New Roman" w:eastAsia="黑体" w:cs="Times New Roman"/>
          <w:sz w:val="21"/>
          <w:szCs w:val="21"/>
          <w:highlight w:val="none"/>
          <w:lang w:val="en-US" w:eastAsia="zh-CN"/>
        </w:rPr>
        <w:t>3.1</w:t>
      </w:r>
      <w:bookmarkEnd w:id="32"/>
      <w:bookmarkEnd w:id="33"/>
      <w:bookmarkEnd w:id="34"/>
      <w:bookmarkEnd w:id="35"/>
      <w:bookmarkEnd w:id="36"/>
    </w:p>
    <w:p w14:paraId="045B365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温室气体 greenhouse gas</w:t>
      </w:r>
      <w:r>
        <w:rPr>
          <w:rFonts w:hint="default" w:ascii="Times New Roman" w:hAnsi="Times New Roman" w:eastAsia="黑体" w:cs="Times New Roman"/>
          <w:szCs w:val="21"/>
          <w:highlight w:val="none"/>
          <w:lang w:eastAsia="zh-CN"/>
        </w:rPr>
        <w:t>；</w:t>
      </w:r>
      <w:r>
        <w:rPr>
          <w:rFonts w:hint="default" w:ascii="Times New Roman" w:hAnsi="Times New Roman" w:eastAsia="黑体" w:cs="Times New Roman"/>
          <w:sz w:val="21"/>
          <w:szCs w:val="21"/>
          <w:highlight w:val="none"/>
          <w:lang w:val="en-US" w:eastAsia="zh-CN"/>
        </w:rPr>
        <w:t>GHG</w:t>
      </w:r>
    </w:p>
    <w:p w14:paraId="6930FBE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大气层中自然存在的和由于人类活动产生的能够吸收和散发地球表面、大气层和云层所产生的、波长在红外光谱内辐射的气态成分。</w:t>
      </w:r>
    </w:p>
    <w:p w14:paraId="0AF156AB">
      <w:pPr>
        <w:pStyle w:val="2"/>
        <w:ind w:left="840" w:leftChars="200" w:hanging="420" w:hanging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注：本文件涉及的温室气体包括二氧化碳（CO</w:t>
      </w:r>
      <w:r>
        <w:rPr>
          <w:rFonts w:hint="default" w:ascii="Times New Roman" w:hAnsi="Times New Roman" w:cs="Times New Roman"/>
          <w:sz w:val="21"/>
          <w:szCs w:val="21"/>
          <w:highlight w:val="none"/>
          <w:vertAlign w:val="subscript"/>
          <w:lang w:val="en-US" w:eastAsia="zh-CN"/>
        </w:rPr>
        <w:t>2</w:t>
      </w:r>
      <w:r>
        <w:rPr>
          <w:rFonts w:hint="default" w:ascii="Times New Roman" w:hAnsi="Times New Roman" w:cs="Times New Roman"/>
          <w:sz w:val="21"/>
          <w:szCs w:val="21"/>
          <w:highlight w:val="none"/>
          <w:lang w:val="en-US" w:eastAsia="zh-CN"/>
        </w:rPr>
        <w:t>）、甲烷（CH</w:t>
      </w:r>
      <w:r>
        <w:rPr>
          <w:rFonts w:hint="default" w:ascii="Times New Roman" w:hAnsi="Times New Roman" w:cs="Times New Roman"/>
          <w:sz w:val="21"/>
          <w:szCs w:val="21"/>
          <w:highlight w:val="none"/>
          <w:vertAlign w:val="subscript"/>
          <w:lang w:val="en-US" w:eastAsia="zh-CN"/>
        </w:rPr>
        <w:t>4</w:t>
      </w:r>
      <w:r>
        <w:rPr>
          <w:rFonts w:hint="default" w:ascii="Times New Roman" w:hAnsi="Times New Roman" w:cs="Times New Roman"/>
          <w:sz w:val="21"/>
          <w:szCs w:val="21"/>
          <w:highlight w:val="none"/>
          <w:lang w:val="en-US" w:eastAsia="zh-CN"/>
        </w:rPr>
        <w:t>）、氧化亚氮（N</w:t>
      </w:r>
      <w:r>
        <w:rPr>
          <w:rFonts w:hint="default" w:ascii="Times New Roman" w:hAnsi="Times New Roman" w:cs="Times New Roman"/>
          <w:sz w:val="21"/>
          <w:szCs w:val="21"/>
          <w:highlight w:val="none"/>
          <w:vertAlign w:val="subscript"/>
          <w:lang w:val="en-US" w:eastAsia="zh-CN"/>
        </w:rPr>
        <w:t>2</w:t>
      </w:r>
      <w:r>
        <w:rPr>
          <w:rFonts w:hint="default" w:ascii="Times New Roman" w:hAnsi="Times New Roman" w:cs="Times New Roman"/>
          <w:sz w:val="21"/>
          <w:szCs w:val="21"/>
          <w:highlight w:val="none"/>
          <w:lang w:val="en-US" w:eastAsia="zh-CN"/>
        </w:rPr>
        <w:t>O）、氢氟碳化物（HFCs）、全氟碳化物（PFCs）、六氟化硫（SF</w:t>
      </w:r>
      <w:r>
        <w:rPr>
          <w:rFonts w:hint="default" w:ascii="Times New Roman" w:hAnsi="Times New Roman" w:cs="Times New Roman"/>
          <w:sz w:val="21"/>
          <w:szCs w:val="21"/>
          <w:highlight w:val="none"/>
          <w:vertAlign w:val="subscript"/>
          <w:lang w:val="en-US" w:eastAsia="zh-CN"/>
        </w:rPr>
        <w:t>6</w:t>
      </w:r>
      <w:r>
        <w:rPr>
          <w:rFonts w:hint="default" w:ascii="Times New Roman" w:hAnsi="Times New Roman" w:cs="Times New Roman"/>
          <w:sz w:val="21"/>
          <w:szCs w:val="21"/>
          <w:highlight w:val="none"/>
          <w:lang w:val="en-US" w:eastAsia="zh-CN"/>
        </w:rPr>
        <w:t>）和三氟化氮（NF</w:t>
      </w:r>
      <w:r>
        <w:rPr>
          <w:rFonts w:hint="default" w:ascii="Times New Roman" w:hAnsi="Times New Roman" w:cs="Times New Roman"/>
          <w:sz w:val="21"/>
          <w:szCs w:val="21"/>
          <w:highlight w:val="none"/>
          <w:vertAlign w:val="subscript"/>
          <w:lang w:val="en-US" w:eastAsia="zh-CN"/>
        </w:rPr>
        <w:t>3</w:t>
      </w:r>
      <w:r>
        <w:rPr>
          <w:rFonts w:hint="default" w:ascii="Times New Roman" w:hAnsi="Times New Roman" w:cs="Times New Roman"/>
          <w:sz w:val="21"/>
          <w:szCs w:val="21"/>
          <w:highlight w:val="none"/>
          <w:lang w:val="en-US" w:eastAsia="zh-CN"/>
        </w:rPr>
        <w:t>）。</w:t>
      </w:r>
    </w:p>
    <w:p w14:paraId="484D36D7">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24067-2024，3.2.1]</w:t>
      </w:r>
    </w:p>
    <w:p w14:paraId="0303472F">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46" w:name="_Toc8534"/>
      <w:bookmarkStart w:id="47" w:name="_Toc28450"/>
      <w:bookmarkStart w:id="48" w:name="_Toc30224"/>
      <w:bookmarkStart w:id="49" w:name="_Toc17496"/>
      <w:bookmarkStart w:id="50" w:name="_Toc24671"/>
      <w:r>
        <w:rPr>
          <w:rFonts w:hint="default" w:ascii="Times New Roman" w:hAnsi="Times New Roman" w:eastAsia="黑体" w:cs="Times New Roman"/>
          <w:sz w:val="21"/>
          <w:szCs w:val="21"/>
          <w:highlight w:val="none"/>
          <w:lang w:val="en-US" w:eastAsia="zh-CN"/>
        </w:rPr>
        <w:t>3.2</w:t>
      </w:r>
      <w:bookmarkEnd w:id="46"/>
      <w:bookmarkEnd w:id="47"/>
      <w:bookmarkEnd w:id="48"/>
      <w:bookmarkEnd w:id="49"/>
      <w:bookmarkEnd w:id="50"/>
    </w:p>
    <w:p w14:paraId="01231C0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产品碳足迹 carbon footprint of a product</w:t>
      </w:r>
      <w:r>
        <w:rPr>
          <w:rFonts w:hint="default" w:ascii="Times New Roman" w:hAnsi="Times New Roman" w:eastAsia="黑体" w:cs="Times New Roman"/>
          <w:szCs w:val="21"/>
          <w:highlight w:val="none"/>
          <w:lang w:eastAsia="zh-CN"/>
        </w:rPr>
        <w:t>；</w:t>
      </w:r>
      <w:r>
        <w:rPr>
          <w:rFonts w:hint="default" w:ascii="Times New Roman" w:hAnsi="Times New Roman" w:eastAsia="黑体" w:cs="Times New Roman"/>
          <w:sz w:val="21"/>
          <w:szCs w:val="21"/>
          <w:highlight w:val="none"/>
          <w:lang w:val="en-US" w:eastAsia="zh-CN"/>
        </w:rPr>
        <w:t>CFP</w:t>
      </w:r>
    </w:p>
    <w:p w14:paraId="54AF8EB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产品系统中的GHG排放量和GHG清除量之和，以二氧化碳当量表示，并基于气候变化这一单一影响类型进行生命周期评价。</w:t>
      </w:r>
    </w:p>
    <w:p w14:paraId="589E54DA">
      <w:pPr>
        <w:pStyle w:val="2"/>
        <w:ind w:left="840" w:leftChars="200" w:hanging="420" w:hangingChars="200"/>
        <w:jc w:val="both"/>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注1：产品碳足迹可用不同的图例区分和标示具体的GHG排放量和清除量，产品碳足迹也可被分解到其生命周期的各个阶段。</w:t>
      </w:r>
    </w:p>
    <w:p w14:paraId="18A1152D">
      <w:pPr>
        <w:pStyle w:val="2"/>
        <w:ind w:left="840" w:leftChars="200" w:hanging="420" w:hangingChars="200"/>
        <w:jc w:val="both"/>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注2：产品碳足迹研究报告中记录了产品碳足迹的量化结果，以每个功能单位的二氧化碳当量表示。</w:t>
      </w:r>
    </w:p>
    <w:p w14:paraId="0229C97B">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24067-2024，3.1.1]</w:t>
      </w:r>
    </w:p>
    <w:p w14:paraId="3229F407">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51" w:name="_Toc5038"/>
      <w:bookmarkStart w:id="52" w:name="_Toc26489"/>
      <w:bookmarkStart w:id="53" w:name="_Toc24245"/>
      <w:bookmarkStart w:id="54" w:name="_Toc31746"/>
      <w:bookmarkStart w:id="55" w:name="_Toc16533"/>
      <w:r>
        <w:rPr>
          <w:rFonts w:hint="default" w:ascii="Times New Roman" w:hAnsi="Times New Roman" w:eastAsia="黑体" w:cs="Times New Roman"/>
          <w:sz w:val="21"/>
          <w:szCs w:val="21"/>
          <w:highlight w:val="none"/>
          <w:lang w:val="en-US" w:eastAsia="zh-CN"/>
        </w:rPr>
        <w:t>3.3</w:t>
      </w:r>
      <w:bookmarkEnd w:id="51"/>
      <w:bookmarkEnd w:id="52"/>
      <w:bookmarkEnd w:id="53"/>
      <w:bookmarkEnd w:id="54"/>
    </w:p>
    <w:p w14:paraId="528CFFA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 xml:space="preserve">产品碳足迹研究 </w:t>
      </w:r>
      <w:r>
        <w:rPr>
          <w:rFonts w:hint="default" w:ascii="Times New Roman" w:hAnsi="Times New Roman" w:eastAsia="黑体" w:cs="Times New Roman"/>
          <w:szCs w:val="21"/>
          <w:highlight w:val="none"/>
        </w:rPr>
        <w:t>carbon footprint of a product study</w:t>
      </w:r>
      <w:r>
        <w:rPr>
          <w:rFonts w:hint="default" w:ascii="Times New Roman" w:hAnsi="Times New Roman" w:eastAsia="黑体" w:cs="Times New Roman"/>
          <w:szCs w:val="21"/>
          <w:highlight w:val="none"/>
          <w:lang w:eastAsia="zh-CN"/>
        </w:rPr>
        <w:t>；</w:t>
      </w:r>
      <w:r>
        <w:rPr>
          <w:rFonts w:hint="default" w:ascii="Times New Roman" w:hAnsi="Times New Roman" w:eastAsia="黑体" w:cs="Times New Roman"/>
          <w:szCs w:val="21"/>
          <w:highlight w:val="none"/>
        </w:rPr>
        <w:t>CFP study</w:t>
      </w:r>
    </w:p>
    <w:p w14:paraId="2DA51E1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量化和报告产品碳足迹或产品部分碳足迹所必要的全部活动。</w:t>
      </w:r>
    </w:p>
    <w:p w14:paraId="009FEA25">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24067-2024，3.1.4]</w:t>
      </w:r>
    </w:p>
    <w:p w14:paraId="173DCC3E">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56" w:name="_Toc7416"/>
      <w:bookmarkStart w:id="57" w:name="_Toc25287"/>
      <w:bookmarkStart w:id="58" w:name="_Toc31905"/>
      <w:bookmarkStart w:id="59" w:name="_Toc15134"/>
      <w:r>
        <w:rPr>
          <w:rFonts w:hint="default" w:ascii="Times New Roman" w:hAnsi="Times New Roman" w:eastAsia="黑体" w:cs="Times New Roman"/>
          <w:sz w:val="21"/>
          <w:szCs w:val="21"/>
          <w:highlight w:val="none"/>
          <w:lang w:val="en-US" w:eastAsia="zh-CN"/>
        </w:rPr>
        <w:t>3.4</w:t>
      </w:r>
      <w:bookmarkEnd w:id="56"/>
      <w:bookmarkEnd w:id="57"/>
      <w:bookmarkEnd w:id="58"/>
      <w:bookmarkEnd w:id="59"/>
    </w:p>
    <w:p w14:paraId="65C086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 xml:space="preserve">产品碳足迹研究报告 </w:t>
      </w:r>
      <w:r>
        <w:rPr>
          <w:rFonts w:hint="default" w:ascii="Times New Roman" w:hAnsi="Times New Roman" w:eastAsia="黑体" w:cs="Times New Roman"/>
          <w:szCs w:val="21"/>
          <w:highlight w:val="none"/>
        </w:rPr>
        <w:t>carbon footprint of a product study report</w:t>
      </w:r>
      <w:r>
        <w:rPr>
          <w:rFonts w:hint="default" w:ascii="Times New Roman" w:hAnsi="Times New Roman" w:eastAsia="黑体" w:cs="Times New Roman"/>
          <w:szCs w:val="21"/>
          <w:highlight w:val="none"/>
          <w:lang w:eastAsia="zh-CN"/>
        </w:rPr>
        <w:t>；</w:t>
      </w:r>
      <w:r>
        <w:rPr>
          <w:rFonts w:hint="default" w:ascii="Times New Roman" w:hAnsi="Times New Roman" w:eastAsia="黑体" w:cs="Times New Roman"/>
          <w:szCs w:val="21"/>
          <w:highlight w:val="none"/>
        </w:rPr>
        <w:t>CFP study report</w:t>
      </w:r>
    </w:p>
    <w:p w14:paraId="09140FD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用于记录产品碳足迹或产品部分碳足迹研究的报告，且说明研究中做出的决策。</w:t>
      </w:r>
    </w:p>
    <w:p w14:paraId="030048B9">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注：产品碳足迹研究报告即表明已满足本文件的规定。</w:t>
      </w:r>
    </w:p>
    <w:p w14:paraId="5145547C">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24067-2024，3.1.5]</w:t>
      </w:r>
    </w:p>
    <w:p w14:paraId="3E918200">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60" w:name="_Toc15381"/>
      <w:bookmarkStart w:id="61" w:name="_Toc12056"/>
      <w:bookmarkStart w:id="62" w:name="_Toc13237"/>
      <w:bookmarkStart w:id="63" w:name="_Toc30457"/>
      <w:r>
        <w:rPr>
          <w:rFonts w:hint="default" w:ascii="Times New Roman" w:hAnsi="Times New Roman" w:eastAsia="黑体" w:cs="Times New Roman"/>
          <w:sz w:val="21"/>
          <w:szCs w:val="21"/>
          <w:highlight w:val="none"/>
          <w:lang w:val="en-US" w:eastAsia="zh-CN"/>
        </w:rPr>
        <w:t>3.5</w:t>
      </w:r>
      <w:bookmarkEnd w:id="37"/>
      <w:bookmarkEnd w:id="38"/>
      <w:bookmarkEnd w:id="39"/>
      <w:bookmarkEnd w:id="40"/>
      <w:bookmarkEnd w:id="41"/>
      <w:bookmarkEnd w:id="42"/>
      <w:bookmarkEnd w:id="43"/>
      <w:bookmarkEnd w:id="44"/>
      <w:bookmarkEnd w:id="45"/>
      <w:bookmarkEnd w:id="55"/>
      <w:bookmarkEnd w:id="60"/>
      <w:bookmarkEnd w:id="61"/>
      <w:bookmarkEnd w:id="62"/>
      <w:bookmarkEnd w:id="63"/>
    </w:p>
    <w:p w14:paraId="7C9FB46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eastAsia" w:eastAsia="黑体" w:cs="Times New Roman"/>
          <w:sz w:val="21"/>
          <w:szCs w:val="21"/>
          <w:highlight w:val="none"/>
          <w:lang w:val="en-US" w:eastAsia="zh-CN"/>
        </w:rPr>
        <w:t>变压器 transformer</w:t>
      </w:r>
    </w:p>
    <w:p w14:paraId="163B4F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转移电能而不改变其交流电源频率的静止的电能转换器</w:t>
      </w:r>
    </w:p>
    <w:p w14:paraId="0E14567B">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2900.95-2015，3.1.1]</w:t>
      </w:r>
    </w:p>
    <w:p w14:paraId="356F6E47">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64" w:name="_Toc11897"/>
      <w:bookmarkStart w:id="65" w:name="_Toc32563"/>
      <w:bookmarkStart w:id="66" w:name="_Toc32342"/>
      <w:bookmarkStart w:id="67" w:name="_Toc7423"/>
      <w:bookmarkStart w:id="68" w:name="_Toc20798"/>
      <w:r>
        <w:rPr>
          <w:rFonts w:hint="default" w:ascii="Times New Roman" w:hAnsi="Times New Roman" w:eastAsia="黑体" w:cs="Times New Roman"/>
          <w:sz w:val="21"/>
          <w:szCs w:val="21"/>
          <w:highlight w:val="none"/>
          <w:lang w:val="en-US" w:eastAsia="zh-CN"/>
        </w:rPr>
        <w:t>3.6</w:t>
      </w:r>
      <w:bookmarkEnd w:id="64"/>
      <w:bookmarkEnd w:id="65"/>
      <w:bookmarkEnd w:id="66"/>
      <w:bookmarkEnd w:id="67"/>
      <w:bookmarkEnd w:id="68"/>
    </w:p>
    <w:p w14:paraId="36F7AE1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功能单位 functional unit</w:t>
      </w:r>
    </w:p>
    <w:p w14:paraId="7CCBFB9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用来量化产品系统功能的基准单位。</w:t>
      </w:r>
    </w:p>
    <w:p w14:paraId="2A3459EC">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24067-2024，3.3.7]</w:t>
      </w:r>
    </w:p>
    <w:p w14:paraId="6311A064">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69" w:name="_Toc4064"/>
      <w:bookmarkStart w:id="70" w:name="_Toc165"/>
      <w:bookmarkStart w:id="71" w:name="_Toc7956"/>
      <w:bookmarkStart w:id="72" w:name="_Toc2797"/>
      <w:bookmarkStart w:id="73" w:name="_Toc27876"/>
      <w:r>
        <w:rPr>
          <w:rFonts w:hint="default" w:ascii="Times New Roman" w:hAnsi="Times New Roman" w:eastAsia="黑体" w:cs="Times New Roman"/>
          <w:sz w:val="21"/>
          <w:szCs w:val="21"/>
          <w:highlight w:val="none"/>
          <w:lang w:val="en-US" w:eastAsia="zh-CN"/>
        </w:rPr>
        <w:t>3.7</w:t>
      </w:r>
      <w:bookmarkEnd w:id="69"/>
      <w:bookmarkEnd w:id="70"/>
      <w:bookmarkEnd w:id="71"/>
      <w:bookmarkEnd w:id="72"/>
      <w:bookmarkEnd w:id="73"/>
    </w:p>
    <w:p w14:paraId="58A5BE1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基准流 reference flow</w:t>
      </w:r>
    </w:p>
    <w:p w14:paraId="23EC714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在给定的产品系统中，为实现一个功能单位的功能所需的过程输入或输出量。</w:t>
      </w:r>
    </w:p>
    <w:p w14:paraId="1FD2F6E5">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24067-2024，3.3.9，有修改]</w:t>
      </w:r>
    </w:p>
    <w:p w14:paraId="77DE1730">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74" w:name="_Toc27150"/>
      <w:bookmarkStart w:id="75" w:name="_Toc13053"/>
      <w:bookmarkStart w:id="76" w:name="_Toc25108"/>
      <w:bookmarkStart w:id="77" w:name="_Toc12181"/>
      <w:bookmarkStart w:id="78" w:name="_Toc19371"/>
      <w:r>
        <w:rPr>
          <w:rFonts w:hint="default" w:ascii="Times New Roman" w:hAnsi="Times New Roman" w:eastAsia="黑体" w:cs="Times New Roman"/>
          <w:sz w:val="21"/>
          <w:szCs w:val="21"/>
          <w:highlight w:val="none"/>
          <w:lang w:val="en-US" w:eastAsia="zh-CN"/>
        </w:rPr>
        <w:t>3.8</w:t>
      </w:r>
      <w:bookmarkEnd w:id="74"/>
      <w:bookmarkEnd w:id="75"/>
      <w:bookmarkEnd w:id="76"/>
      <w:bookmarkEnd w:id="77"/>
      <w:bookmarkEnd w:id="78"/>
    </w:p>
    <w:p w14:paraId="6C35BE9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系统边界 system boundary</w:t>
      </w:r>
    </w:p>
    <w:p w14:paraId="2DFB48B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通过一组准则确定哪些单元过程属于产品系统的一部分。</w:t>
      </w:r>
    </w:p>
    <w:p w14:paraId="75048ACA">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24067-2024，3.3.4]</w:t>
      </w:r>
    </w:p>
    <w:p w14:paraId="4EB38257">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79" w:name="_Toc3160"/>
      <w:bookmarkStart w:id="80" w:name="_Toc13240"/>
      <w:bookmarkStart w:id="81" w:name="_Toc10068"/>
      <w:bookmarkStart w:id="82" w:name="_Toc31705"/>
      <w:bookmarkStart w:id="83" w:name="_Toc25165"/>
      <w:r>
        <w:rPr>
          <w:rFonts w:hint="default" w:ascii="Times New Roman" w:hAnsi="Times New Roman" w:eastAsia="黑体" w:cs="Times New Roman"/>
          <w:sz w:val="21"/>
          <w:szCs w:val="21"/>
          <w:highlight w:val="none"/>
          <w:lang w:val="en-US" w:eastAsia="zh-CN"/>
        </w:rPr>
        <w:t>3.9</w:t>
      </w:r>
      <w:bookmarkEnd w:id="79"/>
      <w:bookmarkEnd w:id="80"/>
      <w:bookmarkEnd w:id="81"/>
      <w:bookmarkEnd w:id="82"/>
      <w:bookmarkEnd w:id="83"/>
    </w:p>
    <w:p w14:paraId="3469EBF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单元过程 unit process</w:t>
      </w:r>
    </w:p>
    <w:p w14:paraId="30A6498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进行生命周期清单分析时为量化输入和输出数据而确定的最基本部分。</w:t>
      </w:r>
    </w:p>
    <w:p w14:paraId="41575330">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24067-2024，3.3.6]</w:t>
      </w:r>
    </w:p>
    <w:p w14:paraId="3DA7FE82">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84" w:name="_Toc2480"/>
      <w:bookmarkStart w:id="85" w:name="_Toc26986"/>
      <w:bookmarkStart w:id="86" w:name="_Toc3767"/>
      <w:bookmarkStart w:id="87" w:name="_Toc25784"/>
      <w:bookmarkStart w:id="88" w:name="_Toc12620"/>
      <w:r>
        <w:rPr>
          <w:rFonts w:hint="default" w:ascii="Times New Roman" w:hAnsi="Times New Roman" w:eastAsia="黑体" w:cs="Times New Roman"/>
          <w:sz w:val="21"/>
          <w:szCs w:val="21"/>
          <w:highlight w:val="none"/>
          <w:lang w:val="en-US" w:eastAsia="zh-CN"/>
        </w:rPr>
        <w:t>3.1</w:t>
      </w:r>
      <w:bookmarkEnd w:id="84"/>
      <w:bookmarkEnd w:id="85"/>
      <w:bookmarkEnd w:id="86"/>
      <w:bookmarkEnd w:id="87"/>
      <w:bookmarkEnd w:id="88"/>
      <w:r>
        <w:rPr>
          <w:rFonts w:hint="eastAsia" w:eastAsia="黑体" w:cs="Times New Roman"/>
          <w:sz w:val="21"/>
          <w:szCs w:val="21"/>
          <w:highlight w:val="none"/>
          <w:lang w:val="en-US" w:eastAsia="zh-CN"/>
        </w:rPr>
        <w:t>0</w:t>
      </w:r>
    </w:p>
    <w:p w14:paraId="53BBA0E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基本流 elementary flow</w:t>
      </w:r>
    </w:p>
    <w:p w14:paraId="3349324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取自环境，进入所研究系统之前没有经过人为转化的物质或能量，或者是离开所研究系统，进入环境之后不再进行人为转化的物质和能量。</w:t>
      </w:r>
    </w:p>
    <w:p w14:paraId="50A5AA60">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注：“环境”的定义见GB/T 24001-2016，3.2.1。</w:t>
      </w:r>
    </w:p>
    <w:p w14:paraId="748265CD">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24067-2024，3.3.10]</w:t>
      </w:r>
    </w:p>
    <w:p w14:paraId="3BC18FCB">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89" w:name="_Toc2171"/>
      <w:bookmarkStart w:id="90" w:name="_Toc4715"/>
      <w:bookmarkStart w:id="91" w:name="_Toc17657"/>
      <w:bookmarkStart w:id="92" w:name="_Toc30154"/>
      <w:bookmarkStart w:id="93" w:name="_Toc16256"/>
      <w:r>
        <w:rPr>
          <w:rFonts w:hint="default" w:ascii="Times New Roman" w:hAnsi="Times New Roman" w:eastAsia="黑体" w:cs="Times New Roman"/>
          <w:sz w:val="21"/>
          <w:szCs w:val="21"/>
          <w:highlight w:val="none"/>
          <w:lang w:val="en-US" w:eastAsia="zh-CN"/>
        </w:rPr>
        <w:t>3.1</w:t>
      </w:r>
      <w:bookmarkEnd w:id="89"/>
      <w:bookmarkEnd w:id="90"/>
      <w:bookmarkEnd w:id="91"/>
      <w:bookmarkEnd w:id="92"/>
      <w:bookmarkEnd w:id="93"/>
      <w:r>
        <w:rPr>
          <w:rFonts w:hint="eastAsia" w:eastAsia="黑体" w:cs="Times New Roman"/>
          <w:sz w:val="21"/>
          <w:szCs w:val="21"/>
          <w:highlight w:val="none"/>
          <w:lang w:val="en-US" w:eastAsia="zh-CN"/>
        </w:rPr>
        <w:t>1</w:t>
      </w:r>
    </w:p>
    <w:p w14:paraId="2C0D69D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初级数据 primary data</w:t>
      </w:r>
    </w:p>
    <w:p w14:paraId="6FA39BA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通过直接测量或基于直接测量的计算得到的过程或活动的量化值。</w:t>
      </w:r>
    </w:p>
    <w:p w14:paraId="6413161B">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注1：初级数据并非必须来自所研究的产品系统，因为初级数据可能涉及其他与所研究的产品系统具有可比性的产品系统。</w:t>
      </w:r>
    </w:p>
    <w:p w14:paraId="66A450A1">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注2：初级数据可以包括温室气体排放因子或温室气体活动数据。</w:t>
      </w:r>
    </w:p>
    <w:p w14:paraId="253BDF95">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24067-2024，3.6.1]</w:t>
      </w:r>
    </w:p>
    <w:p w14:paraId="2FAF6D23">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94" w:name="_Toc6180"/>
      <w:bookmarkStart w:id="95" w:name="_Toc14489"/>
      <w:bookmarkStart w:id="96" w:name="_Toc4905"/>
      <w:bookmarkStart w:id="97" w:name="_Toc12445"/>
      <w:bookmarkStart w:id="98" w:name="_Toc10939"/>
      <w:r>
        <w:rPr>
          <w:rFonts w:hint="default" w:ascii="Times New Roman" w:hAnsi="Times New Roman" w:eastAsia="黑体" w:cs="Times New Roman"/>
          <w:sz w:val="21"/>
          <w:szCs w:val="21"/>
          <w:highlight w:val="none"/>
          <w:lang w:val="en-US" w:eastAsia="zh-CN"/>
        </w:rPr>
        <w:t>3.1</w:t>
      </w:r>
      <w:bookmarkEnd w:id="94"/>
      <w:bookmarkEnd w:id="95"/>
      <w:bookmarkEnd w:id="96"/>
      <w:bookmarkEnd w:id="97"/>
      <w:bookmarkEnd w:id="98"/>
      <w:r>
        <w:rPr>
          <w:rFonts w:hint="eastAsia" w:eastAsia="黑体" w:cs="Times New Roman"/>
          <w:sz w:val="21"/>
          <w:szCs w:val="21"/>
          <w:highlight w:val="none"/>
          <w:lang w:val="en-US" w:eastAsia="zh-CN"/>
        </w:rPr>
        <w:t>2</w:t>
      </w:r>
    </w:p>
    <w:p w14:paraId="401C594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次级数据 secondary data</w:t>
      </w:r>
    </w:p>
    <w:p w14:paraId="23676EE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不符合初级数据要求的数据。</w:t>
      </w:r>
    </w:p>
    <w:p w14:paraId="5EBA201E">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注1：次级数据是经权威机构验证具有可信度的数据，可来源于数据库、公开文献、国家排放因子、计算估算数据或其他具有代表性的数据，推荐使用本土化数据库。</w:t>
      </w:r>
    </w:p>
    <w:p w14:paraId="63DA3E8D">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注2：次级数据可包括从代替过程或估计获得的数据。</w:t>
      </w:r>
    </w:p>
    <w:p w14:paraId="36FB6ABC">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24067-2024，3.6.3]</w:t>
      </w:r>
    </w:p>
    <w:p w14:paraId="2A9F3D03">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99" w:name="_Toc20073"/>
      <w:bookmarkStart w:id="100" w:name="_Toc16111"/>
      <w:bookmarkStart w:id="101" w:name="_Toc22574"/>
      <w:bookmarkStart w:id="102" w:name="_Toc19905"/>
      <w:bookmarkStart w:id="103" w:name="_Toc5167"/>
      <w:r>
        <w:rPr>
          <w:rFonts w:hint="default" w:ascii="Times New Roman" w:hAnsi="Times New Roman" w:eastAsia="黑体" w:cs="Times New Roman"/>
          <w:sz w:val="21"/>
          <w:szCs w:val="21"/>
          <w:highlight w:val="none"/>
          <w:lang w:val="en-US" w:eastAsia="zh-CN"/>
        </w:rPr>
        <w:t>3.1</w:t>
      </w:r>
      <w:bookmarkEnd w:id="99"/>
      <w:bookmarkEnd w:id="100"/>
      <w:bookmarkEnd w:id="101"/>
      <w:bookmarkEnd w:id="102"/>
      <w:bookmarkEnd w:id="103"/>
      <w:r>
        <w:rPr>
          <w:rFonts w:hint="eastAsia" w:eastAsia="黑体" w:cs="Times New Roman"/>
          <w:sz w:val="21"/>
          <w:szCs w:val="21"/>
          <w:highlight w:val="none"/>
          <w:lang w:val="en-US" w:eastAsia="zh-CN"/>
        </w:rPr>
        <w:t>3</w:t>
      </w:r>
    </w:p>
    <w:p w14:paraId="4467995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数据质量 data quality</w:t>
      </w:r>
    </w:p>
    <w:p w14:paraId="6D92B62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数据在满足所声明的要求方面的能力特性。</w:t>
      </w:r>
    </w:p>
    <w:p w14:paraId="7DD690FC">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24044-2008，3.19]</w:t>
      </w:r>
    </w:p>
    <w:p w14:paraId="18D3EDC0">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104" w:name="_Toc978"/>
      <w:bookmarkStart w:id="105" w:name="_Toc25351"/>
      <w:bookmarkStart w:id="106" w:name="_Toc25869"/>
      <w:bookmarkStart w:id="107" w:name="_Toc8702"/>
      <w:bookmarkStart w:id="108" w:name="_Toc10109"/>
      <w:r>
        <w:rPr>
          <w:rFonts w:hint="default" w:ascii="Times New Roman" w:hAnsi="Times New Roman" w:eastAsia="黑体" w:cs="Times New Roman"/>
          <w:sz w:val="21"/>
          <w:szCs w:val="21"/>
          <w:highlight w:val="none"/>
          <w:lang w:val="en-US" w:eastAsia="zh-CN"/>
        </w:rPr>
        <w:t>3.1</w:t>
      </w:r>
      <w:bookmarkEnd w:id="104"/>
      <w:bookmarkEnd w:id="105"/>
      <w:bookmarkEnd w:id="106"/>
      <w:bookmarkEnd w:id="107"/>
      <w:bookmarkEnd w:id="108"/>
      <w:r>
        <w:rPr>
          <w:rFonts w:hint="eastAsia" w:eastAsia="黑体" w:cs="Times New Roman"/>
          <w:sz w:val="21"/>
          <w:szCs w:val="21"/>
          <w:highlight w:val="none"/>
          <w:lang w:val="en-US" w:eastAsia="zh-CN"/>
        </w:rPr>
        <w:t>4</w:t>
      </w:r>
    </w:p>
    <w:p w14:paraId="6C335E4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取舍准则 cut-off criteria</w:t>
      </w:r>
    </w:p>
    <w:p w14:paraId="11BEA55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对与单元过程或产品系统相关的物质和能量流的数量或环境影响重要性程度是否被排除在研究范围之外所作出的规定。</w:t>
      </w:r>
    </w:p>
    <w:p w14:paraId="15B1C89D">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注：“能量流”的定义见GB/T 24040-2008，3.13。</w:t>
      </w:r>
    </w:p>
    <w:p w14:paraId="33EE1539">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24067-2024，3.4.1]</w:t>
      </w:r>
    </w:p>
    <w:p w14:paraId="6777A0A4">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109" w:name="_Toc29189"/>
      <w:bookmarkStart w:id="110" w:name="_Toc29335"/>
      <w:bookmarkStart w:id="111" w:name="_Toc10059"/>
      <w:bookmarkStart w:id="112" w:name="_Toc3812"/>
      <w:bookmarkStart w:id="113" w:name="_Toc12115"/>
      <w:r>
        <w:rPr>
          <w:rFonts w:hint="default" w:ascii="Times New Roman" w:hAnsi="Times New Roman" w:eastAsia="黑体" w:cs="Times New Roman"/>
          <w:sz w:val="21"/>
          <w:szCs w:val="21"/>
          <w:highlight w:val="none"/>
          <w:lang w:val="en-US" w:eastAsia="zh-CN"/>
        </w:rPr>
        <w:t>3.1</w:t>
      </w:r>
      <w:bookmarkEnd w:id="109"/>
      <w:bookmarkEnd w:id="110"/>
      <w:bookmarkEnd w:id="111"/>
      <w:bookmarkEnd w:id="112"/>
      <w:bookmarkEnd w:id="113"/>
      <w:r>
        <w:rPr>
          <w:rFonts w:hint="eastAsia" w:eastAsia="黑体" w:cs="Times New Roman"/>
          <w:sz w:val="21"/>
          <w:szCs w:val="21"/>
          <w:highlight w:val="none"/>
          <w:lang w:val="en-US" w:eastAsia="zh-CN"/>
        </w:rPr>
        <w:t>5</w:t>
      </w:r>
    </w:p>
    <w:p w14:paraId="3149ED1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分配 allocation</w:t>
      </w:r>
    </w:p>
    <w:p w14:paraId="73F7B91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将过程或产品系统中的输入和输出流划分到所研究的产品系统以及一个或更多的其他产品系统中。</w:t>
      </w:r>
    </w:p>
    <w:p w14:paraId="36157238">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24044-2008，3.17]</w:t>
      </w:r>
    </w:p>
    <w:p w14:paraId="75601D1A">
      <w:pPr>
        <w:spacing w:before="157" w:beforeLines="50" w:after="157" w:afterLines="50"/>
        <w:outlineLvl w:val="0"/>
        <w:rPr>
          <w:rFonts w:hint="eastAsia" w:ascii="Times New Roman" w:hAnsi="Times New Roman" w:eastAsia="黑体" w:cs="Times New Roman"/>
          <w:szCs w:val="21"/>
          <w:highlight w:val="none"/>
        </w:rPr>
      </w:pPr>
      <w:bookmarkStart w:id="114" w:name="_Toc62027351"/>
      <w:bookmarkStart w:id="115" w:name="_Toc11331"/>
      <w:bookmarkStart w:id="116" w:name="_Toc63642850"/>
      <w:bookmarkStart w:id="117" w:name="_Toc30888"/>
      <w:bookmarkStart w:id="118" w:name="_Toc14587"/>
      <w:bookmarkStart w:id="119" w:name="_Toc63642876"/>
      <w:bookmarkStart w:id="120" w:name="_Toc12708"/>
      <w:r>
        <w:rPr>
          <w:rFonts w:hint="eastAsia" w:ascii="Times New Roman" w:hAnsi="Times New Roman" w:eastAsia="黑体" w:cs="Times New Roman"/>
          <w:szCs w:val="21"/>
          <w:highlight w:val="none"/>
          <w:lang w:val="en-US" w:eastAsia="zh-CN"/>
        </w:rPr>
        <w:t xml:space="preserve">4 </w:t>
      </w:r>
      <w:r>
        <w:rPr>
          <w:rFonts w:hint="eastAsia" w:ascii="Times New Roman" w:hAnsi="Times New Roman" w:eastAsia="黑体" w:cs="Times New Roman"/>
          <w:szCs w:val="21"/>
          <w:highlight w:val="none"/>
        </w:rPr>
        <w:t>量化目的</w:t>
      </w:r>
      <w:bookmarkEnd w:id="114"/>
      <w:bookmarkEnd w:id="115"/>
      <w:bookmarkEnd w:id="116"/>
      <w:bookmarkEnd w:id="117"/>
      <w:bookmarkEnd w:id="118"/>
      <w:bookmarkEnd w:id="119"/>
      <w:bookmarkEnd w:id="120"/>
    </w:p>
    <w:p w14:paraId="3FF2BE65">
      <w:pPr>
        <w:pStyle w:val="258"/>
        <w:ind w:firstLine="420"/>
        <w:rPr>
          <w:rFonts w:hint="eastAsia" w:ascii="Times New Roman"/>
          <w:szCs w:val="21"/>
          <w:highlight w:val="none"/>
        </w:rPr>
      </w:pPr>
      <w:r>
        <w:rPr>
          <w:rFonts w:hint="eastAsia" w:ascii="Times New Roman"/>
          <w:szCs w:val="21"/>
          <w:highlight w:val="none"/>
        </w:rPr>
        <w:t>开展</w:t>
      </w:r>
      <w:r>
        <w:rPr>
          <w:rFonts w:hint="eastAsia" w:ascii="Times New Roman"/>
          <w:szCs w:val="21"/>
          <w:highlight w:val="none"/>
          <w:lang w:val="en-US" w:eastAsia="zh-CN"/>
        </w:rPr>
        <w:t>变压器</w:t>
      </w:r>
      <w:r>
        <w:rPr>
          <w:rFonts w:hint="eastAsia" w:ascii="Times New Roman"/>
          <w:szCs w:val="21"/>
          <w:highlight w:val="none"/>
        </w:rPr>
        <w:t>产品碳足迹研究的总体目的是结合取舍准则（见6），通过量化产品生命周期所有显著的温室气体排放量，计算产品对全球变暖的潜在影响，以及在不同阶段和不同过程的影响构成（以二氧化碳当量（CO</w:t>
      </w:r>
      <w:r>
        <w:rPr>
          <w:rFonts w:hint="eastAsia" w:ascii="Times New Roman"/>
          <w:szCs w:val="21"/>
          <w:highlight w:val="none"/>
          <w:vertAlign w:val="subscript"/>
        </w:rPr>
        <w:t>2</w:t>
      </w:r>
      <w:r>
        <w:rPr>
          <w:rFonts w:hint="eastAsia" w:ascii="Times New Roman"/>
          <w:szCs w:val="21"/>
          <w:highlight w:val="none"/>
        </w:rPr>
        <w:t>e）表示）。</w:t>
      </w:r>
    </w:p>
    <w:p w14:paraId="2A7C0CB6">
      <w:pPr>
        <w:pStyle w:val="258"/>
        <w:ind w:firstLine="420"/>
        <w:rPr>
          <w:rFonts w:hint="eastAsia" w:ascii="Times New Roman" w:eastAsia="宋体"/>
          <w:szCs w:val="21"/>
          <w:highlight w:val="none"/>
          <w:lang w:val="en-US" w:eastAsia="zh-CN"/>
        </w:rPr>
      </w:pPr>
      <w:r>
        <w:rPr>
          <w:rFonts w:hint="eastAsia" w:ascii="Times New Roman"/>
          <w:szCs w:val="21"/>
          <w:highlight w:val="none"/>
        </w:rPr>
        <w:t>在确定产品碳足迹研究目的时，应明确陈述应用意图、开展该项研究的理由、结果的使用对象（研究结果的预期交流对象）以及符合ISO 14026要求的预期交流信息（如有）</w:t>
      </w:r>
      <w:r>
        <w:rPr>
          <w:rFonts w:hint="eastAsia" w:ascii="Times New Roman"/>
          <w:szCs w:val="21"/>
          <w:highlight w:val="none"/>
          <w:lang w:eastAsia="zh-CN"/>
        </w:rPr>
        <w:t>。</w:t>
      </w:r>
    </w:p>
    <w:p w14:paraId="74006AA5">
      <w:pPr>
        <w:pStyle w:val="349"/>
        <w:numPr>
          <w:ilvl w:val="0"/>
          <w:numId w:val="13"/>
        </w:numPr>
        <w:rPr>
          <w:szCs w:val="21"/>
          <w:highlight w:val="none"/>
        </w:rPr>
      </w:pPr>
      <w:bookmarkStart w:id="121" w:name="标准附录"/>
      <w:bookmarkEnd w:id="121"/>
    </w:p>
    <w:p w14:paraId="4F08358D">
      <w:pPr>
        <w:pStyle w:val="350"/>
        <w:numPr>
          <w:ilvl w:val="0"/>
          <w:numId w:val="14"/>
        </w:numPr>
        <w:rPr>
          <w:szCs w:val="21"/>
          <w:highlight w:val="none"/>
        </w:rPr>
      </w:pPr>
    </w:p>
    <w:p w14:paraId="6639F7C4">
      <w:pPr>
        <w:spacing w:before="157" w:beforeLines="50" w:after="157" w:afterLines="50"/>
        <w:outlineLvl w:val="0"/>
        <w:rPr>
          <w:rFonts w:hint="eastAsia" w:ascii="Times New Roman" w:hAnsi="Times New Roman" w:eastAsia="黑体" w:cs="Times New Roman"/>
          <w:szCs w:val="21"/>
          <w:highlight w:val="none"/>
        </w:rPr>
      </w:pPr>
      <w:bookmarkStart w:id="122" w:name="_Toc3137"/>
      <w:bookmarkStart w:id="123" w:name="_Toc20363"/>
      <w:bookmarkStart w:id="124" w:name="_Toc30513"/>
      <w:bookmarkStart w:id="125" w:name="_Toc32607"/>
      <w:bookmarkStart w:id="126" w:name="_Toc63642877"/>
      <w:bookmarkStart w:id="127" w:name="_Toc62027352"/>
      <w:bookmarkStart w:id="128" w:name="_Toc63642851"/>
      <w:r>
        <w:rPr>
          <w:rFonts w:hint="eastAsia" w:ascii="Times New Roman" w:hAnsi="Times New Roman" w:eastAsia="黑体" w:cs="Times New Roman"/>
          <w:szCs w:val="21"/>
          <w:highlight w:val="none"/>
          <w:lang w:val="en-US" w:eastAsia="zh-CN"/>
        </w:rPr>
        <w:t>5 量化范围</w:t>
      </w:r>
      <w:bookmarkEnd w:id="122"/>
      <w:bookmarkEnd w:id="123"/>
      <w:bookmarkEnd w:id="124"/>
      <w:bookmarkEnd w:id="125"/>
    </w:p>
    <w:p w14:paraId="222EA64C">
      <w:pPr>
        <w:spacing w:before="157" w:beforeLines="50" w:after="157" w:afterLines="50"/>
        <w:outlineLvl w:val="1"/>
        <w:rPr>
          <w:rFonts w:hint="default" w:ascii="Times New Roman" w:hAnsi="Times New Roman" w:eastAsia="黑体" w:cs="Times New Roman"/>
          <w:sz w:val="21"/>
          <w:szCs w:val="21"/>
          <w:highlight w:val="none"/>
          <w:lang w:val="en-US" w:eastAsia="zh-CN"/>
        </w:rPr>
      </w:pPr>
      <w:bookmarkStart w:id="129" w:name="_Toc31838"/>
      <w:bookmarkStart w:id="130" w:name="_Toc7480"/>
      <w:bookmarkStart w:id="131" w:name="_Toc23195"/>
      <w:bookmarkStart w:id="132" w:name="_Toc31867"/>
      <w:bookmarkStart w:id="133" w:name="_Toc5850"/>
      <w:bookmarkStart w:id="134" w:name="_Toc27081"/>
      <w:bookmarkStart w:id="135" w:name="_Toc12081"/>
      <w:r>
        <w:rPr>
          <w:rFonts w:hint="default" w:ascii="Times New Roman" w:hAnsi="Times New Roman" w:eastAsia="黑体" w:cs="Times New Roman"/>
          <w:sz w:val="21"/>
          <w:szCs w:val="21"/>
          <w:highlight w:val="none"/>
          <w:lang w:val="en-US" w:eastAsia="zh-CN"/>
        </w:rPr>
        <w:t>5.1 产品</w:t>
      </w:r>
      <w:bookmarkEnd w:id="129"/>
      <w:r>
        <w:rPr>
          <w:rFonts w:hint="default" w:ascii="Times New Roman" w:hAnsi="Times New Roman" w:eastAsia="黑体" w:cs="Times New Roman"/>
          <w:sz w:val="21"/>
          <w:szCs w:val="21"/>
          <w:highlight w:val="none"/>
          <w:lang w:val="en-US" w:eastAsia="zh-CN"/>
        </w:rPr>
        <w:t>信息</w:t>
      </w:r>
      <w:bookmarkEnd w:id="130"/>
      <w:bookmarkEnd w:id="131"/>
      <w:bookmarkEnd w:id="132"/>
      <w:bookmarkEnd w:id="133"/>
      <w:bookmarkEnd w:id="134"/>
      <w:bookmarkEnd w:id="135"/>
    </w:p>
    <w:p w14:paraId="7EB84FF5">
      <w:pPr>
        <w:snapToGrid/>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产品信息描述应使用户能够明确地识别产品，包括产品名称、规格型号、产品简易构造图、</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参数、</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分类等。</w:t>
      </w:r>
    </w:p>
    <w:p w14:paraId="4CAED94D">
      <w:pPr>
        <w:spacing w:before="157" w:beforeLines="50" w:after="157" w:afterLines="50"/>
        <w:outlineLvl w:val="1"/>
        <w:rPr>
          <w:rFonts w:hint="default" w:ascii="Times New Roman" w:hAnsi="Times New Roman" w:eastAsia="黑体" w:cs="Times New Roman"/>
          <w:sz w:val="21"/>
          <w:szCs w:val="21"/>
          <w:highlight w:val="none"/>
          <w:lang w:val="en-US" w:eastAsia="zh-CN"/>
        </w:rPr>
      </w:pPr>
      <w:bookmarkStart w:id="136" w:name="_Toc25939"/>
      <w:bookmarkStart w:id="137" w:name="_Toc354"/>
      <w:bookmarkStart w:id="138" w:name="_Toc4245"/>
      <w:bookmarkStart w:id="139" w:name="_Toc17393"/>
      <w:bookmarkStart w:id="140" w:name="_Toc747"/>
      <w:bookmarkStart w:id="141" w:name="_Toc26388"/>
      <w:bookmarkStart w:id="142" w:name="_Toc363"/>
      <w:r>
        <w:rPr>
          <w:rFonts w:hint="default" w:ascii="Times New Roman" w:hAnsi="Times New Roman" w:eastAsia="黑体" w:cs="Times New Roman"/>
          <w:sz w:val="21"/>
          <w:szCs w:val="21"/>
          <w:highlight w:val="none"/>
          <w:lang w:val="en-US" w:eastAsia="zh-CN"/>
        </w:rPr>
        <w:t>5.2 功能单位</w:t>
      </w:r>
      <w:bookmarkEnd w:id="136"/>
      <w:bookmarkEnd w:id="137"/>
      <w:bookmarkEnd w:id="138"/>
      <w:bookmarkEnd w:id="139"/>
      <w:bookmarkEnd w:id="140"/>
      <w:bookmarkEnd w:id="141"/>
      <w:bookmarkEnd w:id="142"/>
    </w:p>
    <w:p w14:paraId="5E7D9C34">
      <w:pPr>
        <w:pStyle w:val="2"/>
        <w:ind w:firstLine="420" w:firstLineChars="200"/>
        <w:rPr>
          <w:rFonts w:hint="default" w:cs="Times New Roman"/>
          <w:sz w:val="21"/>
          <w:szCs w:val="21"/>
          <w:highlight w:val="none"/>
          <w:lang w:val="en-US" w:eastAsia="zh-CN"/>
        </w:rPr>
      </w:pPr>
      <w:r>
        <w:rPr>
          <w:rFonts w:hint="eastAsia" w:cs="Times New Roman"/>
          <w:sz w:val="21"/>
          <w:szCs w:val="21"/>
          <w:highlight w:val="none"/>
          <w:lang w:val="en-US" w:eastAsia="zh-CN"/>
        </w:rPr>
        <w:t>以1台具有指定电压等级、额定容量和预期寿命的变压器产品为功能单位。功能单位描述应包含以下信息：</w:t>
      </w:r>
    </w:p>
    <w:p w14:paraId="3799E915">
      <w:pPr>
        <w:pStyle w:val="2"/>
        <w:spacing w:before="0" w:beforeLines="0" w:after="0" w:afterLines="0"/>
        <w:ind w:firstLine="420" w:firstLineChars="200"/>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a</w:t>
      </w:r>
      <w:r>
        <w:rPr>
          <w:rFonts w:hint="eastAsia" w:cs="Times New Roman"/>
          <w:sz w:val="21"/>
          <w:szCs w:val="21"/>
          <w:highlight w:val="none"/>
          <w:lang w:val="en-US" w:eastAsia="zh-CN"/>
        </w:rPr>
        <w:t>）</w:t>
      </w:r>
      <w:r>
        <w:rPr>
          <w:rFonts w:hint="default" w:ascii="Times New Roman" w:hAnsi="Times New Roman" w:cs="Times New Roman"/>
          <w:sz w:val="21"/>
          <w:szCs w:val="21"/>
          <w:highlight w:val="none"/>
          <w:lang w:val="en-US" w:eastAsia="zh-CN"/>
        </w:rPr>
        <w:t>产品名称及型号；</w:t>
      </w:r>
    </w:p>
    <w:p w14:paraId="5D32C0DA">
      <w:pPr>
        <w:pStyle w:val="2"/>
        <w:spacing w:before="0" w:beforeLines="0" w:after="0" w:afterLines="0"/>
        <w:ind w:firstLine="420" w:firstLineChars="200"/>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b</w:t>
      </w:r>
      <w:r>
        <w:rPr>
          <w:rFonts w:hint="eastAsia" w:cs="Times New Roman"/>
          <w:sz w:val="21"/>
          <w:szCs w:val="21"/>
          <w:highlight w:val="none"/>
          <w:lang w:val="en-US" w:eastAsia="zh-CN"/>
        </w:rPr>
        <w:t>）</w:t>
      </w:r>
      <w:r>
        <w:rPr>
          <w:rFonts w:hint="default" w:ascii="Times New Roman" w:hAnsi="Times New Roman" w:cs="Times New Roman"/>
          <w:sz w:val="21"/>
          <w:szCs w:val="21"/>
          <w:highlight w:val="none"/>
          <w:lang w:val="en-US" w:eastAsia="zh-CN"/>
        </w:rPr>
        <w:t>主要技术性能参数，包括额定电压、额定容量、冷却方式等；</w:t>
      </w:r>
    </w:p>
    <w:p w14:paraId="0B8FFFE0">
      <w:pPr>
        <w:pStyle w:val="2"/>
        <w:spacing w:before="0" w:beforeLines="0" w:after="0" w:afterLines="0"/>
        <w:ind w:firstLine="420" w:firstLineChars="200"/>
        <w:outlineLvl w:val="9"/>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c）</w:t>
      </w:r>
      <w:r>
        <w:rPr>
          <w:rFonts w:hint="default" w:ascii="Times New Roman" w:hAnsi="Times New Roman" w:cs="Times New Roman"/>
          <w:sz w:val="21"/>
          <w:szCs w:val="21"/>
          <w:highlight w:val="none"/>
          <w:lang w:val="en-US" w:eastAsia="zh-CN"/>
        </w:rPr>
        <w:t>使用寿命（预设）：按照GB/T17468-2019第9章的规定，配电变压器的寿命一般为20年，而其他电力变压器的寿命一般为30年。</w:t>
      </w:r>
    </w:p>
    <w:p w14:paraId="340BD71B">
      <w:pPr>
        <w:pStyle w:val="2"/>
        <w:spacing w:before="0" w:beforeLines="0" w:after="0" w:afterLines="0"/>
        <w:ind w:firstLine="420" w:firstLineChars="200"/>
        <w:outlineLvl w:val="9"/>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示例：1台10kV100kVA三相液浸式变压器，使用寿命20年</w:t>
      </w:r>
      <w:r>
        <w:rPr>
          <w:rFonts w:hint="default" w:ascii="Times New Roman" w:hAnsi="Times New Roman" w:cs="Times New Roman"/>
          <w:sz w:val="21"/>
          <w:szCs w:val="21"/>
          <w:highlight w:val="none"/>
          <w:lang w:val="en-US" w:eastAsia="zh-CN"/>
        </w:rPr>
        <w:t>。</w:t>
      </w:r>
    </w:p>
    <w:p w14:paraId="6CE092E8">
      <w:pPr>
        <w:spacing w:before="157" w:beforeLines="50" w:after="157" w:afterLines="50"/>
        <w:outlineLvl w:val="1"/>
        <w:rPr>
          <w:rFonts w:hint="default" w:ascii="Times New Roman" w:hAnsi="Times New Roman" w:eastAsia="黑体" w:cs="Times New Roman"/>
          <w:sz w:val="21"/>
          <w:szCs w:val="21"/>
          <w:highlight w:val="none"/>
          <w:lang w:val="en-US" w:eastAsia="zh-CN"/>
        </w:rPr>
      </w:pPr>
      <w:bookmarkStart w:id="143" w:name="_Toc11696"/>
      <w:bookmarkStart w:id="144" w:name="_Toc637"/>
      <w:bookmarkStart w:id="145" w:name="_Toc1957"/>
      <w:bookmarkStart w:id="146" w:name="_Toc18693"/>
      <w:bookmarkStart w:id="147" w:name="_Toc22656"/>
      <w:bookmarkStart w:id="148" w:name="_Toc29911"/>
      <w:bookmarkStart w:id="149" w:name="_Toc12466"/>
      <w:r>
        <w:rPr>
          <w:rFonts w:hint="default" w:ascii="Times New Roman" w:hAnsi="Times New Roman" w:eastAsia="黑体" w:cs="Times New Roman"/>
          <w:sz w:val="21"/>
          <w:szCs w:val="21"/>
          <w:highlight w:val="none"/>
          <w:lang w:val="en-US" w:eastAsia="zh-CN"/>
        </w:rPr>
        <w:t>5.3 基准流</w:t>
      </w:r>
      <w:bookmarkEnd w:id="143"/>
      <w:bookmarkEnd w:id="144"/>
      <w:bookmarkEnd w:id="145"/>
      <w:bookmarkEnd w:id="146"/>
      <w:bookmarkEnd w:id="147"/>
      <w:bookmarkEnd w:id="148"/>
      <w:bookmarkEnd w:id="149"/>
    </w:p>
    <w:p w14:paraId="0B5D780A">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为</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产品碳足迹量化收集的所有定量输入及输出数据，均应基于基准流进行计算。</w:t>
      </w:r>
    </w:p>
    <w:p w14:paraId="39620611">
      <w:pPr>
        <w:spacing w:before="157" w:beforeLines="50" w:after="157" w:afterLines="50"/>
        <w:outlineLvl w:val="1"/>
        <w:rPr>
          <w:rFonts w:hint="default" w:ascii="Times New Roman" w:hAnsi="Times New Roman" w:eastAsia="黑体" w:cs="Times New Roman"/>
          <w:sz w:val="21"/>
          <w:szCs w:val="21"/>
          <w:highlight w:val="none"/>
          <w:lang w:val="en-US" w:eastAsia="zh-CN"/>
        </w:rPr>
      </w:pPr>
      <w:bookmarkStart w:id="150" w:name="_Toc979"/>
      <w:bookmarkStart w:id="151" w:name="_Toc13604"/>
      <w:bookmarkStart w:id="152" w:name="_Toc1903"/>
      <w:bookmarkStart w:id="153" w:name="_Toc20623"/>
      <w:bookmarkStart w:id="154" w:name="_Toc25202"/>
      <w:bookmarkStart w:id="155" w:name="_Toc19980"/>
      <w:bookmarkStart w:id="156" w:name="_Toc21449"/>
      <w:r>
        <w:rPr>
          <w:rFonts w:hint="default" w:ascii="Times New Roman" w:hAnsi="Times New Roman" w:eastAsia="黑体" w:cs="Times New Roman"/>
          <w:sz w:val="21"/>
          <w:szCs w:val="21"/>
          <w:highlight w:val="none"/>
          <w:lang w:val="en-US" w:eastAsia="zh-CN"/>
        </w:rPr>
        <w:t>5.4 系统边界</w:t>
      </w:r>
      <w:bookmarkEnd w:id="150"/>
      <w:bookmarkEnd w:id="151"/>
      <w:bookmarkEnd w:id="152"/>
      <w:bookmarkEnd w:id="153"/>
      <w:bookmarkEnd w:id="154"/>
      <w:bookmarkEnd w:id="155"/>
      <w:bookmarkEnd w:id="156"/>
    </w:p>
    <w:p w14:paraId="4CE9186F">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157" w:name="_Toc29373"/>
      <w:bookmarkStart w:id="158" w:name="_Toc12032"/>
      <w:bookmarkStart w:id="159" w:name="_Toc3572"/>
      <w:bookmarkStart w:id="160" w:name="_Toc20714"/>
      <w:bookmarkStart w:id="161" w:name="_Toc28"/>
      <w:bookmarkStart w:id="162" w:name="_Toc18753"/>
      <w:r>
        <w:rPr>
          <w:rFonts w:hint="default" w:ascii="Times New Roman" w:hAnsi="Times New Roman" w:eastAsia="黑体" w:cs="Times New Roman"/>
          <w:sz w:val="21"/>
          <w:szCs w:val="21"/>
          <w:highlight w:val="none"/>
          <w:lang w:val="en-US" w:eastAsia="zh-CN"/>
        </w:rPr>
        <w:t>5.4.1 系统边界的确定</w:t>
      </w:r>
      <w:bookmarkEnd w:id="157"/>
      <w:bookmarkEnd w:id="158"/>
      <w:bookmarkEnd w:id="159"/>
      <w:bookmarkEnd w:id="160"/>
      <w:bookmarkEnd w:id="161"/>
      <w:bookmarkEnd w:id="162"/>
    </w:p>
    <w:p w14:paraId="6FC541E5">
      <w:pPr>
        <w:pStyle w:val="2"/>
        <w:ind w:firstLine="420" w:firstLineChars="200"/>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系统边界的选择应与产品碳足迹研究的目的相一致，系统边界的设定应包含但不限于下列两种形式：</w:t>
      </w:r>
    </w:p>
    <w:p w14:paraId="2C420EBE">
      <w:pPr>
        <w:pStyle w:val="2"/>
        <w:numPr>
          <w:ilvl w:val="0"/>
          <w:numId w:val="29"/>
        </w:numPr>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“从摇篮到大门”，包括原材料获取和</w:t>
      </w:r>
      <w:r>
        <w:rPr>
          <w:rFonts w:hint="eastAsia" w:cs="Times New Roman"/>
          <w:sz w:val="21"/>
          <w:szCs w:val="21"/>
          <w:highlight w:val="none"/>
          <w:lang w:val="en-US" w:eastAsia="zh-CN"/>
        </w:rPr>
        <w:t>生产</w:t>
      </w:r>
      <w:r>
        <w:rPr>
          <w:rFonts w:hint="default" w:ascii="Times New Roman" w:hAnsi="Times New Roman" w:cs="Times New Roman"/>
          <w:sz w:val="21"/>
          <w:szCs w:val="21"/>
          <w:highlight w:val="none"/>
          <w:lang w:val="en-US" w:eastAsia="zh-CN"/>
        </w:rPr>
        <w:t>阶段。</w:t>
      </w:r>
    </w:p>
    <w:p w14:paraId="0E63B8BA">
      <w:pPr>
        <w:pStyle w:val="2"/>
        <w:numPr>
          <w:ilvl w:val="0"/>
          <w:numId w:val="29"/>
        </w:numPr>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“从摇篮到坟墓”，包括</w:t>
      </w:r>
      <w:r>
        <w:rPr>
          <w:rFonts w:hint="default" w:ascii="Times New Roman" w:hAnsi="Times New Roman" w:cs="Times New Roman"/>
          <w:szCs w:val="21"/>
          <w:highlight w:val="none"/>
        </w:rPr>
        <w:t>原材料获取、</w:t>
      </w:r>
      <w:r>
        <w:rPr>
          <w:rFonts w:hint="eastAsia" w:cs="Times New Roman"/>
          <w:szCs w:val="21"/>
          <w:highlight w:val="none"/>
          <w:lang w:val="en-US" w:eastAsia="zh-CN"/>
        </w:rPr>
        <w:t>生产</w:t>
      </w:r>
      <w:r>
        <w:rPr>
          <w:rFonts w:hint="default" w:ascii="Times New Roman" w:hAnsi="Times New Roman" w:cs="Times New Roman"/>
          <w:szCs w:val="21"/>
          <w:highlight w:val="none"/>
        </w:rPr>
        <w:t>、分销、</w:t>
      </w:r>
      <w:r>
        <w:rPr>
          <w:rFonts w:hint="default" w:ascii="Times New Roman" w:hAnsi="Times New Roman" w:cs="Times New Roman"/>
          <w:szCs w:val="21"/>
          <w:highlight w:val="none"/>
          <w:lang w:val="en-US" w:eastAsia="zh-CN"/>
        </w:rPr>
        <w:t>使用和</w:t>
      </w:r>
      <w:r>
        <w:rPr>
          <w:rFonts w:hint="default" w:ascii="Times New Roman" w:hAnsi="Times New Roman" w:cs="Times New Roman"/>
          <w:szCs w:val="21"/>
          <w:highlight w:val="none"/>
        </w:rPr>
        <w:t>生命末期阶段</w:t>
      </w:r>
      <w:r>
        <w:rPr>
          <w:rFonts w:hint="default" w:ascii="Times New Roman" w:hAnsi="Times New Roman" w:cs="Times New Roman"/>
          <w:szCs w:val="21"/>
          <w:highlight w:val="none"/>
          <w:lang w:eastAsia="zh-CN"/>
        </w:rPr>
        <w:t>。</w:t>
      </w:r>
    </w:p>
    <w:p w14:paraId="4E0F8B87">
      <w:pPr>
        <w:pStyle w:val="2"/>
        <w:numPr>
          <w:ilvl w:val="-1"/>
          <w:numId w:val="0"/>
        </w:numPr>
        <w:ind w:left="218" w:leftChars="104" w:firstLine="417" w:firstLineChars="199"/>
        <w:rPr>
          <w:rFonts w:hint="default" w:ascii="Times New Roman" w:hAnsi="Times New Roman" w:cs="Times New Roman"/>
          <w:sz w:val="21"/>
          <w:szCs w:val="21"/>
          <w:highlight w:val="none"/>
          <w:lang w:val="en-US" w:eastAsia="zh-CN"/>
        </w:rPr>
      </w:pPr>
      <w:r>
        <w:rPr>
          <w:rFonts w:hint="eastAsia" w:cs="Times New Roman"/>
          <w:szCs w:val="21"/>
          <w:highlight w:val="none"/>
          <w:lang w:val="en-US" w:eastAsia="zh-CN"/>
        </w:rPr>
        <w:t>变压器</w:t>
      </w:r>
      <w:r>
        <w:rPr>
          <w:rFonts w:hint="default" w:ascii="Times New Roman" w:hAnsi="Times New Roman" w:cs="Times New Roman"/>
          <w:szCs w:val="21"/>
          <w:highlight w:val="none"/>
          <w:lang w:val="en-US" w:eastAsia="zh-CN"/>
        </w:rPr>
        <w:t>生命周期</w:t>
      </w:r>
      <w:r>
        <w:rPr>
          <w:rFonts w:hint="default" w:ascii="Times New Roman" w:hAnsi="Times New Roman" w:cs="Times New Roman"/>
          <w:sz w:val="21"/>
          <w:szCs w:val="21"/>
          <w:highlight w:val="none"/>
          <w:lang w:val="en-US" w:eastAsia="zh-CN"/>
        </w:rPr>
        <w:t>系统边界如图1所示。</w:t>
      </w:r>
    </w:p>
    <w:p w14:paraId="3D6305EE">
      <w:pPr>
        <w:pStyle w:val="2"/>
        <w:ind w:firstLine="0" w:firstLineChars="0"/>
        <w:jc w:val="center"/>
        <w:rPr>
          <w:rFonts w:hint="default" w:ascii="Times New Roman" w:hAnsi="Times New Roman" w:cs="Times New Roman"/>
          <w:sz w:val="21"/>
          <w:szCs w:val="21"/>
          <w:highlight w:val="none"/>
          <w:lang w:val="en-US" w:eastAsia="zh-CN"/>
        </w:rPr>
      </w:pPr>
      <w:r>
        <w:drawing>
          <wp:inline distT="0" distB="0" distL="114300" distR="114300">
            <wp:extent cx="4679950" cy="2703195"/>
            <wp:effectExtent l="0" t="0" r="6350" b="1905"/>
            <wp:docPr id="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
                    <pic:cNvPicPr>
                      <a:picLocks noChangeAspect="1"/>
                    </pic:cNvPicPr>
                  </pic:nvPicPr>
                  <pic:blipFill>
                    <a:blip r:embed="rId23"/>
                    <a:stretch>
                      <a:fillRect/>
                    </a:stretch>
                  </pic:blipFill>
                  <pic:spPr>
                    <a:xfrm>
                      <a:off x="0" y="0"/>
                      <a:ext cx="4679950" cy="2703195"/>
                    </a:xfrm>
                    <a:prstGeom prst="rect">
                      <a:avLst/>
                    </a:prstGeom>
                    <a:noFill/>
                    <a:ln>
                      <a:noFill/>
                    </a:ln>
                  </pic:spPr>
                </pic:pic>
              </a:graphicData>
            </a:graphic>
          </wp:inline>
        </w:drawing>
      </w:r>
    </w:p>
    <w:p w14:paraId="0B3A96F4">
      <w:pPr>
        <w:pStyle w:val="2"/>
        <w:ind w:firstLine="0" w:firstLineChars="0"/>
        <w:jc w:val="center"/>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 xml:space="preserve">图1 </w:t>
      </w:r>
      <w:r>
        <w:rPr>
          <w:rFonts w:hint="eastAsia" w:eastAsia="黑体" w:cs="Times New Roman"/>
          <w:sz w:val="21"/>
          <w:szCs w:val="21"/>
          <w:highlight w:val="none"/>
          <w:lang w:val="en-US" w:eastAsia="zh-CN"/>
        </w:rPr>
        <w:t>变压器</w:t>
      </w:r>
      <w:r>
        <w:rPr>
          <w:rFonts w:hint="default" w:ascii="Times New Roman" w:hAnsi="Times New Roman" w:eastAsia="黑体" w:cs="Times New Roman"/>
          <w:sz w:val="21"/>
          <w:szCs w:val="21"/>
          <w:highlight w:val="none"/>
          <w:lang w:val="en-US" w:eastAsia="zh-CN"/>
        </w:rPr>
        <w:t>生命周期系统边界图</w:t>
      </w:r>
    </w:p>
    <w:p w14:paraId="73E5B81C">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163" w:name="_Toc27019"/>
      <w:bookmarkStart w:id="164" w:name="_Toc11609"/>
      <w:bookmarkStart w:id="165" w:name="_Toc28988"/>
      <w:bookmarkStart w:id="166" w:name="_Toc26882"/>
      <w:bookmarkStart w:id="167" w:name="_Toc17276"/>
      <w:bookmarkStart w:id="168" w:name="_Toc30107"/>
      <w:r>
        <w:rPr>
          <w:rFonts w:hint="default" w:ascii="Times New Roman" w:hAnsi="Times New Roman" w:eastAsia="黑体" w:cs="Times New Roman"/>
          <w:sz w:val="21"/>
          <w:szCs w:val="21"/>
          <w:highlight w:val="none"/>
          <w:lang w:val="en-US" w:eastAsia="zh-CN"/>
        </w:rPr>
        <w:t>5.4.2 原材料获取阶段</w:t>
      </w:r>
      <w:bookmarkEnd w:id="163"/>
      <w:bookmarkEnd w:id="164"/>
      <w:bookmarkEnd w:id="165"/>
      <w:bookmarkEnd w:id="166"/>
      <w:bookmarkEnd w:id="167"/>
      <w:bookmarkEnd w:id="168"/>
    </w:p>
    <w:p w14:paraId="39E3711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原材料获取阶段涵盖</w:t>
      </w:r>
      <w:r>
        <w:rPr>
          <w:rFonts w:hint="eastAsia" w:cs="Times New Roman"/>
          <w:sz w:val="21"/>
          <w:szCs w:val="21"/>
          <w:highlight w:val="none"/>
          <w:lang w:val="en-US" w:eastAsia="zh-CN"/>
        </w:rPr>
        <w:t>生产</w:t>
      </w:r>
      <w:r>
        <w:rPr>
          <w:rFonts w:hint="default" w:ascii="Times New Roman" w:hAnsi="Times New Roman" w:cs="Times New Roman"/>
          <w:sz w:val="21"/>
          <w:szCs w:val="21"/>
          <w:highlight w:val="none"/>
          <w:lang w:val="en-US" w:eastAsia="zh-CN"/>
        </w:rPr>
        <w:t>阶段之前的所有过程，包括原生材料从自然界中提取资源及其预处理，以及再生材料的获取和预处理，直到</w:t>
      </w:r>
      <w:r>
        <w:rPr>
          <w:rFonts w:hint="default" w:ascii="Times New Roman" w:hAnsi="Times New Roman" w:cs="Times New Roman"/>
          <w:highlight w:val="none"/>
          <w:lang w:val="en-US" w:eastAsia="zh-CN"/>
        </w:rPr>
        <w:t>进入</w:t>
      </w:r>
      <w:r>
        <w:rPr>
          <w:rFonts w:hint="eastAsia" w:cs="Times New Roman"/>
          <w:highlight w:val="none"/>
          <w:lang w:val="en-US" w:eastAsia="zh-CN"/>
        </w:rPr>
        <w:t>生产</w:t>
      </w:r>
      <w:r>
        <w:rPr>
          <w:rFonts w:hint="default" w:ascii="Times New Roman" w:hAnsi="Times New Roman" w:cs="Times New Roman"/>
          <w:highlight w:val="none"/>
          <w:lang w:val="en-US" w:eastAsia="zh-CN"/>
        </w:rPr>
        <w:t>阶段的产品组件（包括</w:t>
      </w:r>
      <w:r>
        <w:rPr>
          <w:rFonts w:hint="eastAsia" w:cs="Times New Roman"/>
          <w:highlight w:val="none"/>
          <w:lang w:val="en-US" w:eastAsia="zh-CN"/>
        </w:rPr>
        <w:t>铁芯材料、线圈材料、钢材、绝缘液/气、绝缘材料等</w:t>
      </w:r>
      <w:r>
        <w:rPr>
          <w:rFonts w:hint="default" w:ascii="Times New Roman" w:hAnsi="Times New Roman" w:cs="Times New Roman"/>
          <w:highlight w:val="none"/>
          <w:lang w:val="en-US" w:eastAsia="zh-CN"/>
        </w:rPr>
        <w:t>）为止</w:t>
      </w:r>
      <w:r>
        <w:rPr>
          <w:rFonts w:hint="default" w:ascii="Times New Roman" w:hAnsi="Times New Roman" w:cs="Times New Roman"/>
          <w:sz w:val="21"/>
          <w:szCs w:val="21"/>
          <w:highlight w:val="none"/>
          <w:lang w:val="en-US" w:eastAsia="zh-CN"/>
        </w:rPr>
        <w:t>。主要包括以下过程：</w:t>
      </w:r>
    </w:p>
    <w:p w14:paraId="7A20A7B8">
      <w:pPr>
        <w:keepNext w:val="0"/>
        <w:keepLines w:val="0"/>
        <w:pageBreakBefore w:val="0"/>
        <w:widowControl w:val="0"/>
        <w:numPr>
          <w:ilvl w:val="0"/>
          <w:numId w:val="3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铁芯材料的</w:t>
      </w:r>
      <w:r>
        <w:rPr>
          <w:rFonts w:hint="default" w:ascii="Times New Roman" w:hAnsi="Times New Roman" w:cs="Times New Roman"/>
          <w:sz w:val="21"/>
          <w:szCs w:val="21"/>
          <w:highlight w:val="none"/>
          <w:lang w:val="en-US" w:eastAsia="zh-CN"/>
        </w:rPr>
        <w:t>原材料获取，包括硅钢片或非晶合金等生产过程。</w:t>
      </w:r>
    </w:p>
    <w:p w14:paraId="7DF16F1E">
      <w:pPr>
        <w:keepNext w:val="0"/>
        <w:keepLines w:val="0"/>
        <w:pageBreakBefore w:val="0"/>
        <w:widowControl w:val="0"/>
        <w:numPr>
          <w:ilvl w:val="0"/>
          <w:numId w:val="3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线圈材料的</w:t>
      </w:r>
      <w:r>
        <w:rPr>
          <w:rFonts w:hint="default" w:ascii="Times New Roman" w:hAnsi="Times New Roman" w:cs="Times New Roman"/>
          <w:sz w:val="21"/>
          <w:szCs w:val="21"/>
          <w:highlight w:val="none"/>
          <w:lang w:val="en-US" w:eastAsia="zh-CN"/>
        </w:rPr>
        <w:t>原材料获取，包括铜导线、铝导线、铜箔、铝箔</w:t>
      </w:r>
      <w:r>
        <w:rPr>
          <w:rFonts w:hint="eastAsia" w:cs="Times New Roman"/>
          <w:sz w:val="21"/>
          <w:szCs w:val="21"/>
          <w:highlight w:val="none"/>
          <w:lang w:val="en-US" w:eastAsia="zh-CN"/>
        </w:rPr>
        <w:t>等生产</w:t>
      </w:r>
      <w:r>
        <w:rPr>
          <w:rFonts w:hint="default" w:ascii="Times New Roman" w:hAnsi="Times New Roman" w:cs="Times New Roman"/>
          <w:sz w:val="21"/>
          <w:szCs w:val="21"/>
          <w:highlight w:val="none"/>
          <w:lang w:val="en-US" w:eastAsia="zh-CN"/>
        </w:rPr>
        <w:t>过程。</w:t>
      </w:r>
    </w:p>
    <w:p w14:paraId="11876C24">
      <w:pPr>
        <w:keepNext w:val="0"/>
        <w:keepLines w:val="0"/>
        <w:pageBreakBefore w:val="0"/>
        <w:widowControl w:val="0"/>
        <w:numPr>
          <w:ilvl w:val="0"/>
          <w:numId w:val="3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钢材的</w:t>
      </w:r>
      <w:r>
        <w:rPr>
          <w:rFonts w:hint="default" w:ascii="Times New Roman" w:hAnsi="Times New Roman" w:cs="Times New Roman"/>
          <w:sz w:val="21"/>
          <w:szCs w:val="21"/>
          <w:highlight w:val="none"/>
          <w:lang w:val="en-US" w:eastAsia="zh-CN"/>
        </w:rPr>
        <w:t>原材料获取，包括碳钢、不锈钢等生产过程。</w:t>
      </w:r>
    </w:p>
    <w:p w14:paraId="7762704C">
      <w:pPr>
        <w:keepNext w:val="0"/>
        <w:keepLines w:val="0"/>
        <w:pageBreakBefore w:val="0"/>
        <w:widowControl w:val="0"/>
        <w:numPr>
          <w:ilvl w:val="0"/>
          <w:numId w:val="3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绝缘液/气的</w:t>
      </w:r>
      <w:r>
        <w:rPr>
          <w:rFonts w:hint="default" w:ascii="Times New Roman" w:hAnsi="Times New Roman" w:cs="Times New Roman"/>
          <w:sz w:val="21"/>
          <w:szCs w:val="21"/>
          <w:highlight w:val="none"/>
          <w:lang w:val="en-US" w:eastAsia="zh-CN"/>
        </w:rPr>
        <w:t>原材料获取，包括矿物油、合成酯、天然酯、六氟化硫等生产过程。</w:t>
      </w:r>
    </w:p>
    <w:p w14:paraId="59BA4DA6">
      <w:pPr>
        <w:keepNext w:val="0"/>
        <w:keepLines w:val="0"/>
        <w:pageBreakBefore w:val="0"/>
        <w:widowControl w:val="0"/>
        <w:numPr>
          <w:ilvl w:val="0"/>
          <w:numId w:val="3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绝缘材料的</w:t>
      </w:r>
      <w:r>
        <w:rPr>
          <w:rFonts w:hint="default" w:ascii="Times New Roman" w:hAnsi="Times New Roman" w:cs="Times New Roman"/>
          <w:sz w:val="21"/>
          <w:szCs w:val="21"/>
          <w:highlight w:val="none"/>
          <w:lang w:val="en-US" w:eastAsia="zh-CN"/>
        </w:rPr>
        <w:t>原材料获取，包括层压木、绝缘纸、绝缘纸板、环氧材料、玻璃纤维等生产过程。</w:t>
      </w:r>
    </w:p>
    <w:p w14:paraId="4401293C">
      <w:pPr>
        <w:keepNext w:val="0"/>
        <w:keepLines w:val="0"/>
        <w:pageBreakBefore w:val="0"/>
        <w:widowControl w:val="0"/>
        <w:numPr>
          <w:ilvl w:val="0"/>
          <w:numId w:val="3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运输过程，包括原材料和中间产品在预处理设施内、设施间以及运往</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制造厂的运输。</w:t>
      </w:r>
    </w:p>
    <w:p w14:paraId="75AF29DD">
      <w:pPr>
        <w:numPr>
          <w:ilvl w:val="0"/>
          <w:numId w:val="30"/>
        </w:numPr>
        <w:snapToGrid/>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Cs w:val="21"/>
          <w:highlight w:val="none"/>
          <w:lang w:val="en-US" w:eastAsia="zh-CN"/>
        </w:rPr>
        <w:t>废弃物处理过程，针对</w:t>
      </w:r>
      <w:r>
        <w:rPr>
          <w:rFonts w:hint="default" w:ascii="Times New Roman" w:hAnsi="Times New Roman" w:cs="Times New Roman"/>
          <w:szCs w:val="21"/>
          <w:highlight w:val="none"/>
        </w:rPr>
        <w:t>本阶段产生的废</w:t>
      </w:r>
      <w:r>
        <w:rPr>
          <w:rFonts w:hint="default" w:ascii="Times New Roman" w:hAnsi="Times New Roman" w:cs="Times New Roman"/>
          <w:szCs w:val="21"/>
          <w:highlight w:val="none"/>
          <w:lang w:val="en-US" w:eastAsia="zh-CN"/>
        </w:rPr>
        <w:t>弃</w:t>
      </w:r>
      <w:r>
        <w:rPr>
          <w:rFonts w:hint="default" w:ascii="Times New Roman" w:hAnsi="Times New Roman" w:cs="Times New Roman"/>
          <w:szCs w:val="21"/>
          <w:highlight w:val="none"/>
        </w:rPr>
        <w:t>物</w:t>
      </w:r>
      <w:r>
        <w:rPr>
          <w:rFonts w:hint="default" w:ascii="Times New Roman" w:hAnsi="Times New Roman" w:cs="Times New Roman"/>
          <w:szCs w:val="21"/>
          <w:highlight w:val="none"/>
          <w:lang w:val="en-US" w:eastAsia="zh-CN"/>
        </w:rPr>
        <w:t>进行处理</w:t>
      </w:r>
      <w:r>
        <w:rPr>
          <w:rFonts w:hint="default" w:ascii="Times New Roman" w:hAnsi="Times New Roman" w:cs="Times New Roman"/>
          <w:sz w:val="21"/>
          <w:szCs w:val="21"/>
          <w:highlight w:val="none"/>
          <w:lang w:val="en-US" w:eastAsia="zh-CN"/>
        </w:rPr>
        <w:t>。</w:t>
      </w:r>
    </w:p>
    <w:p w14:paraId="1283B0D8">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169" w:name="_Toc6525"/>
      <w:bookmarkStart w:id="170" w:name="_Toc10621"/>
      <w:bookmarkStart w:id="171" w:name="_Toc27692"/>
      <w:bookmarkStart w:id="172" w:name="_Toc12869"/>
      <w:bookmarkStart w:id="173" w:name="_Toc21250"/>
      <w:bookmarkStart w:id="174" w:name="_Toc5015"/>
      <w:r>
        <w:rPr>
          <w:rFonts w:hint="default" w:ascii="Times New Roman" w:hAnsi="Times New Roman" w:eastAsia="黑体" w:cs="Times New Roman"/>
          <w:sz w:val="21"/>
          <w:szCs w:val="21"/>
          <w:highlight w:val="none"/>
          <w:lang w:val="en-US" w:eastAsia="zh-CN"/>
        </w:rPr>
        <w:t xml:space="preserve">5.4.3 </w:t>
      </w:r>
      <w:r>
        <w:rPr>
          <w:rFonts w:hint="eastAsia" w:eastAsia="黑体" w:cs="Times New Roman"/>
          <w:sz w:val="21"/>
          <w:szCs w:val="21"/>
          <w:highlight w:val="none"/>
          <w:lang w:val="en-US" w:eastAsia="zh-CN"/>
        </w:rPr>
        <w:t>生产</w:t>
      </w:r>
      <w:r>
        <w:rPr>
          <w:rFonts w:hint="default" w:ascii="Times New Roman" w:hAnsi="Times New Roman" w:eastAsia="黑体" w:cs="Times New Roman"/>
          <w:sz w:val="21"/>
          <w:szCs w:val="21"/>
          <w:highlight w:val="none"/>
          <w:lang w:val="en-US" w:eastAsia="zh-CN"/>
        </w:rPr>
        <w:t>阶段</w:t>
      </w:r>
      <w:bookmarkEnd w:id="169"/>
      <w:bookmarkEnd w:id="170"/>
      <w:bookmarkEnd w:id="171"/>
      <w:bookmarkEnd w:id="172"/>
      <w:bookmarkEnd w:id="173"/>
      <w:bookmarkEnd w:id="174"/>
    </w:p>
    <w:p w14:paraId="54364E2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生产</w:t>
      </w:r>
      <w:r>
        <w:rPr>
          <w:rFonts w:hint="default" w:ascii="Times New Roman" w:hAnsi="Times New Roman" w:cs="Times New Roman"/>
          <w:sz w:val="21"/>
          <w:szCs w:val="21"/>
          <w:highlight w:val="none"/>
          <w:lang w:val="en-US" w:eastAsia="zh-CN"/>
        </w:rPr>
        <w:t>阶段涵盖从</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生产所需物料进入</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制造厂，直到</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出厂的过程。主要包括以下过程：</w:t>
      </w:r>
    </w:p>
    <w:p w14:paraId="1158A37E">
      <w:pPr>
        <w:keepNext w:val="0"/>
        <w:keepLines w:val="0"/>
        <w:pageBreakBefore w:val="0"/>
        <w:widowControl w:val="0"/>
        <w:numPr>
          <w:ilvl w:val="0"/>
          <w:numId w:val="31"/>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铁芯加工、线圈等主要部件加工过程，包括纵剪、横剪、卷绕/叠积、卷铁芯等</w:t>
      </w:r>
      <w:r>
        <w:rPr>
          <w:rFonts w:hint="default" w:ascii="Times New Roman" w:hAnsi="Times New Roman" w:cs="Times New Roman"/>
          <w:sz w:val="21"/>
          <w:szCs w:val="21"/>
          <w:highlight w:val="none"/>
          <w:lang w:val="en-US" w:eastAsia="zh-CN"/>
        </w:rPr>
        <w:t>。</w:t>
      </w:r>
    </w:p>
    <w:p w14:paraId="5B0DC729">
      <w:pPr>
        <w:keepNext w:val="0"/>
        <w:keepLines w:val="0"/>
        <w:pageBreakBefore w:val="0"/>
        <w:widowControl w:val="0"/>
        <w:numPr>
          <w:ilvl w:val="0"/>
          <w:numId w:val="31"/>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组件/零部件生产过程，包括</w:t>
      </w:r>
      <w:r>
        <w:rPr>
          <w:rFonts w:hint="default" w:ascii="Times New Roman" w:hAnsi="Times New Roman" w:cs="Times New Roman"/>
          <w:sz w:val="21"/>
          <w:szCs w:val="21"/>
          <w:highlight w:val="none"/>
          <w:lang w:val="en-US" w:eastAsia="zh-CN"/>
        </w:rPr>
        <w:t>套管、分接开关、仪表类、控制柜、储油柜、冷却器、散热器、油箱、夹件等</w:t>
      </w:r>
      <w:r>
        <w:rPr>
          <w:rFonts w:hint="eastAsia" w:cs="Times New Roman"/>
          <w:sz w:val="21"/>
          <w:szCs w:val="21"/>
          <w:highlight w:val="none"/>
          <w:lang w:val="en-US" w:eastAsia="zh-CN"/>
        </w:rPr>
        <w:t>生产。</w:t>
      </w:r>
    </w:p>
    <w:p w14:paraId="0D5084B7">
      <w:pPr>
        <w:keepNext w:val="0"/>
        <w:keepLines w:val="0"/>
        <w:pageBreakBefore w:val="0"/>
        <w:widowControl w:val="0"/>
        <w:numPr>
          <w:ilvl w:val="0"/>
          <w:numId w:val="31"/>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产品装配。</w:t>
      </w:r>
    </w:p>
    <w:p w14:paraId="48F9B164">
      <w:pPr>
        <w:keepNext w:val="0"/>
        <w:keepLines w:val="0"/>
        <w:pageBreakBefore w:val="0"/>
        <w:widowControl w:val="0"/>
        <w:numPr>
          <w:ilvl w:val="0"/>
          <w:numId w:val="31"/>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运输过程，涉及中间产品的运输过程，包括不同厂区中间产品的运输、同一厂区内材料的运输（如厂内叉车等）。</w:t>
      </w:r>
    </w:p>
    <w:p w14:paraId="11DAB189">
      <w:pPr>
        <w:pStyle w:val="2"/>
        <w:ind w:firstLine="420" w:firstLineChars="200"/>
        <w:rPr>
          <w:rFonts w:hint="default" w:ascii="Times New Roman" w:hAnsi="Times New Roman" w:cs="Times New Roman"/>
          <w:sz w:val="21"/>
          <w:szCs w:val="21"/>
          <w:highlight w:val="none"/>
          <w:lang w:val="en-US" w:eastAsia="zh-CN"/>
        </w:rPr>
      </w:pPr>
      <w:r>
        <w:rPr>
          <w:rFonts w:hint="eastAsia" w:cs="Times New Roman"/>
          <w:szCs w:val="21"/>
          <w:highlight w:val="none"/>
          <w:lang w:val="en-US" w:eastAsia="zh-CN"/>
        </w:rPr>
        <w:t>e</w:t>
      </w:r>
      <w:r>
        <w:rPr>
          <w:rFonts w:hint="default" w:ascii="Times New Roman" w:hAnsi="Times New Roman" w:cs="Times New Roman"/>
          <w:szCs w:val="21"/>
          <w:highlight w:val="none"/>
          <w:lang w:val="en-US" w:eastAsia="zh-CN"/>
        </w:rPr>
        <w:t>）废弃物处理过程，针对</w:t>
      </w:r>
      <w:r>
        <w:rPr>
          <w:rFonts w:hint="default" w:ascii="Times New Roman" w:hAnsi="Times New Roman" w:cs="Times New Roman"/>
          <w:szCs w:val="21"/>
          <w:highlight w:val="none"/>
        </w:rPr>
        <w:t>本阶段产生的废</w:t>
      </w:r>
      <w:r>
        <w:rPr>
          <w:rFonts w:hint="default" w:ascii="Times New Roman" w:hAnsi="Times New Roman" w:cs="Times New Roman"/>
          <w:szCs w:val="21"/>
          <w:highlight w:val="none"/>
          <w:lang w:val="en-US" w:eastAsia="zh-CN"/>
        </w:rPr>
        <w:t>弃</w:t>
      </w:r>
      <w:r>
        <w:rPr>
          <w:rFonts w:hint="default" w:ascii="Times New Roman" w:hAnsi="Times New Roman" w:cs="Times New Roman"/>
          <w:szCs w:val="21"/>
          <w:highlight w:val="none"/>
        </w:rPr>
        <w:t>物</w:t>
      </w:r>
      <w:r>
        <w:rPr>
          <w:rFonts w:hint="default" w:ascii="Times New Roman" w:hAnsi="Times New Roman" w:cs="Times New Roman"/>
          <w:szCs w:val="21"/>
          <w:highlight w:val="none"/>
          <w:lang w:val="en-US" w:eastAsia="zh-CN"/>
        </w:rPr>
        <w:t>进行处理</w:t>
      </w:r>
      <w:r>
        <w:rPr>
          <w:rFonts w:hint="default" w:ascii="Times New Roman" w:hAnsi="Times New Roman" w:cs="Times New Roman"/>
          <w:sz w:val="21"/>
          <w:szCs w:val="21"/>
          <w:highlight w:val="none"/>
          <w:lang w:val="en-US" w:eastAsia="zh-CN"/>
        </w:rPr>
        <w:t>。</w:t>
      </w:r>
    </w:p>
    <w:p w14:paraId="4615CB39">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175" w:name="_Toc13996"/>
      <w:bookmarkStart w:id="176" w:name="_Toc500"/>
      <w:bookmarkStart w:id="177" w:name="_Toc23225"/>
      <w:bookmarkStart w:id="178" w:name="_Toc6567"/>
      <w:bookmarkStart w:id="179" w:name="_Toc24214"/>
      <w:bookmarkStart w:id="180" w:name="_Toc4349"/>
      <w:r>
        <w:rPr>
          <w:rFonts w:hint="default" w:ascii="Times New Roman" w:hAnsi="Times New Roman" w:eastAsia="黑体" w:cs="Times New Roman"/>
          <w:sz w:val="21"/>
          <w:szCs w:val="21"/>
          <w:highlight w:val="none"/>
          <w:lang w:val="en-US" w:eastAsia="zh-CN"/>
        </w:rPr>
        <w:t>5.4.4 分销阶段</w:t>
      </w:r>
      <w:bookmarkEnd w:id="175"/>
      <w:bookmarkEnd w:id="176"/>
      <w:bookmarkEnd w:id="177"/>
      <w:bookmarkEnd w:id="178"/>
      <w:bookmarkEnd w:id="179"/>
      <w:bookmarkEnd w:id="180"/>
    </w:p>
    <w:p w14:paraId="7FD2EC0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分销阶段包括将</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从</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制造厂运输到安装地点，不包括储存环节。</w:t>
      </w:r>
    </w:p>
    <w:p w14:paraId="012E1AAA">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181" w:name="_Toc1818"/>
      <w:bookmarkStart w:id="182" w:name="_Toc618"/>
      <w:bookmarkStart w:id="183" w:name="_Toc27290"/>
      <w:bookmarkStart w:id="184" w:name="_Toc15265"/>
      <w:bookmarkStart w:id="185" w:name="_Toc6761"/>
      <w:bookmarkStart w:id="186" w:name="_Toc3581"/>
      <w:r>
        <w:rPr>
          <w:rFonts w:hint="default" w:ascii="Times New Roman" w:hAnsi="Times New Roman" w:eastAsia="黑体" w:cs="Times New Roman"/>
          <w:sz w:val="21"/>
          <w:szCs w:val="21"/>
          <w:highlight w:val="none"/>
          <w:lang w:val="en-US" w:eastAsia="zh-CN"/>
        </w:rPr>
        <w:t>5.4.5 使用阶段</w:t>
      </w:r>
      <w:bookmarkEnd w:id="181"/>
      <w:bookmarkEnd w:id="182"/>
      <w:bookmarkEnd w:id="183"/>
      <w:bookmarkEnd w:id="184"/>
      <w:bookmarkEnd w:id="185"/>
      <w:bookmarkEnd w:id="186"/>
    </w:p>
    <w:p w14:paraId="147869AD">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使用阶段</w:t>
      </w:r>
      <w:r>
        <w:rPr>
          <w:rFonts w:hint="eastAsia" w:cs="Times New Roman"/>
          <w:sz w:val="21"/>
          <w:szCs w:val="21"/>
          <w:highlight w:val="none"/>
          <w:lang w:val="en-US" w:eastAsia="zh-CN"/>
        </w:rPr>
        <w:t>包括将变压器运输到安装地点后，</w:t>
      </w:r>
      <w:r>
        <w:rPr>
          <w:rFonts w:hint="default" w:ascii="Times New Roman" w:hAnsi="Times New Roman" w:cs="Times New Roman"/>
          <w:sz w:val="21"/>
          <w:szCs w:val="21"/>
          <w:highlight w:val="none"/>
          <w:lang w:val="en-US" w:eastAsia="zh-CN"/>
        </w:rPr>
        <w:t>到</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被用户处置或丢弃结束</w:t>
      </w:r>
      <w:r>
        <w:rPr>
          <w:rFonts w:hint="eastAsia" w:cs="Times New Roman"/>
          <w:sz w:val="21"/>
          <w:szCs w:val="21"/>
          <w:highlight w:val="none"/>
          <w:lang w:val="en-US" w:eastAsia="zh-CN"/>
        </w:rPr>
        <w:t>。主要包括以下过程：</w:t>
      </w:r>
    </w:p>
    <w:p w14:paraId="068DD154">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a</w:t>
      </w:r>
      <w:r>
        <w:rPr>
          <w:rFonts w:hint="eastAsia" w:cs="Times New Roman"/>
          <w:sz w:val="21"/>
          <w:szCs w:val="21"/>
          <w:highlight w:val="none"/>
          <w:lang w:val="en-US" w:eastAsia="zh-CN"/>
        </w:rPr>
        <w:t>）</w:t>
      </w:r>
      <w:r>
        <w:rPr>
          <w:rFonts w:hint="default" w:ascii="Times New Roman" w:hAnsi="Times New Roman" w:cs="Times New Roman"/>
          <w:sz w:val="21"/>
          <w:szCs w:val="21"/>
          <w:highlight w:val="none"/>
          <w:lang w:val="en-US" w:eastAsia="zh-CN"/>
        </w:rPr>
        <w:t>变压器产品安装</w:t>
      </w:r>
      <w:r>
        <w:rPr>
          <w:rFonts w:hint="eastAsia" w:cs="Times New Roman"/>
          <w:sz w:val="21"/>
          <w:szCs w:val="21"/>
          <w:highlight w:val="none"/>
          <w:lang w:val="en-US" w:eastAsia="zh-CN"/>
        </w:rPr>
        <w:t>和</w:t>
      </w:r>
      <w:r>
        <w:rPr>
          <w:rFonts w:hint="default" w:ascii="Times New Roman" w:hAnsi="Times New Roman" w:cs="Times New Roman"/>
          <w:sz w:val="21"/>
          <w:szCs w:val="21"/>
          <w:highlight w:val="none"/>
          <w:lang w:val="en-US" w:eastAsia="zh-CN"/>
        </w:rPr>
        <w:t>调试过程</w:t>
      </w:r>
      <w:r>
        <w:rPr>
          <w:rFonts w:hint="eastAsia" w:cs="Times New Roman"/>
          <w:sz w:val="21"/>
          <w:szCs w:val="21"/>
          <w:highlight w:val="none"/>
          <w:lang w:val="en-US" w:eastAsia="zh-CN"/>
        </w:rPr>
        <w:t>。</w:t>
      </w:r>
    </w:p>
    <w:p w14:paraId="45C55EBE">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b</w:t>
      </w:r>
      <w:r>
        <w:rPr>
          <w:rFonts w:hint="eastAsia" w:cs="Times New Roman"/>
          <w:sz w:val="21"/>
          <w:szCs w:val="21"/>
          <w:highlight w:val="none"/>
          <w:lang w:val="en-US" w:eastAsia="zh-CN"/>
        </w:rPr>
        <w:t>）</w:t>
      </w:r>
      <w:r>
        <w:rPr>
          <w:rFonts w:hint="default" w:ascii="Times New Roman" w:hAnsi="Times New Roman" w:cs="Times New Roman"/>
          <w:sz w:val="21"/>
          <w:szCs w:val="21"/>
          <w:highlight w:val="none"/>
          <w:lang w:val="en-US" w:eastAsia="zh-CN"/>
        </w:rPr>
        <w:t>变压器产品运行</w:t>
      </w:r>
      <w:r>
        <w:rPr>
          <w:rFonts w:hint="eastAsia" w:cs="Times New Roman"/>
          <w:sz w:val="21"/>
          <w:szCs w:val="21"/>
          <w:highlight w:val="none"/>
          <w:lang w:val="en-US" w:eastAsia="zh-CN"/>
        </w:rPr>
        <w:t>和维护</w:t>
      </w:r>
      <w:r>
        <w:rPr>
          <w:rFonts w:hint="default" w:ascii="Times New Roman" w:hAnsi="Times New Roman" w:cs="Times New Roman"/>
          <w:sz w:val="21"/>
          <w:szCs w:val="21"/>
          <w:highlight w:val="none"/>
          <w:lang w:val="en-US" w:eastAsia="zh-CN"/>
        </w:rPr>
        <w:t>过程</w:t>
      </w:r>
      <w:r>
        <w:rPr>
          <w:rFonts w:hint="eastAsia" w:cs="Times New Roman"/>
          <w:sz w:val="21"/>
          <w:szCs w:val="21"/>
          <w:highlight w:val="none"/>
          <w:lang w:val="en-US" w:eastAsia="zh-CN"/>
        </w:rPr>
        <w:t>。</w:t>
      </w:r>
    </w:p>
    <w:p w14:paraId="264633C0">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187" w:name="_Toc31800"/>
      <w:bookmarkStart w:id="188" w:name="_Toc19185"/>
      <w:bookmarkStart w:id="189" w:name="_Toc24279"/>
      <w:bookmarkStart w:id="190" w:name="_Toc3720"/>
      <w:bookmarkStart w:id="191" w:name="_Toc23306"/>
      <w:bookmarkStart w:id="192" w:name="_Toc8391"/>
      <w:r>
        <w:rPr>
          <w:rFonts w:hint="default" w:ascii="Times New Roman" w:hAnsi="Times New Roman" w:eastAsia="黑体" w:cs="Times New Roman"/>
          <w:sz w:val="21"/>
          <w:szCs w:val="21"/>
          <w:highlight w:val="none"/>
          <w:lang w:val="en-US" w:eastAsia="zh-CN"/>
        </w:rPr>
        <w:t>5.4.6 生命末期阶段</w:t>
      </w:r>
      <w:bookmarkEnd w:id="187"/>
      <w:bookmarkEnd w:id="188"/>
      <w:bookmarkEnd w:id="189"/>
      <w:bookmarkEnd w:id="190"/>
      <w:bookmarkEnd w:id="191"/>
      <w:bookmarkEnd w:id="192"/>
    </w:p>
    <w:p w14:paraId="186361C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生命末期阶段从用户处置或丢弃</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开始，到</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以废弃物形式进入自然环境或回收进入另一产品的生命周期（即作为回收输入）时结束。主要包括以下过程：</w:t>
      </w:r>
    </w:p>
    <w:p w14:paraId="3C49981C">
      <w:pPr>
        <w:keepNext w:val="0"/>
        <w:keepLines w:val="0"/>
        <w:pageBreakBefore w:val="0"/>
        <w:widowControl w:val="0"/>
        <w:numPr>
          <w:ilvl w:val="0"/>
          <w:numId w:val="32"/>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bookmarkStart w:id="193" w:name="_Toc19167"/>
      <w:bookmarkStart w:id="194" w:name="_Toc3082"/>
      <w:bookmarkStart w:id="195" w:name="_Toc8342"/>
      <w:r>
        <w:rPr>
          <w:rFonts w:hint="default" w:ascii="Times New Roman" w:hAnsi="Times New Roman" w:cs="Times New Roman"/>
          <w:sz w:val="21"/>
          <w:szCs w:val="21"/>
          <w:highlight w:val="none"/>
          <w:lang w:val="en-US" w:eastAsia="zh-CN"/>
        </w:rPr>
        <w:t>铁芯</w:t>
      </w:r>
      <w:r>
        <w:rPr>
          <w:rFonts w:hint="eastAsia" w:cs="Times New Roman"/>
          <w:sz w:val="21"/>
          <w:szCs w:val="21"/>
          <w:highlight w:val="none"/>
          <w:lang w:val="en-US" w:eastAsia="zh-CN"/>
        </w:rPr>
        <w:t>、</w:t>
      </w:r>
      <w:r>
        <w:rPr>
          <w:rFonts w:hint="default" w:ascii="Times New Roman" w:hAnsi="Times New Roman" w:cs="Times New Roman"/>
          <w:sz w:val="21"/>
          <w:szCs w:val="21"/>
          <w:highlight w:val="none"/>
          <w:lang w:val="en-US" w:eastAsia="zh-CN"/>
        </w:rPr>
        <w:t>线圈</w:t>
      </w:r>
      <w:r>
        <w:rPr>
          <w:rFonts w:hint="eastAsia" w:cs="Times New Roman"/>
          <w:sz w:val="21"/>
          <w:szCs w:val="21"/>
          <w:highlight w:val="none"/>
          <w:lang w:val="en-US" w:eastAsia="zh-CN"/>
        </w:rPr>
        <w:t>及其他</w:t>
      </w:r>
      <w:r>
        <w:rPr>
          <w:rFonts w:hint="default" w:ascii="Times New Roman" w:hAnsi="Times New Roman" w:cs="Times New Roman"/>
          <w:sz w:val="21"/>
          <w:szCs w:val="21"/>
          <w:highlight w:val="none"/>
          <w:lang w:val="en-US" w:eastAsia="zh-CN"/>
        </w:rPr>
        <w:t>组部件</w:t>
      </w:r>
      <w:r>
        <w:rPr>
          <w:rFonts w:hint="eastAsia" w:cs="Times New Roman"/>
          <w:sz w:val="21"/>
          <w:szCs w:val="21"/>
          <w:highlight w:val="none"/>
          <w:lang w:val="en-US" w:eastAsia="zh-CN"/>
        </w:rPr>
        <w:t>、</w:t>
      </w:r>
      <w:r>
        <w:rPr>
          <w:rFonts w:hint="default" w:ascii="Times New Roman" w:hAnsi="Times New Roman" w:cs="Times New Roman"/>
          <w:sz w:val="21"/>
          <w:szCs w:val="21"/>
          <w:highlight w:val="none"/>
          <w:lang w:val="en-US" w:eastAsia="zh-CN"/>
        </w:rPr>
        <w:t>金属材料</w:t>
      </w:r>
      <w:r>
        <w:rPr>
          <w:rFonts w:hint="eastAsia" w:cs="Times New Roman"/>
          <w:sz w:val="21"/>
          <w:szCs w:val="21"/>
          <w:highlight w:val="none"/>
          <w:lang w:val="en-US" w:eastAsia="zh-CN"/>
        </w:rPr>
        <w:t>和</w:t>
      </w:r>
      <w:r>
        <w:rPr>
          <w:rFonts w:hint="default" w:ascii="Times New Roman" w:hAnsi="Times New Roman" w:cs="Times New Roman"/>
          <w:sz w:val="21"/>
          <w:szCs w:val="21"/>
          <w:highlight w:val="none"/>
          <w:lang w:val="en-US" w:eastAsia="zh-CN"/>
        </w:rPr>
        <w:t>固体绝缘材料（含工程塑料）回收处理。</w:t>
      </w:r>
    </w:p>
    <w:p w14:paraId="569FD00E">
      <w:pPr>
        <w:numPr>
          <w:ilvl w:val="0"/>
          <w:numId w:val="32"/>
        </w:numPr>
        <w:snapToGrid/>
        <w:ind w:firstLine="420" w:firstLineChars="200"/>
        <w:rPr>
          <w:rFonts w:hint="default" w:ascii="Times New Roman" w:hAnsi="Times New Roman" w:eastAsia="黑体" w:cs="Times New Roman"/>
          <w:sz w:val="21"/>
          <w:szCs w:val="21"/>
          <w:highlight w:val="none"/>
          <w:lang w:val="en-US" w:eastAsia="zh-CN"/>
        </w:rPr>
      </w:pPr>
      <w:r>
        <w:rPr>
          <w:rFonts w:hint="default" w:ascii="Times New Roman" w:hAnsi="Times New Roman" w:cs="Times New Roman"/>
          <w:sz w:val="21"/>
          <w:szCs w:val="21"/>
          <w:highlight w:val="none"/>
          <w:lang w:val="en-US" w:eastAsia="zh-CN"/>
        </w:rPr>
        <w:t>废弃物处理过程，</w:t>
      </w:r>
      <w:r>
        <w:rPr>
          <w:rFonts w:hint="default" w:ascii="Times New Roman" w:hAnsi="Times New Roman" w:cs="Times New Roman"/>
          <w:szCs w:val="21"/>
          <w:highlight w:val="none"/>
          <w:lang w:val="en-US" w:eastAsia="zh-CN"/>
        </w:rPr>
        <w:t>针对</w:t>
      </w:r>
      <w:r>
        <w:rPr>
          <w:rFonts w:hint="default" w:ascii="Times New Roman" w:hAnsi="Times New Roman" w:cs="Times New Roman"/>
          <w:szCs w:val="21"/>
          <w:highlight w:val="none"/>
        </w:rPr>
        <w:t>本阶段产生的废</w:t>
      </w:r>
      <w:r>
        <w:rPr>
          <w:rFonts w:hint="default" w:ascii="Times New Roman" w:hAnsi="Times New Roman" w:cs="Times New Roman"/>
          <w:szCs w:val="21"/>
          <w:highlight w:val="none"/>
          <w:lang w:val="en-US" w:eastAsia="zh-CN"/>
        </w:rPr>
        <w:t>弃</w:t>
      </w:r>
      <w:r>
        <w:rPr>
          <w:rFonts w:hint="default" w:ascii="Times New Roman" w:hAnsi="Times New Roman" w:cs="Times New Roman"/>
          <w:szCs w:val="21"/>
          <w:highlight w:val="none"/>
        </w:rPr>
        <w:t>物</w:t>
      </w:r>
      <w:r>
        <w:rPr>
          <w:rFonts w:hint="default" w:ascii="Times New Roman" w:hAnsi="Times New Roman" w:cs="Times New Roman"/>
          <w:szCs w:val="21"/>
          <w:highlight w:val="none"/>
          <w:lang w:val="en-US" w:eastAsia="zh-CN"/>
        </w:rPr>
        <w:t>进行处理</w:t>
      </w:r>
      <w:r>
        <w:rPr>
          <w:rFonts w:hint="default" w:ascii="Times New Roman" w:hAnsi="Times New Roman" w:cs="Times New Roman"/>
          <w:sz w:val="21"/>
          <w:szCs w:val="21"/>
          <w:highlight w:val="none"/>
          <w:lang w:val="en-US" w:eastAsia="zh-CN"/>
        </w:rPr>
        <w:t>。</w:t>
      </w:r>
    </w:p>
    <w:p w14:paraId="08FB3493">
      <w:pPr>
        <w:spacing w:before="157" w:beforeLines="50" w:after="157" w:afterLines="50"/>
        <w:outlineLvl w:val="0"/>
        <w:rPr>
          <w:rFonts w:ascii="Times New Roman" w:hAnsi="Times New Roman" w:eastAsia="黑体" w:cs="Times New Roman"/>
          <w:szCs w:val="21"/>
          <w:highlight w:val="none"/>
        </w:rPr>
      </w:pPr>
      <w:bookmarkStart w:id="196" w:name="_Toc4801"/>
      <w:r>
        <w:rPr>
          <w:rFonts w:hint="eastAsia" w:ascii="Times New Roman" w:hAnsi="Times New Roman" w:eastAsia="黑体" w:cs="Times New Roman"/>
          <w:szCs w:val="21"/>
          <w:highlight w:val="none"/>
          <w:lang w:val="en-US" w:eastAsia="zh-CN"/>
        </w:rPr>
        <w:t xml:space="preserve">6 </w:t>
      </w:r>
      <w:r>
        <w:rPr>
          <w:rFonts w:hint="default" w:ascii="Times New Roman" w:hAnsi="Times New Roman" w:eastAsia="黑体" w:cs="Times New Roman"/>
          <w:szCs w:val="21"/>
          <w:highlight w:val="none"/>
        </w:rPr>
        <w:t>取舍准则</w:t>
      </w:r>
      <w:bookmarkEnd w:id="126"/>
      <w:bookmarkEnd w:id="127"/>
      <w:bookmarkEnd w:id="128"/>
      <w:bookmarkEnd w:id="193"/>
      <w:bookmarkEnd w:id="194"/>
      <w:bookmarkEnd w:id="195"/>
      <w:bookmarkEnd w:id="196"/>
    </w:p>
    <w:p w14:paraId="790C89AB">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 xml:space="preserve">6.1 </w:t>
      </w:r>
      <w:r>
        <w:rPr>
          <w:rFonts w:hint="eastAsia" w:cs="Times New Roman"/>
          <w:sz w:val="21"/>
          <w:szCs w:val="21"/>
          <w:highlight w:val="none"/>
          <w:lang w:val="en-US" w:eastAsia="zh-CN"/>
        </w:rPr>
        <w:t>生产变压器涉及的</w:t>
      </w:r>
      <w:r>
        <w:rPr>
          <w:rFonts w:hint="default" w:ascii="Times New Roman" w:hAnsi="Times New Roman" w:cs="Times New Roman"/>
          <w:sz w:val="21"/>
          <w:szCs w:val="21"/>
          <w:highlight w:val="none"/>
          <w:lang w:val="en-US" w:eastAsia="zh-CN"/>
        </w:rPr>
        <w:t>固定资产和设备制造过程，可以舍去。</w:t>
      </w:r>
    </w:p>
    <w:p w14:paraId="2A290C35">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6.</w:t>
      </w:r>
      <w:r>
        <w:rPr>
          <w:rFonts w:hint="eastAsia" w:cs="Times New Roman"/>
          <w:sz w:val="21"/>
          <w:szCs w:val="21"/>
          <w:highlight w:val="none"/>
          <w:lang w:val="en-US" w:eastAsia="zh-CN"/>
        </w:rPr>
        <w:t>2</w:t>
      </w:r>
      <w:r>
        <w:rPr>
          <w:rFonts w:hint="default" w:ascii="Times New Roman" w:hAnsi="Times New Roman" w:cs="Times New Roman"/>
          <w:sz w:val="21"/>
          <w:szCs w:val="21"/>
          <w:highlight w:val="none"/>
          <w:lang w:val="en-US" w:eastAsia="zh-CN"/>
        </w:rPr>
        <w:t xml:space="preserve"> 与</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制造过程无直接关系的办公室供暖和照明、二次服务、销售流程、行政和研究部门的用电可以舍去。</w:t>
      </w:r>
    </w:p>
    <w:p w14:paraId="1D80E0AF">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6.</w:t>
      </w:r>
      <w:r>
        <w:rPr>
          <w:rFonts w:hint="eastAsia" w:cs="Times New Roman"/>
          <w:sz w:val="21"/>
          <w:szCs w:val="21"/>
          <w:highlight w:val="none"/>
          <w:lang w:val="en-US" w:eastAsia="zh-CN"/>
        </w:rPr>
        <w:t>3</w:t>
      </w:r>
      <w:r>
        <w:rPr>
          <w:rFonts w:hint="default" w:ascii="Times New Roman" w:hAnsi="Times New Roman" w:cs="Times New Roman"/>
          <w:sz w:val="21"/>
          <w:szCs w:val="21"/>
          <w:highlight w:val="none"/>
          <w:lang w:val="en-US" w:eastAsia="zh-CN"/>
        </w:rPr>
        <w:t xml:space="preserve"> 在产品碳足迹量化过程中，可舍弃产品碳足迹影响小于1%的环节，但舍弃环节总的影响不应超过产品碳足迹总量的5%。</w:t>
      </w:r>
    </w:p>
    <w:p w14:paraId="56F17144">
      <w:pPr>
        <w:spacing w:before="157" w:beforeLines="50" w:after="157" w:afterLines="50"/>
        <w:outlineLvl w:val="0"/>
        <w:rPr>
          <w:rFonts w:hint="default" w:ascii="Times New Roman" w:hAnsi="Times New Roman" w:eastAsia="黑体" w:cs="Times New Roman"/>
          <w:sz w:val="21"/>
          <w:szCs w:val="21"/>
          <w:highlight w:val="none"/>
          <w:lang w:val="en-US" w:eastAsia="zh-CN"/>
        </w:rPr>
      </w:pPr>
      <w:bookmarkStart w:id="197" w:name="_Toc8935"/>
      <w:bookmarkStart w:id="198" w:name="_Toc3128"/>
      <w:bookmarkStart w:id="199" w:name="_Toc30798"/>
      <w:bookmarkStart w:id="200" w:name="_Toc27110"/>
      <w:bookmarkStart w:id="201" w:name="_Toc23973"/>
      <w:bookmarkStart w:id="202" w:name="_Toc7658"/>
      <w:bookmarkStart w:id="203" w:name="_Toc1926"/>
      <w:bookmarkStart w:id="204" w:name="_Toc820"/>
      <w:bookmarkStart w:id="205" w:name="_Toc30249"/>
      <w:bookmarkStart w:id="206" w:name="_Toc13913"/>
      <w:bookmarkStart w:id="207" w:name="_Toc5276"/>
      <w:bookmarkStart w:id="208" w:name="_Toc16694"/>
      <w:bookmarkStart w:id="209" w:name="_Toc1279"/>
      <w:bookmarkStart w:id="210" w:name="_Toc20394"/>
      <w:bookmarkStart w:id="211" w:name="_Toc12192"/>
      <w:r>
        <w:rPr>
          <w:rFonts w:hint="default" w:ascii="Times New Roman" w:hAnsi="Times New Roman" w:eastAsia="黑体" w:cs="Times New Roman"/>
          <w:sz w:val="21"/>
          <w:szCs w:val="21"/>
          <w:highlight w:val="none"/>
          <w:lang w:val="en-US" w:eastAsia="zh-CN"/>
        </w:rPr>
        <w:t xml:space="preserve">7 </w:t>
      </w:r>
      <w:bookmarkEnd w:id="197"/>
      <w:bookmarkEnd w:id="198"/>
      <w:bookmarkEnd w:id="199"/>
      <w:bookmarkEnd w:id="200"/>
      <w:bookmarkEnd w:id="201"/>
      <w:bookmarkEnd w:id="202"/>
      <w:bookmarkEnd w:id="203"/>
      <w:bookmarkEnd w:id="204"/>
      <w:r>
        <w:rPr>
          <w:rFonts w:hint="default" w:ascii="Times New Roman" w:hAnsi="Times New Roman" w:eastAsia="黑体" w:cs="Times New Roman"/>
          <w:sz w:val="21"/>
          <w:szCs w:val="21"/>
          <w:highlight w:val="none"/>
          <w:lang w:val="en-US" w:eastAsia="zh-CN"/>
        </w:rPr>
        <w:t>清单分析</w:t>
      </w:r>
      <w:bookmarkEnd w:id="205"/>
      <w:bookmarkEnd w:id="206"/>
      <w:bookmarkEnd w:id="207"/>
      <w:bookmarkEnd w:id="208"/>
      <w:bookmarkEnd w:id="209"/>
      <w:bookmarkEnd w:id="210"/>
      <w:bookmarkEnd w:id="211"/>
    </w:p>
    <w:p w14:paraId="1EB317DB">
      <w:pPr>
        <w:spacing w:before="157" w:beforeLines="50" w:after="157" w:afterLines="50"/>
        <w:outlineLvl w:val="1"/>
        <w:rPr>
          <w:rFonts w:hint="default" w:ascii="Times New Roman" w:hAnsi="Times New Roman" w:eastAsia="黑体" w:cs="Times New Roman"/>
          <w:sz w:val="21"/>
          <w:szCs w:val="21"/>
          <w:highlight w:val="none"/>
          <w:lang w:val="en-US" w:eastAsia="zh-CN"/>
        </w:rPr>
      </w:pPr>
      <w:bookmarkStart w:id="212" w:name="_Toc4445"/>
      <w:bookmarkStart w:id="213" w:name="_Toc9718"/>
      <w:bookmarkStart w:id="214" w:name="_Toc12078"/>
      <w:bookmarkStart w:id="215" w:name="_Toc16405"/>
      <w:bookmarkStart w:id="216" w:name="_Toc29246"/>
      <w:bookmarkStart w:id="217" w:name="_Toc31021"/>
      <w:bookmarkStart w:id="218" w:name="_Toc16646"/>
      <w:bookmarkStart w:id="219" w:name="_Toc11121"/>
      <w:bookmarkStart w:id="220" w:name="_Toc16790"/>
      <w:bookmarkStart w:id="221" w:name="_Toc14800"/>
      <w:bookmarkStart w:id="222" w:name="_Toc16069"/>
      <w:bookmarkStart w:id="223" w:name="_Toc22651"/>
      <w:bookmarkStart w:id="224" w:name="_Toc15923"/>
      <w:bookmarkStart w:id="225" w:name="_Toc7217"/>
      <w:bookmarkStart w:id="226" w:name="_Toc27329"/>
      <w:r>
        <w:rPr>
          <w:rFonts w:hint="default" w:ascii="Times New Roman" w:hAnsi="Times New Roman" w:eastAsia="黑体" w:cs="Times New Roman"/>
          <w:sz w:val="21"/>
          <w:szCs w:val="21"/>
          <w:highlight w:val="none"/>
          <w:lang w:val="en-US" w:eastAsia="zh-CN"/>
        </w:rPr>
        <w:t>7.1 数据收集</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48614198">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227" w:name="_Toc17039"/>
      <w:bookmarkStart w:id="228" w:name="_Toc9460"/>
      <w:bookmarkStart w:id="229" w:name="_Toc3658"/>
      <w:bookmarkStart w:id="230" w:name="_Toc25190"/>
      <w:r>
        <w:rPr>
          <w:rFonts w:hint="default" w:ascii="Times New Roman" w:hAnsi="Times New Roman" w:eastAsia="黑体" w:cs="Times New Roman"/>
          <w:sz w:val="21"/>
          <w:szCs w:val="21"/>
          <w:highlight w:val="none"/>
          <w:lang w:val="en-US" w:eastAsia="zh-CN"/>
        </w:rPr>
        <w:t>7.1.1 基本要求</w:t>
      </w:r>
      <w:bookmarkEnd w:id="227"/>
      <w:bookmarkEnd w:id="228"/>
      <w:bookmarkEnd w:id="229"/>
      <w:bookmarkEnd w:id="230"/>
    </w:p>
    <w:p w14:paraId="7472FD9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应全面收集</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系统边界内所有流程或单元过程的活动数据和基本流数据。数据收集过程中应优先收集初级数据，若初级数据无法获得，可选择次级数据。</w:t>
      </w:r>
    </w:p>
    <w:p w14:paraId="39D59CF7">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231" w:name="_Toc23678"/>
      <w:bookmarkStart w:id="232" w:name="_Toc29574"/>
      <w:bookmarkStart w:id="233" w:name="_Toc5139"/>
      <w:bookmarkStart w:id="234" w:name="_Toc2646"/>
      <w:bookmarkStart w:id="235" w:name="_Toc1309"/>
      <w:bookmarkStart w:id="236" w:name="_Toc13"/>
      <w:r>
        <w:rPr>
          <w:rFonts w:hint="default" w:ascii="Times New Roman" w:hAnsi="Times New Roman" w:eastAsia="黑体" w:cs="Times New Roman"/>
          <w:sz w:val="21"/>
          <w:szCs w:val="21"/>
          <w:highlight w:val="none"/>
          <w:lang w:val="en-US" w:eastAsia="zh-CN"/>
        </w:rPr>
        <w:t>7.1.2 原材料获取阶段</w:t>
      </w:r>
      <w:bookmarkEnd w:id="231"/>
      <w:bookmarkEnd w:id="232"/>
      <w:bookmarkEnd w:id="233"/>
      <w:bookmarkEnd w:id="234"/>
      <w:bookmarkEnd w:id="235"/>
      <w:bookmarkEnd w:id="236"/>
    </w:p>
    <w:p w14:paraId="25B5027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原材料获取阶段涉及的以下单元过程应收集初级数据：</w:t>
      </w:r>
      <w:r>
        <w:rPr>
          <w:rFonts w:hint="eastAsia" w:cs="Times New Roman"/>
          <w:sz w:val="21"/>
          <w:szCs w:val="21"/>
          <w:highlight w:val="none"/>
          <w:lang w:val="en-US" w:eastAsia="zh-CN"/>
        </w:rPr>
        <w:t>铁芯</w:t>
      </w:r>
      <w:r>
        <w:rPr>
          <w:rFonts w:hint="default" w:ascii="Times New Roman" w:hAnsi="Times New Roman" w:cs="Times New Roman"/>
          <w:sz w:val="21"/>
          <w:szCs w:val="21"/>
          <w:highlight w:val="none"/>
          <w:lang w:val="en-US" w:eastAsia="zh-CN"/>
        </w:rPr>
        <w:t>的生产；</w:t>
      </w:r>
      <w:r>
        <w:rPr>
          <w:rFonts w:hint="eastAsia" w:cs="Times New Roman"/>
          <w:sz w:val="21"/>
          <w:szCs w:val="21"/>
          <w:highlight w:val="none"/>
          <w:lang w:val="en-US" w:eastAsia="zh-CN"/>
        </w:rPr>
        <w:t>线圈</w:t>
      </w:r>
      <w:r>
        <w:rPr>
          <w:rFonts w:hint="default" w:ascii="Times New Roman" w:hAnsi="Times New Roman" w:cs="Times New Roman"/>
          <w:sz w:val="21"/>
          <w:szCs w:val="21"/>
          <w:highlight w:val="none"/>
          <w:lang w:val="en-US" w:eastAsia="zh-CN"/>
        </w:rPr>
        <w:t>的生产；</w:t>
      </w:r>
      <w:r>
        <w:rPr>
          <w:rFonts w:hint="eastAsia" w:cs="Times New Roman"/>
          <w:sz w:val="21"/>
          <w:szCs w:val="21"/>
          <w:highlight w:val="none"/>
          <w:lang w:val="en-US" w:eastAsia="zh-CN"/>
        </w:rPr>
        <w:t>钢材</w:t>
      </w:r>
      <w:r>
        <w:rPr>
          <w:rFonts w:hint="default" w:ascii="Times New Roman" w:hAnsi="Times New Roman" w:cs="Times New Roman"/>
          <w:sz w:val="21"/>
          <w:szCs w:val="21"/>
          <w:highlight w:val="none"/>
          <w:lang w:val="en-US" w:eastAsia="zh-CN"/>
        </w:rPr>
        <w:t>的生产；</w:t>
      </w:r>
      <w:r>
        <w:rPr>
          <w:rFonts w:hint="eastAsia" w:cs="Times New Roman"/>
          <w:sz w:val="21"/>
          <w:szCs w:val="21"/>
          <w:highlight w:val="none"/>
          <w:lang w:val="en-US" w:eastAsia="zh-CN"/>
        </w:rPr>
        <w:t>绝缘液/气</w:t>
      </w:r>
      <w:r>
        <w:rPr>
          <w:rFonts w:hint="default" w:ascii="Times New Roman" w:hAnsi="Times New Roman" w:cs="Times New Roman"/>
          <w:sz w:val="21"/>
          <w:szCs w:val="21"/>
          <w:highlight w:val="none"/>
          <w:lang w:val="en-US" w:eastAsia="zh-CN"/>
        </w:rPr>
        <w:t>的生产；</w:t>
      </w:r>
      <w:r>
        <w:rPr>
          <w:rFonts w:hint="eastAsia" w:cs="Times New Roman"/>
          <w:sz w:val="21"/>
          <w:szCs w:val="21"/>
          <w:highlight w:val="none"/>
          <w:lang w:val="en-US" w:eastAsia="zh-CN"/>
        </w:rPr>
        <w:t>绝缘材料的生产；</w:t>
      </w:r>
      <w:r>
        <w:rPr>
          <w:rFonts w:hint="default" w:ascii="Times New Roman" w:hAnsi="Times New Roman" w:cs="Times New Roman"/>
          <w:sz w:val="21"/>
          <w:szCs w:val="21"/>
          <w:highlight w:val="none"/>
          <w:lang w:val="en-US" w:eastAsia="zh-CN"/>
        </w:rPr>
        <w:t>运输过程。</w:t>
      </w:r>
    </w:p>
    <w:p w14:paraId="7F3248E4">
      <w:pPr>
        <w:keepNext w:val="0"/>
        <w:keepLines w:val="0"/>
        <w:pageBreakBefore w:val="0"/>
        <w:widowControl w:val="0"/>
        <w:numPr>
          <w:ilvl w:val="-1"/>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原材料获取段涉及的以下单元过程可收集次级数据：基础原材料的提取、成型、精炼、生产等过程；废弃物处理过程。</w:t>
      </w:r>
    </w:p>
    <w:p w14:paraId="6BA963C7">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237" w:name="_Toc27937"/>
      <w:bookmarkStart w:id="238" w:name="_Toc23108"/>
      <w:bookmarkStart w:id="239" w:name="_Toc20659"/>
      <w:bookmarkStart w:id="240" w:name="_Toc31910"/>
      <w:bookmarkStart w:id="241" w:name="_Toc25123"/>
      <w:bookmarkStart w:id="242" w:name="_Toc7654"/>
      <w:r>
        <w:rPr>
          <w:rFonts w:hint="default" w:ascii="Times New Roman" w:hAnsi="Times New Roman" w:eastAsia="黑体" w:cs="Times New Roman"/>
          <w:sz w:val="21"/>
          <w:szCs w:val="21"/>
          <w:highlight w:val="none"/>
          <w:lang w:val="en-US" w:eastAsia="zh-CN"/>
        </w:rPr>
        <w:t xml:space="preserve">7.1.3 </w:t>
      </w:r>
      <w:r>
        <w:rPr>
          <w:rFonts w:hint="eastAsia" w:eastAsia="黑体" w:cs="Times New Roman"/>
          <w:sz w:val="21"/>
          <w:szCs w:val="21"/>
          <w:highlight w:val="none"/>
          <w:lang w:val="en-US" w:eastAsia="zh-CN"/>
        </w:rPr>
        <w:t>生产</w:t>
      </w:r>
      <w:r>
        <w:rPr>
          <w:rFonts w:hint="default" w:ascii="Times New Roman" w:hAnsi="Times New Roman" w:eastAsia="黑体" w:cs="Times New Roman"/>
          <w:sz w:val="21"/>
          <w:szCs w:val="21"/>
          <w:highlight w:val="none"/>
          <w:lang w:val="en-US" w:eastAsia="zh-CN"/>
        </w:rPr>
        <w:t>阶段</w:t>
      </w:r>
      <w:bookmarkEnd w:id="237"/>
      <w:bookmarkEnd w:id="238"/>
      <w:bookmarkEnd w:id="239"/>
      <w:bookmarkEnd w:id="240"/>
      <w:bookmarkEnd w:id="241"/>
      <w:bookmarkEnd w:id="242"/>
    </w:p>
    <w:p w14:paraId="362D629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生产</w:t>
      </w:r>
      <w:r>
        <w:rPr>
          <w:rFonts w:hint="default" w:ascii="Times New Roman" w:hAnsi="Times New Roman" w:cs="Times New Roman"/>
          <w:sz w:val="21"/>
          <w:szCs w:val="21"/>
          <w:highlight w:val="none"/>
          <w:lang w:val="en-US" w:eastAsia="zh-CN"/>
        </w:rPr>
        <w:t>阶段应收集初级数据的具体流程或单元过程包括：</w:t>
      </w:r>
      <w:r>
        <w:rPr>
          <w:rFonts w:hint="eastAsia" w:cs="Times New Roman"/>
          <w:sz w:val="21"/>
          <w:szCs w:val="21"/>
          <w:highlight w:val="none"/>
          <w:lang w:val="en-US" w:eastAsia="zh-CN"/>
        </w:rPr>
        <w:t>铁芯加工</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线圈加工</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组件/零部件生产</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器身装配、总装配</w:t>
      </w:r>
      <w:r>
        <w:rPr>
          <w:rFonts w:hint="default" w:ascii="Times New Roman" w:hAnsi="Times New Roman" w:cs="Times New Roman"/>
          <w:sz w:val="21"/>
          <w:szCs w:val="21"/>
          <w:highlight w:val="none"/>
          <w:lang w:val="en-US" w:eastAsia="zh-CN"/>
        </w:rPr>
        <w:t>以及运输过程。</w:t>
      </w:r>
    </w:p>
    <w:p w14:paraId="243314A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生产</w:t>
      </w:r>
      <w:r>
        <w:rPr>
          <w:rFonts w:hint="default" w:ascii="Times New Roman" w:hAnsi="Times New Roman" w:cs="Times New Roman"/>
          <w:sz w:val="21"/>
          <w:szCs w:val="21"/>
          <w:highlight w:val="none"/>
          <w:lang w:val="en-US" w:eastAsia="zh-CN"/>
        </w:rPr>
        <w:t>阶段产生废弃物的处理过程可收集次级数据。</w:t>
      </w:r>
    </w:p>
    <w:p w14:paraId="5ADA7EC6">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243" w:name="_Toc22471"/>
      <w:bookmarkStart w:id="244" w:name="_Toc26433"/>
      <w:bookmarkStart w:id="245" w:name="_Toc2920"/>
      <w:bookmarkStart w:id="246" w:name="_Toc3174"/>
      <w:bookmarkStart w:id="247" w:name="_Toc4140"/>
      <w:bookmarkStart w:id="248" w:name="_Toc30381"/>
      <w:r>
        <w:rPr>
          <w:rFonts w:hint="default" w:ascii="Times New Roman" w:hAnsi="Times New Roman" w:eastAsia="黑体" w:cs="Times New Roman"/>
          <w:sz w:val="21"/>
          <w:szCs w:val="21"/>
          <w:highlight w:val="none"/>
          <w:lang w:val="en-US" w:eastAsia="zh-CN"/>
        </w:rPr>
        <w:t>7.1.4 分销阶段</w:t>
      </w:r>
      <w:bookmarkEnd w:id="243"/>
      <w:bookmarkEnd w:id="244"/>
      <w:bookmarkEnd w:id="245"/>
      <w:bookmarkEnd w:id="246"/>
      <w:bookmarkEnd w:id="247"/>
      <w:bookmarkEnd w:id="248"/>
    </w:p>
    <w:p w14:paraId="0D4E2D00">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分销阶段涉及的每种运输方式的产品运输数量和重量以及运输公里数应收集初级数据。与运输相关的温室气体排放因子可收集次级数据。</w:t>
      </w:r>
    </w:p>
    <w:p w14:paraId="0155D5A1">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249" w:name="_Toc5696"/>
      <w:bookmarkStart w:id="250" w:name="_Toc22304"/>
      <w:bookmarkStart w:id="251" w:name="_Toc8250"/>
      <w:bookmarkStart w:id="252" w:name="_Toc30"/>
      <w:bookmarkStart w:id="253" w:name="_Toc8521"/>
      <w:bookmarkStart w:id="254" w:name="_Toc2488"/>
      <w:r>
        <w:rPr>
          <w:rFonts w:hint="default" w:ascii="Times New Roman" w:hAnsi="Times New Roman" w:eastAsia="黑体" w:cs="Times New Roman"/>
          <w:sz w:val="21"/>
          <w:szCs w:val="21"/>
          <w:highlight w:val="none"/>
          <w:lang w:val="en-US" w:eastAsia="zh-CN"/>
        </w:rPr>
        <w:t>7.1.5 使用阶段</w:t>
      </w:r>
      <w:bookmarkEnd w:id="249"/>
      <w:bookmarkEnd w:id="250"/>
      <w:bookmarkEnd w:id="251"/>
      <w:bookmarkEnd w:id="252"/>
      <w:bookmarkEnd w:id="253"/>
      <w:bookmarkEnd w:id="254"/>
    </w:p>
    <w:p w14:paraId="29AA3EBC">
      <w:pPr>
        <w:pStyle w:val="2"/>
        <w:ind w:firstLine="420" w:firstLineChars="200"/>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使用阶段涉及的</w:t>
      </w:r>
      <w:r>
        <w:rPr>
          <w:rFonts w:hint="eastAsia" w:cs="Times New Roman"/>
          <w:sz w:val="21"/>
          <w:szCs w:val="21"/>
          <w:highlight w:val="none"/>
          <w:lang w:val="en-US" w:eastAsia="zh-CN"/>
        </w:rPr>
        <w:t>安装调试用电量及燃料量、变压器</w:t>
      </w:r>
      <w:r>
        <w:rPr>
          <w:rFonts w:hint="default" w:ascii="Times New Roman" w:hAnsi="Times New Roman" w:cs="Times New Roman"/>
          <w:sz w:val="21"/>
          <w:szCs w:val="21"/>
          <w:highlight w:val="none"/>
          <w:lang w:val="en-US" w:eastAsia="zh-CN"/>
        </w:rPr>
        <w:t>生命周期可使用寿命、使用维护年消耗电量等参数，可收集</w:t>
      </w:r>
      <w:r>
        <w:rPr>
          <w:rFonts w:hint="eastAsia" w:cs="Times New Roman"/>
          <w:sz w:val="21"/>
          <w:szCs w:val="21"/>
          <w:highlight w:val="none"/>
          <w:lang w:val="en-US" w:eastAsia="zh-CN"/>
        </w:rPr>
        <w:t>初级数据或</w:t>
      </w:r>
      <w:r>
        <w:rPr>
          <w:rFonts w:hint="default" w:ascii="Times New Roman" w:hAnsi="Times New Roman" w:cs="Times New Roman"/>
          <w:sz w:val="21"/>
          <w:szCs w:val="21"/>
          <w:highlight w:val="none"/>
          <w:lang w:val="en-US" w:eastAsia="zh-CN"/>
        </w:rPr>
        <w:t>使用典型应用场景下的工况数据。与</w:t>
      </w:r>
      <w:r>
        <w:rPr>
          <w:rFonts w:hint="eastAsia" w:cs="Times New Roman"/>
          <w:sz w:val="21"/>
          <w:szCs w:val="21"/>
          <w:highlight w:val="none"/>
          <w:lang w:val="en-US" w:eastAsia="zh-CN"/>
        </w:rPr>
        <w:t>安装、调试、使用</w:t>
      </w:r>
      <w:r>
        <w:rPr>
          <w:rFonts w:hint="default" w:ascii="Times New Roman" w:hAnsi="Times New Roman" w:cs="Times New Roman"/>
          <w:sz w:val="21"/>
          <w:szCs w:val="21"/>
          <w:highlight w:val="none"/>
          <w:lang w:val="en-US" w:eastAsia="zh-CN"/>
        </w:rPr>
        <w:t>相关的温室气体排放因子可收集次级数据</w:t>
      </w:r>
      <w:r>
        <w:rPr>
          <w:rFonts w:hint="eastAsia" w:cs="Times New Roman"/>
          <w:sz w:val="21"/>
          <w:szCs w:val="21"/>
          <w:highlight w:val="none"/>
          <w:lang w:val="en-US" w:eastAsia="zh-CN"/>
        </w:rPr>
        <w:t>。</w:t>
      </w:r>
    </w:p>
    <w:p w14:paraId="15BB8075">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255" w:name="_Toc31472"/>
      <w:bookmarkStart w:id="256" w:name="_Toc19242"/>
      <w:bookmarkStart w:id="257" w:name="_Toc19686"/>
      <w:bookmarkStart w:id="258" w:name="_Toc32020"/>
      <w:bookmarkStart w:id="259" w:name="_Toc18341"/>
      <w:bookmarkStart w:id="260" w:name="_Toc32053"/>
      <w:r>
        <w:rPr>
          <w:rFonts w:hint="default" w:ascii="Times New Roman" w:hAnsi="Times New Roman" w:eastAsia="黑体" w:cs="Times New Roman"/>
          <w:sz w:val="21"/>
          <w:szCs w:val="21"/>
          <w:highlight w:val="none"/>
          <w:lang w:val="en-US" w:eastAsia="zh-CN"/>
        </w:rPr>
        <w:t>7.1.6 生命末期阶段</w:t>
      </w:r>
      <w:bookmarkEnd w:id="255"/>
      <w:bookmarkEnd w:id="256"/>
      <w:bookmarkEnd w:id="257"/>
      <w:bookmarkEnd w:id="258"/>
      <w:bookmarkEnd w:id="259"/>
      <w:bookmarkEnd w:id="260"/>
    </w:p>
    <w:p w14:paraId="76D2092F">
      <w:pPr>
        <w:pStyle w:val="2"/>
        <w:ind w:firstLine="420" w:firstLineChars="200"/>
        <w:rPr>
          <w:rFonts w:hint="default" w:ascii="Times New Roman" w:hAnsi="Times New Roman" w:cs="Times New Roman"/>
          <w:szCs w:val="21"/>
          <w:highlight w:val="none"/>
          <w:lang w:eastAsia="zh-CN"/>
        </w:rPr>
      </w:pPr>
      <w:r>
        <w:rPr>
          <w:rFonts w:hint="default" w:ascii="Times New Roman" w:hAnsi="Times New Roman" w:cs="Times New Roman"/>
          <w:szCs w:val="21"/>
          <w:highlight w:val="none"/>
          <w:lang w:val="en-US" w:eastAsia="zh-CN"/>
        </w:rPr>
        <w:t>生命末期阶段可收集次级数据</w:t>
      </w:r>
      <w:r>
        <w:rPr>
          <w:rFonts w:hint="default" w:ascii="Times New Roman" w:hAnsi="Times New Roman" w:cs="Times New Roman"/>
          <w:szCs w:val="21"/>
          <w:highlight w:val="none"/>
          <w:lang w:eastAsia="zh-CN"/>
        </w:rPr>
        <w:t>。</w:t>
      </w:r>
    </w:p>
    <w:p w14:paraId="65B9A748">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261" w:name="_Toc28550"/>
      <w:bookmarkStart w:id="262" w:name="_Toc22739"/>
      <w:bookmarkStart w:id="263" w:name="_Toc22803"/>
      <w:bookmarkStart w:id="264" w:name="_Toc19142"/>
      <w:bookmarkStart w:id="265" w:name="_Toc5681"/>
      <w:bookmarkStart w:id="266" w:name="_Toc2568"/>
      <w:r>
        <w:rPr>
          <w:rFonts w:hint="default" w:ascii="Times New Roman" w:hAnsi="Times New Roman" w:eastAsia="黑体" w:cs="Times New Roman"/>
          <w:sz w:val="21"/>
          <w:szCs w:val="21"/>
          <w:highlight w:val="none"/>
          <w:lang w:val="en-US" w:eastAsia="zh-CN"/>
        </w:rPr>
        <w:t>7.1.7 电力消耗数据收集</w:t>
      </w:r>
      <w:bookmarkEnd w:id="261"/>
      <w:bookmarkEnd w:id="262"/>
      <w:bookmarkEnd w:id="263"/>
      <w:bookmarkEnd w:id="264"/>
      <w:bookmarkEnd w:id="265"/>
      <w:bookmarkEnd w:id="266"/>
    </w:p>
    <w:p w14:paraId="796D3648">
      <w:pPr>
        <w:keepNext w:val="0"/>
        <w:keepLines w:val="0"/>
        <w:pageBreakBefore w:val="0"/>
        <w:widowControl/>
        <w:kinsoku/>
        <w:wordWrap/>
        <w:overflowPunct/>
        <w:topLinePunct w:val="0"/>
        <w:autoSpaceDE/>
        <w:autoSpaceDN/>
        <w:bidi w:val="0"/>
        <w:adjustRightInd/>
        <w:snapToGrid/>
        <w:ind w:firstLine="0" w:firstLineChars="0"/>
        <w:textAlignment w:val="auto"/>
        <w:outlineLvl w:val="3"/>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 xml:space="preserve">7.1.7.1 </w:t>
      </w:r>
      <w:r>
        <w:rPr>
          <w:rFonts w:hint="default" w:ascii="Times New Roman" w:hAnsi="Times New Roman" w:eastAsia="黑体" w:cs="Times New Roman"/>
          <w:szCs w:val="21"/>
          <w:highlight w:val="none"/>
          <w:lang w:val="en-US" w:eastAsia="zh-CN"/>
        </w:rPr>
        <w:t>概述</w:t>
      </w:r>
    </w:p>
    <w:p w14:paraId="2ACD0BF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生产过程</w:t>
      </w:r>
      <w:r>
        <w:rPr>
          <w:rFonts w:hint="default" w:ascii="Times New Roman" w:hAnsi="Times New Roman" w:eastAsia="宋体" w:cs="Times New Roman"/>
          <w:sz w:val="21"/>
          <w:szCs w:val="21"/>
          <w:highlight w:val="none"/>
          <w:lang w:val="en-US" w:eastAsia="zh-CN"/>
        </w:rPr>
        <w:t>电力消耗数据应根据产品系统边界内各单元过程实际的电力来源结构进行收集。涉及的主要场景包括：</w:t>
      </w:r>
      <w:r>
        <w:rPr>
          <w:rFonts w:hint="default" w:ascii="Times New Roman" w:hAnsi="Times New Roman" w:cs="Times New Roman"/>
          <w:sz w:val="21"/>
          <w:szCs w:val="21"/>
          <w:highlight w:val="none"/>
          <w:lang w:val="en-US" w:eastAsia="zh-CN"/>
        </w:rPr>
        <w:t>厂内自发电力、平均电力消费组合、特定供应商直供电力、剩余电力消费组合，可不考虑电压升降过程中的损耗。在电力消耗数据收集过程中应优先收集初级数据，当初级数据不可得时，可使用符合7.2要求的次级数据。</w:t>
      </w:r>
    </w:p>
    <w:p w14:paraId="19803AFB">
      <w:pPr>
        <w:keepNext w:val="0"/>
        <w:keepLines w:val="0"/>
        <w:pageBreakBefore w:val="0"/>
        <w:widowControl/>
        <w:kinsoku/>
        <w:wordWrap/>
        <w:overflowPunct/>
        <w:topLinePunct w:val="0"/>
        <w:autoSpaceDE/>
        <w:autoSpaceDN/>
        <w:bidi w:val="0"/>
        <w:adjustRightInd/>
        <w:snapToGrid/>
        <w:ind w:firstLine="0" w:firstLineChars="0"/>
        <w:textAlignment w:val="auto"/>
        <w:outlineLvl w:val="3"/>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7.1.7.2 厂内自发电力</w:t>
      </w:r>
    </w:p>
    <w:p w14:paraId="5172A1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生产过程消耗的电力由厂区内发电设施直接供应至产品生产环节时，应按照厂内自发电力情况收集初级数据。</w:t>
      </w:r>
    </w:p>
    <w:p w14:paraId="494025F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当厂内自发电力供应不足需外购电时，外购电部分的数据收集应基于电力来源按</w:t>
      </w:r>
      <w:r>
        <w:rPr>
          <w:rFonts w:hint="default" w:ascii="Times New Roman" w:hAnsi="Times New Roman" w:eastAsia="黑体" w:cs="Times New Roman"/>
          <w:sz w:val="21"/>
          <w:szCs w:val="21"/>
          <w:highlight w:val="none"/>
          <w:lang w:val="en-US" w:eastAsia="zh-CN"/>
        </w:rPr>
        <w:t>7.1.7</w:t>
      </w:r>
      <w:r>
        <w:rPr>
          <w:rFonts w:hint="default" w:ascii="Times New Roman" w:hAnsi="Times New Roman" w:cs="Times New Roman"/>
          <w:sz w:val="21"/>
          <w:szCs w:val="21"/>
          <w:highlight w:val="none"/>
          <w:lang w:val="en-US" w:eastAsia="zh-CN"/>
        </w:rPr>
        <w:t>.3至</w:t>
      </w:r>
      <w:r>
        <w:rPr>
          <w:rFonts w:hint="default" w:ascii="Times New Roman" w:hAnsi="Times New Roman" w:eastAsia="黑体" w:cs="Times New Roman"/>
          <w:sz w:val="21"/>
          <w:szCs w:val="21"/>
          <w:highlight w:val="none"/>
          <w:lang w:val="en-US" w:eastAsia="zh-CN"/>
        </w:rPr>
        <w:t>7.1.7</w:t>
      </w:r>
      <w:r>
        <w:rPr>
          <w:rFonts w:hint="default" w:ascii="Times New Roman" w:hAnsi="Times New Roman" w:cs="Times New Roman"/>
          <w:sz w:val="21"/>
          <w:szCs w:val="21"/>
          <w:highlight w:val="none"/>
          <w:lang w:val="en-US" w:eastAsia="zh-CN"/>
        </w:rPr>
        <w:t>.5的要求进行。</w:t>
      </w:r>
    </w:p>
    <w:p w14:paraId="461248C5">
      <w:pPr>
        <w:keepNext w:val="0"/>
        <w:keepLines w:val="0"/>
        <w:pageBreakBefore w:val="0"/>
        <w:widowControl w:val="0"/>
        <w:kinsoku/>
        <w:wordWrap/>
        <w:overflowPunct/>
        <w:topLinePunct w:val="0"/>
        <w:autoSpaceDE/>
        <w:autoSpaceDN/>
        <w:bidi w:val="0"/>
        <w:adjustRightInd/>
        <w:snapToGrid/>
        <w:ind w:firstLine="0" w:firstLineChars="0"/>
        <w:textAlignment w:val="auto"/>
        <w:outlineLvl w:val="3"/>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7.1.7.3 平均电力消费组合</w:t>
      </w:r>
    </w:p>
    <w:p w14:paraId="76E8DAF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生产过程消耗的电力来自电网，应按GB/T 24067-2024中6.4.9.4.4的规定收集数据。</w:t>
      </w:r>
    </w:p>
    <w:p w14:paraId="4B81AA64">
      <w:pPr>
        <w:keepNext w:val="0"/>
        <w:keepLines w:val="0"/>
        <w:pageBreakBefore w:val="0"/>
        <w:widowControl w:val="0"/>
        <w:kinsoku/>
        <w:wordWrap/>
        <w:overflowPunct/>
        <w:topLinePunct w:val="0"/>
        <w:autoSpaceDE/>
        <w:autoSpaceDN/>
        <w:bidi w:val="0"/>
        <w:adjustRightInd/>
        <w:snapToGrid/>
        <w:ind w:firstLine="0" w:firstLineChars="0"/>
        <w:textAlignment w:val="auto"/>
        <w:outlineLvl w:val="3"/>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7.1.7.4 特定供应商直供电力</w:t>
      </w:r>
    </w:p>
    <w:p w14:paraId="26459E6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Times New Roman" w:hAnsi="Times New Roman" w:eastAsia="黑体" w:cs="Times New Roman"/>
          <w:sz w:val="21"/>
          <w:szCs w:val="21"/>
          <w:highlight w:val="none"/>
          <w:lang w:val="en-US" w:eastAsia="zh-CN"/>
        </w:rPr>
      </w:pPr>
      <w:r>
        <w:rPr>
          <w:rFonts w:hint="default" w:ascii="Times New Roman" w:hAnsi="Times New Roman" w:cs="Times New Roman"/>
          <w:sz w:val="21"/>
          <w:szCs w:val="21"/>
          <w:highlight w:val="none"/>
          <w:lang w:val="en-US" w:eastAsia="zh-CN"/>
        </w:rPr>
        <w:t>生产过程消耗的电力由特定供应商通过专用输电线路供应，且所消耗的电力未向第三方出售，同时具备供电合同、缴费清单等证明文件时，可使用该电力供应商提供的经第三方核查的GHG排放因子。</w:t>
      </w:r>
    </w:p>
    <w:p w14:paraId="032883F7">
      <w:pPr>
        <w:keepNext w:val="0"/>
        <w:keepLines w:val="0"/>
        <w:pageBreakBefore w:val="0"/>
        <w:widowControl w:val="0"/>
        <w:kinsoku/>
        <w:wordWrap/>
        <w:overflowPunct/>
        <w:topLinePunct w:val="0"/>
        <w:autoSpaceDE/>
        <w:autoSpaceDN/>
        <w:bidi w:val="0"/>
        <w:adjustRightInd/>
        <w:snapToGrid/>
        <w:ind w:firstLine="0" w:firstLineChars="0"/>
        <w:textAlignment w:val="auto"/>
        <w:outlineLvl w:val="3"/>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7.1.7.5 剩余电力消费组合</w:t>
      </w:r>
    </w:p>
    <w:p w14:paraId="2A0DD92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生产过程消耗的电力涉及多种发电方式时，应按各发电方式的电力消耗量在总电力消耗量中的占比分别收集不同发电方式相关的初级或次级数据，如火电消耗占比x%，水电消耗占比y%。</w:t>
      </w:r>
    </w:p>
    <w:p w14:paraId="4FAAB02D">
      <w:pPr>
        <w:spacing w:before="157" w:beforeLines="50" w:after="157" w:afterLines="50"/>
        <w:outlineLvl w:val="1"/>
        <w:rPr>
          <w:rFonts w:hint="default" w:ascii="Times New Roman" w:hAnsi="Times New Roman" w:eastAsia="黑体" w:cs="Times New Roman"/>
          <w:sz w:val="21"/>
          <w:szCs w:val="21"/>
          <w:highlight w:val="none"/>
          <w:lang w:val="en-US" w:eastAsia="zh-CN"/>
        </w:rPr>
      </w:pPr>
      <w:bookmarkStart w:id="267" w:name="_Toc16170"/>
      <w:bookmarkStart w:id="268" w:name="_Toc12254"/>
      <w:bookmarkStart w:id="269" w:name="_Toc18246"/>
      <w:bookmarkStart w:id="270" w:name="_Toc16819"/>
      <w:bookmarkStart w:id="271" w:name="_Toc23383"/>
      <w:bookmarkStart w:id="272" w:name="_Toc20576"/>
      <w:bookmarkStart w:id="273" w:name="_Toc6142"/>
      <w:r>
        <w:rPr>
          <w:rFonts w:hint="default" w:ascii="Times New Roman" w:hAnsi="Times New Roman" w:eastAsia="黑体" w:cs="Times New Roman"/>
          <w:sz w:val="21"/>
          <w:szCs w:val="21"/>
          <w:highlight w:val="none"/>
          <w:lang w:val="en-US" w:eastAsia="zh-CN"/>
        </w:rPr>
        <w:t>7.2 数据质量要求</w:t>
      </w:r>
      <w:bookmarkEnd w:id="267"/>
      <w:bookmarkEnd w:id="268"/>
      <w:bookmarkEnd w:id="269"/>
      <w:bookmarkEnd w:id="270"/>
      <w:bookmarkEnd w:id="271"/>
      <w:bookmarkEnd w:id="272"/>
      <w:bookmarkEnd w:id="273"/>
    </w:p>
    <w:p w14:paraId="221AB942">
      <w:pPr>
        <w:outlineLvl w:val="2"/>
        <w:rPr>
          <w:rFonts w:hint="default" w:ascii="Times New Roman" w:hAnsi="Times New Roman" w:eastAsia="黑体" w:cs="Times New Roman"/>
          <w:sz w:val="21"/>
          <w:szCs w:val="21"/>
          <w:highlight w:val="none"/>
          <w:lang w:val="en-US" w:eastAsia="zh-CN"/>
        </w:rPr>
      </w:pPr>
      <w:bookmarkStart w:id="274" w:name="_Toc13285"/>
      <w:bookmarkStart w:id="275" w:name="_Toc6396"/>
      <w:bookmarkStart w:id="276" w:name="_Toc1988"/>
      <w:bookmarkStart w:id="277" w:name="_Toc23669"/>
      <w:bookmarkStart w:id="278" w:name="_Toc1066"/>
      <w:bookmarkStart w:id="279" w:name="_Toc21456"/>
      <w:r>
        <w:rPr>
          <w:rFonts w:hint="default" w:ascii="Times New Roman" w:hAnsi="Times New Roman" w:eastAsia="黑体" w:cs="Times New Roman"/>
          <w:sz w:val="21"/>
          <w:szCs w:val="21"/>
          <w:highlight w:val="none"/>
          <w:lang w:val="en-US" w:eastAsia="zh-CN"/>
        </w:rPr>
        <w:t>7.2.1 初级数据的质量要求</w:t>
      </w:r>
      <w:bookmarkEnd w:id="274"/>
      <w:bookmarkEnd w:id="275"/>
      <w:bookmarkEnd w:id="276"/>
      <w:bookmarkEnd w:id="277"/>
      <w:bookmarkEnd w:id="278"/>
      <w:bookmarkEnd w:id="279"/>
    </w:p>
    <w:p w14:paraId="1D07F42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产品碳足迹量化过程所用初级数据应满足以下要求。</w:t>
      </w:r>
    </w:p>
    <w:p w14:paraId="2BA296B5">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outlineLvl w:val="3"/>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7.2.1.1 代表性</w:t>
      </w:r>
    </w:p>
    <w:p w14:paraId="6F43A4E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应收集系统边界内单元过程产品的年度平均统计数据，优先采用最近日历年或财政年度数据。若单元过程产品生产周期不足12个月，应收集产品生产全周期或自年初至停产期间的数据。因特殊情况需缩短数据收集周期时应形成书面记录并详细说明理由，确保数据能够真实反映所评价</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产品实际生命周期各阶段情况。</w:t>
      </w:r>
    </w:p>
    <w:p w14:paraId="571ABF7C">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outlineLvl w:val="3"/>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7.2.1.2 完整性</w:t>
      </w:r>
    </w:p>
    <w:p w14:paraId="12CAA18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收集的数据应全面覆盖所评价</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产品在原材料获取、生产、分销、使用以及生命末期阶段所用全部原材料、能耗以及废弃物处理等过程数据。</w:t>
      </w:r>
    </w:p>
    <w:p w14:paraId="5C3DB50E">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outlineLvl w:val="3"/>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7.2.1.3 准确性</w:t>
      </w:r>
    </w:p>
    <w:p w14:paraId="6B9655B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原材料使用、能耗等数据应来源于单元过程产品的实际生产统计记录；环境排放数据优先采用相关环境监测报告，若环境监测报告无法获取，可通过排污因子或物料平衡公式计算获得。涉及数据分配时，应按7.3的规定，采用科学准确的分配方法并完整记录分配过程。</w:t>
      </w:r>
    </w:p>
    <w:p w14:paraId="0C8E7D2C">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outlineLvl w:val="3"/>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7.2.1.4 一致性</w:t>
      </w:r>
    </w:p>
    <w:p w14:paraId="4DBFCC1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数据收集及处理应保持数据来源、统计口径、处理规则等一致性。</w:t>
      </w:r>
    </w:p>
    <w:p w14:paraId="1F12E590">
      <w:pPr>
        <w:outlineLvl w:val="2"/>
        <w:rPr>
          <w:rFonts w:hint="default" w:ascii="Times New Roman" w:hAnsi="Times New Roman" w:eastAsia="黑体" w:cs="Times New Roman"/>
          <w:sz w:val="21"/>
          <w:szCs w:val="21"/>
          <w:highlight w:val="none"/>
          <w:lang w:val="en-US" w:eastAsia="zh-CN"/>
        </w:rPr>
      </w:pPr>
      <w:bookmarkStart w:id="280" w:name="_Toc5880"/>
      <w:bookmarkStart w:id="281" w:name="_Toc8769"/>
      <w:bookmarkStart w:id="282" w:name="_Toc7992"/>
      <w:bookmarkStart w:id="283" w:name="_Toc15051"/>
      <w:bookmarkStart w:id="284" w:name="_Toc20332"/>
      <w:bookmarkStart w:id="285" w:name="_Toc2707"/>
      <w:r>
        <w:rPr>
          <w:rFonts w:hint="default" w:ascii="Times New Roman" w:hAnsi="Times New Roman" w:eastAsia="黑体" w:cs="Times New Roman"/>
          <w:sz w:val="21"/>
          <w:szCs w:val="21"/>
          <w:highlight w:val="none"/>
          <w:lang w:val="en-US" w:eastAsia="zh-CN"/>
        </w:rPr>
        <w:t>7.2.2 次级数据的质量要求</w:t>
      </w:r>
      <w:bookmarkEnd w:id="280"/>
      <w:bookmarkEnd w:id="281"/>
      <w:bookmarkEnd w:id="282"/>
      <w:bookmarkEnd w:id="283"/>
      <w:bookmarkEnd w:id="284"/>
      <w:bookmarkEnd w:id="285"/>
    </w:p>
    <w:p w14:paraId="227102C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产品碳足迹量化过程所用次级数据应满足以下要求。</w:t>
      </w:r>
    </w:p>
    <w:p w14:paraId="5D53D820">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outlineLvl w:val="3"/>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7.2.2.1 代表性</w:t>
      </w:r>
    </w:p>
    <w:p w14:paraId="2CFE438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应优先选择能真实反映供应链实际产品碳足迹水平的数据，例如企业原材料供应商提供的、经第三方核查且符合相关产品碳足迹量化标准要求的上游产品碳足迹量化结果。若上述数据无法获得，应选择能够代表国内近年平均生产水平的产品碳足迹数据。若缺失国内数据，可选择国外同类技术数据作为次级数据。</w:t>
      </w:r>
    </w:p>
    <w:p w14:paraId="2A5E26E9">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outlineLvl w:val="3"/>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7.2.2.2 完整性</w:t>
      </w:r>
    </w:p>
    <w:p w14:paraId="5E6969A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次级数据应具备完整系统性，其系统边界应涵盖从自然资源开采至原材料产品出厂的全过程。</w:t>
      </w:r>
    </w:p>
    <w:p w14:paraId="70173DEB">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outlineLvl w:val="3"/>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7.2.2.3 一致性</w:t>
      </w:r>
    </w:p>
    <w:p w14:paraId="3A65955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对同类产品进行产品碳足迹量化时，次级数据的选择标准应保持一致，若次级数据更新，对应的产品碳足迹评价报告也应同步更新。</w:t>
      </w:r>
    </w:p>
    <w:p w14:paraId="0D4CF007">
      <w:pPr>
        <w:outlineLvl w:val="2"/>
        <w:rPr>
          <w:rFonts w:hint="default" w:ascii="Times New Roman" w:hAnsi="Times New Roman" w:eastAsia="黑体" w:cs="Times New Roman"/>
          <w:sz w:val="21"/>
          <w:szCs w:val="21"/>
          <w:highlight w:val="none"/>
          <w:lang w:val="en-US" w:eastAsia="zh-CN"/>
        </w:rPr>
      </w:pPr>
      <w:bookmarkStart w:id="286" w:name="_Toc24234"/>
      <w:bookmarkStart w:id="287" w:name="_Toc2367"/>
      <w:bookmarkStart w:id="288" w:name="_Toc5834"/>
      <w:bookmarkStart w:id="289" w:name="_Toc17006"/>
      <w:bookmarkStart w:id="290" w:name="_Toc1667"/>
      <w:bookmarkStart w:id="291" w:name="_Toc6316"/>
      <w:r>
        <w:rPr>
          <w:rFonts w:hint="default" w:ascii="Times New Roman" w:hAnsi="Times New Roman" w:eastAsia="黑体" w:cs="Times New Roman"/>
          <w:sz w:val="21"/>
          <w:szCs w:val="21"/>
          <w:highlight w:val="none"/>
          <w:lang w:val="en-US" w:eastAsia="zh-CN"/>
        </w:rPr>
        <w:t>7.2.3 数据质量评估</w:t>
      </w:r>
      <w:bookmarkEnd w:id="286"/>
      <w:bookmarkEnd w:id="287"/>
      <w:bookmarkEnd w:id="288"/>
      <w:bookmarkEnd w:id="289"/>
      <w:bookmarkEnd w:id="290"/>
      <w:bookmarkEnd w:id="291"/>
    </w:p>
    <w:p w14:paraId="0F37DF3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产品碳足迹量化过程中应对所使用的每个初级数据</w:t>
      </w:r>
      <w:r>
        <w:rPr>
          <w:rFonts w:hint="eastAsia" w:cs="Times New Roman"/>
          <w:sz w:val="21"/>
          <w:szCs w:val="21"/>
          <w:highlight w:val="none"/>
          <w:lang w:val="en-US" w:eastAsia="zh-CN"/>
        </w:rPr>
        <w:t>和次级数据</w:t>
      </w:r>
      <w:r>
        <w:rPr>
          <w:rFonts w:hint="default" w:ascii="Times New Roman" w:hAnsi="Times New Roman" w:cs="Times New Roman"/>
          <w:sz w:val="21"/>
          <w:szCs w:val="21"/>
          <w:highlight w:val="none"/>
          <w:lang w:val="en-US" w:eastAsia="zh-CN"/>
        </w:rPr>
        <w:t>进行质量评估。</w:t>
      </w:r>
      <w:r>
        <w:rPr>
          <w:rFonts w:hint="eastAsia" w:cs="Times New Roman"/>
          <w:sz w:val="21"/>
          <w:szCs w:val="21"/>
          <w:highlight w:val="none"/>
          <w:lang w:val="en-US" w:eastAsia="zh-CN"/>
        </w:rPr>
        <w:t>评估方法参照附录A</w:t>
      </w:r>
      <w:r>
        <w:rPr>
          <w:rFonts w:hint="default" w:ascii="Times New Roman" w:hAnsi="Times New Roman" w:cs="Times New Roman"/>
          <w:sz w:val="21"/>
          <w:szCs w:val="21"/>
          <w:highlight w:val="none"/>
          <w:lang w:val="en-US" w:eastAsia="zh-CN"/>
        </w:rPr>
        <w:t>。</w:t>
      </w:r>
    </w:p>
    <w:p w14:paraId="59569869">
      <w:pPr>
        <w:spacing w:before="157" w:beforeLines="50" w:after="157" w:afterLines="50"/>
        <w:outlineLvl w:val="1"/>
        <w:rPr>
          <w:rFonts w:hint="default" w:ascii="Times New Roman" w:hAnsi="Times New Roman" w:eastAsia="黑体" w:cs="Times New Roman"/>
          <w:sz w:val="21"/>
          <w:szCs w:val="21"/>
          <w:highlight w:val="none"/>
          <w:lang w:val="en-US" w:eastAsia="zh-CN"/>
        </w:rPr>
      </w:pPr>
      <w:bookmarkStart w:id="292" w:name="_Toc16169"/>
      <w:bookmarkStart w:id="293" w:name="_Toc23922"/>
      <w:bookmarkStart w:id="294" w:name="_Toc16784"/>
      <w:bookmarkStart w:id="295" w:name="_Toc1214"/>
      <w:bookmarkStart w:id="296" w:name="_Toc12635"/>
      <w:bookmarkStart w:id="297" w:name="_Toc29651"/>
      <w:bookmarkStart w:id="298" w:name="_Toc21175"/>
      <w:r>
        <w:rPr>
          <w:rFonts w:hint="default" w:ascii="Times New Roman" w:hAnsi="Times New Roman" w:eastAsia="黑体" w:cs="Times New Roman"/>
          <w:sz w:val="21"/>
          <w:szCs w:val="21"/>
          <w:highlight w:val="none"/>
          <w:lang w:val="en-US" w:eastAsia="zh-CN"/>
        </w:rPr>
        <w:t>7.3 数据分配</w:t>
      </w:r>
      <w:bookmarkEnd w:id="292"/>
      <w:bookmarkEnd w:id="293"/>
      <w:bookmarkEnd w:id="294"/>
      <w:bookmarkEnd w:id="295"/>
      <w:bookmarkEnd w:id="296"/>
      <w:bookmarkEnd w:id="297"/>
    </w:p>
    <w:p w14:paraId="44EC24A9">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outlineLvl w:val="2"/>
        <w:rPr>
          <w:rFonts w:hint="default" w:ascii="Times New Roman" w:hAnsi="Times New Roman" w:eastAsia="黑体" w:cs="Times New Roman"/>
          <w:sz w:val="21"/>
          <w:szCs w:val="21"/>
          <w:highlight w:val="none"/>
          <w:lang w:val="en-US" w:eastAsia="zh-CN"/>
        </w:rPr>
      </w:pPr>
      <w:bookmarkStart w:id="299" w:name="_Toc21493"/>
      <w:bookmarkStart w:id="300" w:name="_Toc31749"/>
      <w:bookmarkStart w:id="301" w:name="_Toc26355"/>
      <w:bookmarkStart w:id="302" w:name="_Toc30995"/>
      <w:bookmarkStart w:id="303" w:name="_Toc31726"/>
      <w:r>
        <w:rPr>
          <w:rFonts w:hint="default" w:ascii="Times New Roman" w:hAnsi="Times New Roman" w:eastAsia="黑体" w:cs="Times New Roman"/>
          <w:sz w:val="21"/>
          <w:szCs w:val="21"/>
          <w:highlight w:val="none"/>
          <w:lang w:val="en-US" w:eastAsia="zh-CN"/>
        </w:rPr>
        <w:t>7.3.1 多功能过程分配</w:t>
      </w:r>
      <w:bookmarkEnd w:id="299"/>
      <w:bookmarkEnd w:id="300"/>
      <w:bookmarkEnd w:id="301"/>
      <w:bookmarkEnd w:id="302"/>
      <w:bookmarkEnd w:id="303"/>
    </w:p>
    <w:p w14:paraId="4A8BB02C">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kern w:val="2"/>
          <w:sz w:val="21"/>
          <w:szCs w:val="21"/>
          <w:highlight w:val="none"/>
          <w:lang w:val="en-US" w:eastAsia="zh-CN" w:bidi="ar-SA"/>
        </w:rPr>
      </w:pPr>
      <w:r>
        <w:rPr>
          <w:rFonts w:hint="default" w:ascii="Times New Roman" w:hAnsi="Times New Roman" w:eastAsia="黑体" w:cs="Times New Roman"/>
          <w:sz w:val="21"/>
          <w:szCs w:val="21"/>
          <w:highlight w:val="none"/>
          <w:lang w:val="en-US" w:eastAsia="zh-CN"/>
        </w:rPr>
        <w:t>7.3</w:t>
      </w:r>
      <w:r>
        <w:rPr>
          <w:rFonts w:hint="default" w:ascii="Times New Roman" w:hAnsi="Times New Roman" w:cs="Times New Roman"/>
          <w:kern w:val="2"/>
          <w:sz w:val="21"/>
          <w:szCs w:val="21"/>
          <w:highlight w:val="none"/>
          <w:lang w:val="en-US" w:eastAsia="zh-CN" w:bidi="ar-SA"/>
        </w:rPr>
        <w:t>.1.1 通则</w:t>
      </w:r>
    </w:p>
    <w:p w14:paraId="7DAAF6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如果一个过程或设施提供多个功能，即提供多种产品或服务，则与该过程相关的所有输入和输出应分配到不同产品或服务中。</w:t>
      </w:r>
    </w:p>
    <w:p w14:paraId="4F5D54F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分配的输入和输出总和应与其分配前的输入和输出相等。</w:t>
      </w:r>
    </w:p>
    <w:p w14:paraId="60E2A83C">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7.3</w:t>
      </w:r>
      <w:r>
        <w:rPr>
          <w:rFonts w:hint="default" w:ascii="Times New Roman" w:hAnsi="Times New Roman" w:cs="Times New Roman"/>
          <w:kern w:val="2"/>
          <w:sz w:val="21"/>
          <w:szCs w:val="21"/>
          <w:highlight w:val="none"/>
          <w:lang w:val="en-US" w:eastAsia="zh-CN" w:bidi="ar-SA"/>
        </w:rPr>
        <w:t xml:space="preserve">.1.2 </w:t>
      </w:r>
      <w:r>
        <w:rPr>
          <w:rFonts w:hint="default" w:ascii="Times New Roman" w:hAnsi="Times New Roman" w:cs="Times New Roman"/>
          <w:sz w:val="21"/>
          <w:szCs w:val="21"/>
          <w:highlight w:val="none"/>
          <w:lang w:val="en-US" w:eastAsia="zh-CN"/>
        </w:rPr>
        <w:t>宜通过以下方法避免分配。</w:t>
      </w:r>
    </w:p>
    <w:p w14:paraId="7F1E5C7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kern w:val="2"/>
          <w:sz w:val="21"/>
          <w:szCs w:val="21"/>
          <w:highlight w:val="none"/>
          <w:lang w:val="en-US" w:eastAsia="zh-CN" w:bidi="ar-SA"/>
        </w:rPr>
      </w:pPr>
      <w:r>
        <w:rPr>
          <w:rFonts w:hint="default" w:ascii="Times New Roman" w:hAnsi="Times New Roman" w:eastAsia="黑体" w:cs="Times New Roman"/>
          <w:sz w:val="21"/>
          <w:szCs w:val="21"/>
          <w:highlight w:val="none"/>
          <w:lang w:val="en-US" w:eastAsia="zh-CN"/>
        </w:rPr>
        <w:t>7.3</w:t>
      </w:r>
      <w:r>
        <w:rPr>
          <w:rFonts w:hint="default" w:ascii="Times New Roman" w:hAnsi="Times New Roman" w:cs="Times New Roman"/>
          <w:kern w:val="2"/>
          <w:sz w:val="21"/>
          <w:szCs w:val="21"/>
          <w:highlight w:val="none"/>
          <w:lang w:val="en-US" w:eastAsia="zh-CN" w:bidi="ar-SA"/>
        </w:rPr>
        <w:t>.1.2.1 过程拆分法</w:t>
      </w:r>
    </w:p>
    <w:p w14:paraId="52176F15">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将拟分配的单元过程拆分为两个或多个子过程，分别收集各子过程的输入和输出数据。</w:t>
      </w:r>
    </w:p>
    <w:p w14:paraId="5557FEE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kern w:val="2"/>
          <w:sz w:val="21"/>
          <w:szCs w:val="21"/>
          <w:highlight w:val="none"/>
          <w:lang w:val="en-US" w:eastAsia="zh-CN" w:bidi="ar-SA"/>
        </w:rPr>
      </w:pPr>
      <w:r>
        <w:rPr>
          <w:rFonts w:hint="default" w:ascii="Times New Roman" w:hAnsi="Times New Roman" w:eastAsia="黑体" w:cs="Times New Roman"/>
          <w:sz w:val="21"/>
          <w:szCs w:val="21"/>
          <w:highlight w:val="none"/>
          <w:lang w:val="en-US" w:eastAsia="zh-CN"/>
        </w:rPr>
        <w:t>7.3</w:t>
      </w:r>
      <w:r>
        <w:rPr>
          <w:rFonts w:hint="default" w:ascii="Times New Roman" w:hAnsi="Times New Roman" w:cs="Times New Roman"/>
          <w:kern w:val="2"/>
          <w:sz w:val="21"/>
          <w:szCs w:val="21"/>
          <w:highlight w:val="none"/>
          <w:lang w:val="en-US" w:eastAsia="zh-CN" w:bidi="ar-SA"/>
        </w:rPr>
        <w:t>.1.2.2 系统扩展法</w:t>
      </w:r>
    </w:p>
    <w:p w14:paraId="2EDAAE5A">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扩展产品系统边界，纳入共生产品相关的额外功能。</w:t>
      </w:r>
    </w:p>
    <w:p w14:paraId="5930F4FE">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default" w:ascii="Times New Roman" w:hAnsi="Times New Roman" w:cs="Times New Roman"/>
          <w:kern w:val="2"/>
          <w:sz w:val="21"/>
          <w:szCs w:val="21"/>
          <w:highlight w:val="none"/>
          <w:lang w:val="en-US" w:eastAsia="zh-CN" w:bidi="ar-SA"/>
        </w:rPr>
      </w:pPr>
      <w:r>
        <w:rPr>
          <w:rFonts w:hint="default" w:ascii="Times New Roman" w:hAnsi="Times New Roman" w:eastAsia="黑体" w:cs="Times New Roman"/>
          <w:sz w:val="21"/>
          <w:szCs w:val="21"/>
          <w:highlight w:val="none"/>
          <w:lang w:val="en-US" w:eastAsia="zh-CN"/>
        </w:rPr>
        <w:t>7.3</w:t>
      </w:r>
      <w:r>
        <w:rPr>
          <w:rFonts w:hint="default" w:ascii="Times New Roman" w:hAnsi="Times New Roman" w:cs="Times New Roman"/>
          <w:kern w:val="2"/>
          <w:sz w:val="21"/>
          <w:szCs w:val="21"/>
          <w:highlight w:val="none"/>
          <w:lang w:val="en-US" w:eastAsia="zh-CN" w:bidi="ar-SA"/>
        </w:rPr>
        <w:t>.1.3 物理关系分配</w:t>
      </w:r>
    </w:p>
    <w:p w14:paraId="1CA1F48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若无法避免分配，应基于反映产品间物理关系的指标（如质量、能量）将系统的输入和输出数据分配到不同产品或功能中。</w:t>
      </w:r>
    </w:p>
    <w:p w14:paraId="44B76219">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default" w:ascii="Times New Roman" w:hAnsi="Times New Roman" w:cs="Times New Roman"/>
          <w:kern w:val="2"/>
          <w:sz w:val="21"/>
          <w:szCs w:val="21"/>
          <w:highlight w:val="none"/>
          <w:lang w:val="en-US" w:eastAsia="zh-CN" w:bidi="ar-SA"/>
        </w:rPr>
      </w:pPr>
      <w:r>
        <w:rPr>
          <w:rFonts w:hint="default" w:ascii="Times New Roman" w:hAnsi="Times New Roman" w:eastAsia="黑体" w:cs="Times New Roman"/>
          <w:sz w:val="21"/>
          <w:szCs w:val="21"/>
          <w:highlight w:val="none"/>
          <w:lang w:val="en-US" w:eastAsia="zh-CN"/>
        </w:rPr>
        <w:t>7.3</w:t>
      </w:r>
      <w:r>
        <w:rPr>
          <w:rFonts w:hint="default" w:ascii="Times New Roman" w:hAnsi="Times New Roman" w:cs="Times New Roman"/>
          <w:kern w:val="2"/>
          <w:sz w:val="21"/>
          <w:szCs w:val="21"/>
          <w:highlight w:val="none"/>
          <w:lang w:val="en-US" w:eastAsia="zh-CN" w:bidi="ar-SA"/>
        </w:rPr>
        <w:t>.1.4 非物理关系分配</w:t>
      </w:r>
    </w:p>
    <w:p w14:paraId="2B214E3E">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当物理关系无法建立或不适用时，可基于反映产品间非物理关系的指标，将系统的输入和输出数据分配到不同产品或功能中。例如可根据产品的经济价值按比例将输入和输出数据分配到共生产品。</w:t>
      </w:r>
    </w:p>
    <w:p w14:paraId="6D2AB443">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7.3</w:t>
      </w:r>
      <w:r>
        <w:rPr>
          <w:rFonts w:hint="default" w:ascii="Times New Roman" w:hAnsi="Times New Roman" w:cs="Times New Roman"/>
          <w:kern w:val="2"/>
          <w:sz w:val="21"/>
          <w:szCs w:val="21"/>
          <w:highlight w:val="none"/>
          <w:lang w:val="en-US" w:eastAsia="zh-CN" w:bidi="ar-SA"/>
        </w:rPr>
        <w:t xml:space="preserve">.1.5 </w:t>
      </w:r>
      <w:r>
        <w:rPr>
          <w:rFonts w:hint="default" w:ascii="Times New Roman" w:hAnsi="Times New Roman" w:cs="Times New Roman"/>
          <w:sz w:val="21"/>
          <w:szCs w:val="21"/>
          <w:highlight w:val="none"/>
          <w:lang w:val="en-US" w:eastAsia="zh-CN"/>
        </w:rPr>
        <w:t>当至少两个不同产出间的价格差异超过10倍时，使用经济价值分配。应按以下规则执行。</w:t>
      </w:r>
    </w:p>
    <w:p w14:paraId="2568563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a</w:t>
      </w:r>
      <w:r>
        <w:rPr>
          <w:rFonts w:hint="default" w:ascii="Times New Roman" w:hAnsi="Times New Roman" w:cs="Times New Roman"/>
          <w:kern w:val="2"/>
          <w:sz w:val="21"/>
          <w:szCs w:val="21"/>
          <w:highlight w:val="none"/>
          <w:lang w:val="en-US" w:eastAsia="zh-CN" w:bidi="ar-SA"/>
        </w:rPr>
        <w:t>）</w:t>
      </w:r>
      <w:r>
        <w:rPr>
          <w:rFonts w:hint="default" w:ascii="Times New Roman" w:hAnsi="Times New Roman" w:cs="Times New Roman"/>
          <w:sz w:val="21"/>
          <w:szCs w:val="21"/>
          <w:highlight w:val="none"/>
          <w:lang w:val="en-US" w:eastAsia="zh-CN"/>
        </w:rPr>
        <w:t>金属、矿石和金属盐：采用10年全球平均价格。</w:t>
      </w:r>
    </w:p>
    <w:p w14:paraId="0E7F8E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b）</w:t>
      </w:r>
      <w:r>
        <w:rPr>
          <w:rFonts w:hint="default" w:ascii="Times New Roman" w:hAnsi="Times New Roman" w:cs="Times New Roman"/>
          <w:sz w:val="21"/>
          <w:szCs w:val="21"/>
          <w:highlight w:val="none"/>
          <w:lang w:val="en-US" w:eastAsia="zh-CN"/>
        </w:rPr>
        <w:t>其他大宗商品：采用5年全球平均价格。</w:t>
      </w:r>
    </w:p>
    <w:p w14:paraId="507E4C3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c）</w:t>
      </w:r>
      <w:r>
        <w:rPr>
          <w:rFonts w:hint="default" w:ascii="Times New Roman" w:hAnsi="Times New Roman" w:cs="Times New Roman"/>
          <w:sz w:val="21"/>
          <w:szCs w:val="21"/>
          <w:highlight w:val="none"/>
          <w:lang w:val="en-US" w:eastAsia="zh-CN"/>
        </w:rPr>
        <w:t>工厂特有收入：采用5年平均值。</w:t>
      </w:r>
    </w:p>
    <w:p w14:paraId="5D6F8BB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d）</w:t>
      </w:r>
      <w:r>
        <w:rPr>
          <w:rFonts w:hint="default" w:ascii="Times New Roman" w:hAnsi="Times New Roman" w:cs="Times New Roman"/>
          <w:sz w:val="21"/>
          <w:szCs w:val="21"/>
          <w:highlight w:val="none"/>
          <w:lang w:val="en-US" w:eastAsia="zh-CN"/>
        </w:rPr>
        <w:t>回收和废物处理过程：采用5年平均处理成本。</w:t>
      </w:r>
    </w:p>
    <w:p w14:paraId="78972989">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outlineLvl w:val="2"/>
        <w:rPr>
          <w:rFonts w:hint="default" w:ascii="Times New Roman" w:hAnsi="Times New Roman" w:eastAsia="黑体" w:cs="Times New Roman"/>
          <w:sz w:val="21"/>
          <w:szCs w:val="21"/>
          <w:highlight w:val="none"/>
          <w:lang w:val="en-US" w:eastAsia="zh-CN"/>
        </w:rPr>
      </w:pPr>
      <w:bookmarkStart w:id="304" w:name="_Toc12555"/>
      <w:bookmarkStart w:id="305" w:name="_Toc29125"/>
      <w:bookmarkStart w:id="306" w:name="_Toc12846"/>
      <w:bookmarkStart w:id="307" w:name="_Toc9779"/>
      <w:bookmarkStart w:id="308" w:name="_Toc9432"/>
      <w:r>
        <w:rPr>
          <w:rFonts w:hint="default" w:ascii="Times New Roman" w:hAnsi="Times New Roman" w:eastAsia="黑体" w:cs="Times New Roman"/>
          <w:sz w:val="21"/>
          <w:szCs w:val="21"/>
          <w:highlight w:val="none"/>
          <w:lang w:val="en-US" w:eastAsia="zh-CN"/>
        </w:rPr>
        <w:t>7.3.2 生产线能源和辅助投入分配</w:t>
      </w:r>
      <w:bookmarkEnd w:id="304"/>
      <w:bookmarkEnd w:id="305"/>
      <w:bookmarkEnd w:id="306"/>
      <w:bookmarkEnd w:id="307"/>
      <w:bookmarkEnd w:id="308"/>
    </w:p>
    <w:p w14:paraId="0579DE48">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7.3</w:t>
      </w:r>
      <w:r>
        <w:rPr>
          <w:rFonts w:hint="default" w:ascii="Times New Roman" w:hAnsi="Times New Roman" w:cs="Times New Roman"/>
          <w:sz w:val="21"/>
          <w:szCs w:val="21"/>
          <w:highlight w:val="none"/>
          <w:lang w:val="en-US" w:eastAsia="zh-CN"/>
        </w:rPr>
        <w:t>.2.1 通则</w:t>
      </w:r>
    </w:p>
    <w:p w14:paraId="7F7F8F0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若工厂多条生产线共用同一计量装置（如电表），或某单元过程（如干燥室）处理来自不同生产线的产品，应对能源及辅助投入进行分配，且</w:t>
      </w:r>
      <w:r>
        <w:rPr>
          <w:rFonts w:hint="default" w:ascii="Times New Roman" w:hAnsi="Times New Roman" w:cs="Times New Roman"/>
          <w:szCs w:val="21"/>
          <w:highlight w:val="none"/>
        </w:rPr>
        <w:t>分配至各产品的能耗及辅助投入总量</w:t>
      </w:r>
      <w:r>
        <w:rPr>
          <w:rFonts w:hint="default" w:ascii="Times New Roman" w:hAnsi="Times New Roman" w:cs="Times New Roman"/>
          <w:szCs w:val="21"/>
          <w:highlight w:val="none"/>
          <w:lang w:val="en-US" w:eastAsia="zh-CN"/>
        </w:rPr>
        <w:t>应</w:t>
      </w:r>
      <w:r>
        <w:rPr>
          <w:rFonts w:hint="default" w:ascii="Times New Roman" w:hAnsi="Times New Roman" w:cs="Times New Roman"/>
          <w:szCs w:val="21"/>
          <w:highlight w:val="none"/>
        </w:rPr>
        <w:t>与实际计量的总消耗量一致</w:t>
      </w:r>
      <w:r>
        <w:rPr>
          <w:rFonts w:hint="default" w:ascii="Times New Roman" w:hAnsi="Times New Roman" w:cs="Times New Roman"/>
          <w:sz w:val="21"/>
          <w:szCs w:val="21"/>
          <w:highlight w:val="none"/>
          <w:lang w:val="en-US" w:eastAsia="zh-CN"/>
        </w:rPr>
        <w:t>。</w:t>
      </w:r>
    </w:p>
    <w:p w14:paraId="1FCAEBE1">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7.3</w:t>
      </w:r>
      <w:r>
        <w:rPr>
          <w:rFonts w:hint="default" w:ascii="Times New Roman" w:hAnsi="Times New Roman" w:cs="Times New Roman"/>
          <w:sz w:val="21"/>
          <w:szCs w:val="21"/>
          <w:highlight w:val="none"/>
          <w:lang w:val="en-US" w:eastAsia="zh-CN"/>
        </w:rPr>
        <w:t>.2.2 基于物理属性的分配</w:t>
      </w:r>
    </w:p>
    <w:p w14:paraId="65355CC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按产品质量或其他可量化的物理指标（如体积、能量密度）进行分配。</w:t>
      </w:r>
    </w:p>
    <w:p w14:paraId="3866D514">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outlineLvl w:val="2"/>
        <w:rPr>
          <w:rFonts w:hint="default" w:ascii="Times New Roman" w:hAnsi="Times New Roman" w:eastAsia="黑体" w:cs="Times New Roman"/>
          <w:sz w:val="21"/>
          <w:szCs w:val="21"/>
          <w:highlight w:val="none"/>
          <w:lang w:val="en-US" w:eastAsia="zh-CN"/>
        </w:rPr>
      </w:pPr>
      <w:bookmarkStart w:id="309" w:name="_Toc17767"/>
      <w:bookmarkStart w:id="310" w:name="_Toc24189"/>
      <w:bookmarkStart w:id="311" w:name="_Toc22496"/>
      <w:bookmarkStart w:id="312" w:name="_Toc4538"/>
      <w:r>
        <w:rPr>
          <w:rFonts w:hint="default" w:ascii="Times New Roman" w:hAnsi="Times New Roman" w:eastAsia="黑体" w:cs="Times New Roman"/>
          <w:sz w:val="21"/>
          <w:szCs w:val="21"/>
          <w:highlight w:val="none"/>
          <w:lang w:val="en-US" w:eastAsia="zh-CN"/>
        </w:rPr>
        <w:t>7.3.3 再利用和回收的分配</w:t>
      </w:r>
      <w:bookmarkEnd w:id="309"/>
      <w:bookmarkEnd w:id="310"/>
      <w:bookmarkEnd w:id="311"/>
      <w:bookmarkEnd w:id="312"/>
    </w:p>
    <w:p w14:paraId="67AA5AB1">
      <w:pPr>
        <w:pStyle w:val="2"/>
        <w:ind w:left="420" w:leftChars="200"/>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应按GB/T 24067-2024的6.4.6.3进行再利用和回收的分配。</w:t>
      </w:r>
    </w:p>
    <w:p w14:paraId="770EA2FB">
      <w:pPr>
        <w:spacing w:before="157" w:beforeLines="50" w:after="157" w:afterLines="50"/>
        <w:outlineLvl w:val="1"/>
        <w:rPr>
          <w:rFonts w:hint="default" w:ascii="Times New Roman" w:hAnsi="Times New Roman" w:eastAsia="黑体" w:cs="Times New Roman"/>
          <w:sz w:val="21"/>
          <w:szCs w:val="21"/>
          <w:highlight w:val="none"/>
          <w:lang w:val="en-US" w:eastAsia="zh-CN"/>
        </w:rPr>
      </w:pPr>
      <w:bookmarkStart w:id="313" w:name="_Toc11393"/>
      <w:bookmarkStart w:id="314" w:name="_Toc26829"/>
      <w:bookmarkStart w:id="315" w:name="_Toc17160"/>
      <w:bookmarkStart w:id="316" w:name="_Toc21044"/>
      <w:bookmarkStart w:id="317" w:name="_Toc7957"/>
      <w:bookmarkStart w:id="318" w:name="_Toc12912"/>
      <w:r>
        <w:rPr>
          <w:rFonts w:hint="default" w:ascii="Times New Roman" w:hAnsi="Times New Roman" w:eastAsia="黑体" w:cs="Times New Roman"/>
          <w:sz w:val="21"/>
          <w:szCs w:val="21"/>
          <w:highlight w:val="none"/>
          <w:lang w:val="en-US" w:eastAsia="zh-CN"/>
        </w:rPr>
        <w:t>7.4 数据确认</w:t>
      </w:r>
      <w:bookmarkEnd w:id="298"/>
      <w:bookmarkEnd w:id="313"/>
      <w:bookmarkEnd w:id="314"/>
      <w:bookmarkEnd w:id="315"/>
      <w:bookmarkEnd w:id="316"/>
      <w:bookmarkEnd w:id="317"/>
      <w:bookmarkEnd w:id="318"/>
    </w:p>
    <w:p w14:paraId="403FB8F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outlineLvl w:val="2"/>
        <w:rPr>
          <w:rFonts w:hint="default" w:ascii="Times New Roman" w:hAnsi="Times New Roman" w:eastAsia="宋体" w:cs="Times New Roman"/>
          <w:kern w:val="2"/>
          <w:sz w:val="21"/>
          <w:szCs w:val="21"/>
          <w:highlight w:val="none"/>
          <w:lang w:val="en-US" w:eastAsia="zh-CN" w:bidi="ar-SA"/>
        </w:rPr>
      </w:pPr>
      <w:bookmarkStart w:id="319" w:name="_Toc13478"/>
      <w:bookmarkStart w:id="320" w:name="_Toc30031"/>
      <w:bookmarkStart w:id="321" w:name="_Toc2515"/>
      <w:r>
        <w:rPr>
          <w:rFonts w:hint="default" w:ascii="Times New Roman" w:hAnsi="Times New Roman" w:eastAsia="黑体" w:cs="Times New Roman"/>
          <w:sz w:val="21"/>
          <w:szCs w:val="21"/>
          <w:highlight w:val="none"/>
          <w:lang w:val="en-US" w:eastAsia="zh-CN"/>
        </w:rPr>
        <w:t>7.4.</w:t>
      </w:r>
      <w:r>
        <w:rPr>
          <w:rFonts w:hint="default" w:ascii="Times New Roman" w:hAnsi="Times New Roman" w:eastAsia="黑体" w:cs="Times New Roman"/>
          <w:kern w:val="2"/>
          <w:sz w:val="21"/>
          <w:szCs w:val="21"/>
          <w:highlight w:val="none"/>
          <w:lang w:val="en-US" w:eastAsia="zh-CN" w:bidi="ar-SA"/>
        </w:rPr>
        <w:t>1 概述</w:t>
      </w:r>
      <w:bookmarkEnd w:id="319"/>
      <w:bookmarkEnd w:id="320"/>
      <w:bookmarkEnd w:id="321"/>
    </w:p>
    <w:p w14:paraId="20A773F8">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在数据收集过程中，应对数据的有效性进行全面检查。若在数据确认过程中发现明显不合理的数据，应分析原因，并进行替换处理，所替换的数据应满足7.2规定的数据质量要求。数据有效性的检查宜包括以下内容。</w:t>
      </w:r>
    </w:p>
    <w:p w14:paraId="3264ED97">
      <w:pPr>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outlineLvl w:val="2"/>
        <w:rPr>
          <w:rFonts w:hint="default" w:ascii="Times New Roman" w:hAnsi="Times New Roman" w:cs="Times New Roman"/>
          <w:sz w:val="21"/>
          <w:szCs w:val="21"/>
          <w:highlight w:val="none"/>
          <w:lang w:val="en-US" w:eastAsia="zh-CN"/>
        </w:rPr>
      </w:pPr>
      <w:bookmarkStart w:id="322" w:name="_Toc14298"/>
      <w:bookmarkStart w:id="323" w:name="_Toc19989"/>
      <w:bookmarkStart w:id="324" w:name="_Toc509"/>
      <w:bookmarkStart w:id="325" w:name="_Toc22441"/>
      <w:bookmarkStart w:id="326" w:name="_Toc4241"/>
      <w:bookmarkStart w:id="327" w:name="_Toc12333"/>
      <w:r>
        <w:rPr>
          <w:rFonts w:hint="default" w:ascii="Times New Roman" w:hAnsi="Times New Roman" w:eastAsia="黑体" w:cs="Times New Roman"/>
          <w:sz w:val="21"/>
          <w:szCs w:val="21"/>
          <w:highlight w:val="none"/>
          <w:lang w:val="en-US" w:eastAsia="zh-CN"/>
        </w:rPr>
        <w:t>7.4</w:t>
      </w:r>
      <w:r>
        <w:rPr>
          <w:rFonts w:hint="default" w:ascii="Times New Roman" w:hAnsi="Times New Roman" w:cs="Times New Roman"/>
          <w:sz w:val="21"/>
          <w:szCs w:val="21"/>
          <w:highlight w:val="none"/>
          <w:lang w:val="en-US" w:eastAsia="zh-CN"/>
        </w:rPr>
        <w:t>.2</w:t>
      </w:r>
      <w:r>
        <w:rPr>
          <w:rFonts w:hint="default" w:ascii="Times New Roman" w:hAnsi="Times New Roman" w:cs="Times New Roman"/>
          <w:kern w:val="2"/>
          <w:sz w:val="21"/>
          <w:szCs w:val="21"/>
          <w:highlight w:val="none"/>
          <w:lang w:val="en-US" w:eastAsia="zh-CN" w:bidi="ar-SA"/>
        </w:rPr>
        <w:t xml:space="preserve"> </w:t>
      </w:r>
      <w:r>
        <w:rPr>
          <w:rFonts w:hint="default" w:ascii="Times New Roman" w:hAnsi="Times New Roman" w:cs="Times New Roman"/>
          <w:sz w:val="21"/>
          <w:szCs w:val="21"/>
          <w:highlight w:val="none"/>
          <w:lang w:val="en-US" w:eastAsia="zh-CN"/>
        </w:rPr>
        <w:t>质量平衡</w:t>
      </w:r>
      <w:bookmarkEnd w:id="322"/>
      <w:bookmarkEnd w:id="323"/>
      <w:bookmarkEnd w:id="324"/>
      <w:bookmarkEnd w:id="325"/>
      <w:bookmarkEnd w:id="326"/>
      <w:bookmarkEnd w:id="327"/>
    </w:p>
    <w:p w14:paraId="619DD2FA">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验证单元过程输入的材料质量与输出的产品、副产品、固体废弃物等的质量是否平衡。</w:t>
      </w:r>
    </w:p>
    <w:p w14:paraId="463BE2E1">
      <w:pPr>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outlineLvl w:val="2"/>
        <w:rPr>
          <w:rFonts w:hint="default" w:ascii="Times New Roman" w:hAnsi="Times New Roman" w:cs="Times New Roman"/>
          <w:sz w:val="21"/>
          <w:szCs w:val="21"/>
          <w:highlight w:val="none"/>
          <w:lang w:val="en-US" w:eastAsia="zh-CN"/>
        </w:rPr>
      </w:pPr>
      <w:bookmarkStart w:id="328" w:name="_Toc25667"/>
      <w:bookmarkStart w:id="329" w:name="_Toc4819"/>
      <w:bookmarkStart w:id="330" w:name="_Toc9211"/>
      <w:bookmarkStart w:id="331" w:name="_Toc15113"/>
      <w:bookmarkStart w:id="332" w:name="_Toc4998"/>
      <w:bookmarkStart w:id="333" w:name="_Toc5752"/>
      <w:r>
        <w:rPr>
          <w:rFonts w:hint="default" w:ascii="Times New Roman" w:hAnsi="Times New Roman" w:eastAsia="黑体" w:cs="Times New Roman"/>
          <w:sz w:val="21"/>
          <w:szCs w:val="21"/>
          <w:highlight w:val="none"/>
          <w:lang w:val="en-US" w:eastAsia="zh-CN"/>
        </w:rPr>
        <w:t>7.4</w:t>
      </w:r>
      <w:r>
        <w:rPr>
          <w:rFonts w:hint="default" w:ascii="Times New Roman" w:hAnsi="Times New Roman" w:cs="Times New Roman"/>
          <w:sz w:val="21"/>
          <w:szCs w:val="21"/>
          <w:highlight w:val="none"/>
          <w:lang w:val="en-US" w:eastAsia="zh-CN"/>
        </w:rPr>
        <w:t>.3</w:t>
      </w:r>
      <w:r>
        <w:rPr>
          <w:rFonts w:hint="default" w:ascii="Times New Roman" w:hAnsi="Times New Roman" w:cs="Times New Roman"/>
          <w:kern w:val="2"/>
          <w:sz w:val="21"/>
          <w:szCs w:val="21"/>
          <w:highlight w:val="none"/>
          <w:lang w:val="en-US" w:eastAsia="zh-CN" w:bidi="ar-SA"/>
        </w:rPr>
        <w:t xml:space="preserve"> </w:t>
      </w:r>
      <w:r>
        <w:rPr>
          <w:rFonts w:hint="default" w:ascii="Times New Roman" w:hAnsi="Times New Roman" w:cs="Times New Roman"/>
          <w:sz w:val="21"/>
          <w:szCs w:val="21"/>
          <w:highlight w:val="none"/>
          <w:lang w:val="en-US" w:eastAsia="zh-CN"/>
        </w:rPr>
        <w:t>碳平衡</w:t>
      </w:r>
      <w:bookmarkEnd w:id="328"/>
      <w:bookmarkEnd w:id="329"/>
      <w:bookmarkEnd w:id="330"/>
      <w:bookmarkEnd w:id="331"/>
      <w:bookmarkEnd w:id="332"/>
      <w:bookmarkEnd w:id="333"/>
    </w:p>
    <w:p w14:paraId="25C34AE1">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核算单元过程输入的能源、原辅材料等的含碳量与输出的CO</w:t>
      </w:r>
      <w:r>
        <w:rPr>
          <w:rFonts w:hint="default" w:ascii="Times New Roman" w:hAnsi="Times New Roman" w:cs="Times New Roman"/>
          <w:sz w:val="21"/>
          <w:szCs w:val="21"/>
          <w:highlight w:val="none"/>
          <w:vertAlign w:val="subscript"/>
          <w:lang w:val="en-US" w:eastAsia="zh-CN"/>
        </w:rPr>
        <w:t>2</w:t>
      </w:r>
      <w:r>
        <w:rPr>
          <w:rFonts w:hint="default" w:ascii="Times New Roman" w:hAnsi="Times New Roman" w:cs="Times New Roman"/>
          <w:sz w:val="21"/>
          <w:szCs w:val="21"/>
          <w:highlight w:val="none"/>
          <w:lang w:val="en-US" w:eastAsia="zh-CN"/>
        </w:rPr>
        <w:t>、产品与副产品、固体废弃物等的含碳量是否平衡。</w:t>
      </w:r>
    </w:p>
    <w:p w14:paraId="35F0A214">
      <w:pPr>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outlineLvl w:val="2"/>
        <w:rPr>
          <w:rFonts w:hint="default" w:ascii="Times New Roman" w:hAnsi="Times New Roman" w:cs="Times New Roman"/>
          <w:sz w:val="21"/>
          <w:szCs w:val="21"/>
          <w:highlight w:val="none"/>
          <w:lang w:val="en-US" w:eastAsia="zh-CN"/>
        </w:rPr>
      </w:pPr>
      <w:bookmarkStart w:id="334" w:name="_Toc5130"/>
      <w:bookmarkStart w:id="335" w:name="_Toc12463"/>
      <w:bookmarkStart w:id="336" w:name="_Toc29508"/>
      <w:bookmarkStart w:id="337" w:name="_Toc23292"/>
      <w:bookmarkStart w:id="338" w:name="_Toc10077"/>
      <w:bookmarkStart w:id="339" w:name="_Toc29476"/>
      <w:r>
        <w:rPr>
          <w:rFonts w:hint="default" w:ascii="Times New Roman" w:hAnsi="Times New Roman" w:eastAsia="黑体" w:cs="Times New Roman"/>
          <w:sz w:val="21"/>
          <w:szCs w:val="21"/>
          <w:highlight w:val="none"/>
          <w:lang w:val="en-US" w:eastAsia="zh-CN"/>
        </w:rPr>
        <w:t>7.4</w:t>
      </w:r>
      <w:r>
        <w:rPr>
          <w:rFonts w:hint="default" w:ascii="Times New Roman" w:hAnsi="Times New Roman" w:cs="Times New Roman"/>
          <w:sz w:val="21"/>
          <w:szCs w:val="21"/>
          <w:highlight w:val="none"/>
          <w:lang w:val="en-US" w:eastAsia="zh-CN"/>
        </w:rPr>
        <w:t>.4</w:t>
      </w:r>
      <w:r>
        <w:rPr>
          <w:rFonts w:hint="default" w:ascii="Times New Roman" w:hAnsi="Times New Roman" w:cs="Times New Roman"/>
          <w:kern w:val="2"/>
          <w:sz w:val="21"/>
          <w:szCs w:val="21"/>
          <w:highlight w:val="none"/>
          <w:lang w:val="en-US" w:eastAsia="zh-CN" w:bidi="ar-SA"/>
        </w:rPr>
        <w:t xml:space="preserve"> </w:t>
      </w:r>
      <w:r>
        <w:rPr>
          <w:rFonts w:hint="default" w:ascii="Times New Roman" w:hAnsi="Times New Roman" w:cs="Times New Roman"/>
          <w:sz w:val="21"/>
          <w:szCs w:val="21"/>
          <w:highlight w:val="none"/>
          <w:lang w:val="en-US" w:eastAsia="zh-CN"/>
        </w:rPr>
        <w:t>工序能耗</w:t>
      </w:r>
      <w:bookmarkEnd w:id="334"/>
      <w:bookmarkEnd w:id="335"/>
      <w:bookmarkEnd w:id="336"/>
      <w:bookmarkEnd w:id="337"/>
      <w:bookmarkEnd w:id="338"/>
      <w:bookmarkEnd w:id="339"/>
    </w:p>
    <w:p w14:paraId="3CF4ED0E">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对比工序能源消耗数据与历史数据的平衡情况。</w:t>
      </w:r>
    </w:p>
    <w:p w14:paraId="59EB564B">
      <w:pPr>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outlineLvl w:val="2"/>
        <w:rPr>
          <w:rFonts w:hint="default" w:ascii="Times New Roman" w:hAnsi="Times New Roman" w:cs="Times New Roman"/>
          <w:sz w:val="21"/>
          <w:szCs w:val="21"/>
          <w:highlight w:val="none"/>
          <w:lang w:val="en-US" w:eastAsia="zh-CN"/>
        </w:rPr>
      </w:pPr>
      <w:bookmarkStart w:id="340" w:name="_Toc8574"/>
      <w:bookmarkStart w:id="341" w:name="_Toc12856"/>
      <w:bookmarkStart w:id="342" w:name="_Toc22430"/>
      <w:bookmarkStart w:id="343" w:name="_Toc5253"/>
      <w:bookmarkStart w:id="344" w:name="_Toc12725"/>
      <w:bookmarkStart w:id="345" w:name="_Toc9653"/>
      <w:r>
        <w:rPr>
          <w:rFonts w:hint="default" w:ascii="Times New Roman" w:hAnsi="Times New Roman" w:eastAsia="黑体" w:cs="Times New Roman"/>
          <w:sz w:val="21"/>
          <w:szCs w:val="21"/>
          <w:highlight w:val="none"/>
          <w:lang w:val="en-US" w:eastAsia="zh-CN"/>
        </w:rPr>
        <w:t>7.4</w:t>
      </w:r>
      <w:r>
        <w:rPr>
          <w:rFonts w:hint="default" w:ascii="Times New Roman" w:hAnsi="Times New Roman" w:cs="Times New Roman"/>
          <w:sz w:val="21"/>
          <w:szCs w:val="21"/>
          <w:highlight w:val="none"/>
          <w:lang w:val="en-US" w:eastAsia="zh-CN"/>
        </w:rPr>
        <w:t>.5</w:t>
      </w:r>
      <w:r>
        <w:rPr>
          <w:rFonts w:hint="default" w:ascii="Times New Roman" w:hAnsi="Times New Roman" w:cs="Times New Roman"/>
          <w:kern w:val="2"/>
          <w:sz w:val="21"/>
          <w:szCs w:val="21"/>
          <w:highlight w:val="none"/>
          <w:lang w:val="en-US" w:eastAsia="zh-CN" w:bidi="ar-SA"/>
        </w:rPr>
        <w:t xml:space="preserve"> </w:t>
      </w:r>
      <w:r>
        <w:rPr>
          <w:rFonts w:hint="default" w:ascii="Times New Roman" w:hAnsi="Times New Roman" w:cs="Times New Roman"/>
          <w:sz w:val="21"/>
          <w:szCs w:val="21"/>
          <w:highlight w:val="none"/>
          <w:lang w:val="en-US" w:eastAsia="zh-CN"/>
        </w:rPr>
        <w:t>水平衡</w:t>
      </w:r>
      <w:bookmarkEnd w:id="340"/>
      <w:bookmarkEnd w:id="341"/>
      <w:bookmarkEnd w:id="342"/>
      <w:bookmarkEnd w:id="343"/>
      <w:bookmarkEnd w:id="344"/>
      <w:bookmarkEnd w:id="345"/>
    </w:p>
    <w:p w14:paraId="6AE92BB7">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计算单元过程输入的水量与消耗水量及输出废水量是否平衡（适当考虑蒸发量等因素）。不平衡率（1-输出量/输入量）的绝对值应低于10%。</w:t>
      </w:r>
    </w:p>
    <w:p w14:paraId="0AFDE1E4">
      <w:pPr>
        <w:spacing w:before="157" w:beforeLines="50" w:after="157" w:afterLines="50"/>
        <w:outlineLvl w:val="1"/>
        <w:rPr>
          <w:rFonts w:hint="default" w:ascii="Times New Roman" w:hAnsi="Times New Roman" w:eastAsia="黑体" w:cs="Times New Roman"/>
          <w:sz w:val="21"/>
          <w:szCs w:val="21"/>
          <w:highlight w:val="none"/>
          <w:lang w:val="en-US" w:eastAsia="zh-CN"/>
        </w:rPr>
      </w:pPr>
      <w:bookmarkStart w:id="346" w:name="_Toc9234"/>
      <w:bookmarkStart w:id="347" w:name="_Toc10372"/>
      <w:bookmarkStart w:id="348" w:name="_Toc32311"/>
      <w:bookmarkStart w:id="349" w:name="_Toc29171"/>
      <w:bookmarkStart w:id="350" w:name="_Toc867"/>
      <w:bookmarkStart w:id="351" w:name="_Toc11560"/>
      <w:bookmarkStart w:id="352" w:name="_Toc23677"/>
      <w:r>
        <w:rPr>
          <w:rFonts w:hint="default" w:ascii="Times New Roman" w:hAnsi="Times New Roman" w:eastAsia="黑体" w:cs="Times New Roman"/>
          <w:sz w:val="21"/>
          <w:szCs w:val="21"/>
          <w:highlight w:val="none"/>
          <w:lang w:val="en-US" w:eastAsia="zh-CN"/>
        </w:rPr>
        <w:t>7.5 数据与单元过程的关联</w:t>
      </w:r>
      <w:bookmarkEnd w:id="346"/>
      <w:bookmarkEnd w:id="347"/>
      <w:bookmarkEnd w:id="348"/>
      <w:bookmarkEnd w:id="349"/>
      <w:bookmarkEnd w:id="350"/>
      <w:bookmarkEnd w:id="351"/>
      <w:bookmarkEnd w:id="352"/>
    </w:p>
    <w:p w14:paraId="0A0D3B2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当生产工序涉及多种产品产出时，应针对单个单元过程确定合适的基准流，并据此计算该单元过程的定量输入和输出数据。对于</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生产过程中涉及多产出时，应按照7.3的分配方法对单元过程数据进行分配。</w:t>
      </w:r>
    </w:p>
    <w:p w14:paraId="6C44D429">
      <w:pPr>
        <w:spacing w:before="157" w:beforeLines="50" w:after="157" w:afterLines="50"/>
        <w:outlineLvl w:val="1"/>
        <w:rPr>
          <w:rFonts w:hint="default" w:ascii="Times New Roman" w:hAnsi="Times New Roman" w:eastAsia="黑体" w:cs="Times New Roman"/>
          <w:sz w:val="21"/>
          <w:szCs w:val="21"/>
          <w:highlight w:val="none"/>
          <w:lang w:val="en-US" w:eastAsia="zh-CN"/>
        </w:rPr>
      </w:pPr>
      <w:bookmarkStart w:id="353" w:name="_Toc13112"/>
      <w:bookmarkStart w:id="354" w:name="_Toc27401"/>
      <w:bookmarkStart w:id="355" w:name="_Toc15146"/>
      <w:bookmarkStart w:id="356" w:name="_Toc4560"/>
      <w:bookmarkStart w:id="357" w:name="_Toc25874"/>
      <w:bookmarkStart w:id="358" w:name="_Toc6942"/>
      <w:bookmarkStart w:id="359" w:name="_Toc7608"/>
      <w:r>
        <w:rPr>
          <w:rFonts w:hint="default" w:ascii="Times New Roman" w:hAnsi="Times New Roman" w:eastAsia="黑体" w:cs="Times New Roman"/>
          <w:sz w:val="21"/>
          <w:szCs w:val="21"/>
          <w:highlight w:val="none"/>
          <w:lang w:val="en-US" w:eastAsia="zh-CN"/>
        </w:rPr>
        <w:t>7.6 数据与功能单位的关联</w:t>
      </w:r>
      <w:bookmarkEnd w:id="353"/>
      <w:bookmarkEnd w:id="354"/>
      <w:bookmarkEnd w:id="355"/>
      <w:bookmarkEnd w:id="356"/>
      <w:bookmarkEnd w:id="357"/>
      <w:bookmarkEnd w:id="358"/>
      <w:bookmarkEnd w:id="359"/>
    </w:p>
    <w:p w14:paraId="4619D18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highlight w:val="none"/>
          <w:lang w:val="en-US" w:eastAsia="zh-CN"/>
        </w:rPr>
        <w:t>所收集各工序或单元过程的输入输出数据应与基准流对应</w:t>
      </w:r>
      <w:r>
        <w:rPr>
          <w:rFonts w:hint="default" w:ascii="Times New Roman" w:hAnsi="Times New Roman" w:cs="Times New Roman"/>
          <w:sz w:val="21"/>
          <w:szCs w:val="21"/>
          <w:highlight w:val="none"/>
          <w:lang w:val="en-US" w:eastAsia="zh-CN"/>
        </w:rPr>
        <w:t>，得到单一功能单位对应的原辅材料消耗、能源消耗和环境排放数据。</w:t>
      </w:r>
    </w:p>
    <w:p w14:paraId="4670A482">
      <w:pPr>
        <w:spacing w:before="157" w:beforeLines="50" w:after="157" w:afterLines="50"/>
        <w:outlineLvl w:val="0"/>
        <w:rPr>
          <w:rFonts w:hint="default" w:ascii="Times New Roman" w:hAnsi="Times New Roman" w:eastAsia="黑体" w:cs="Times New Roman"/>
          <w:sz w:val="21"/>
          <w:szCs w:val="21"/>
          <w:highlight w:val="none"/>
          <w:lang w:val="en-US" w:eastAsia="zh-CN"/>
        </w:rPr>
      </w:pPr>
      <w:bookmarkStart w:id="360" w:name="_Toc24996"/>
      <w:bookmarkStart w:id="361" w:name="_Toc27189"/>
      <w:bookmarkStart w:id="362" w:name="_Toc2137"/>
      <w:bookmarkStart w:id="363" w:name="_Toc406"/>
      <w:bookmarkStart w:id="364" w:name="_Toc29108"/>
      <w:bookmarkStart w:id="365" w:name="_Toc4541"/>
      <w:bookmarkStart w:id="366" w:name="_Toc9903"/>
      <w:r>
        <w:rPr>
          <w:rFonts w:hint="default" w:ascii="Times New Roman" w:hAnsi="Times New Roman" w:eastAsia="黑体" w:cs="Times New Roman"/>
          <w:sz w:val="21"/>
          <w:szCs w:val="21"/>
          <w:highlight w:val="none"/>
          <w:lang w:val="en-US" w:eastAsia="zh-CN"/>
        </w:rPr>
        <w:t xml:space="preserve">8 </w:t>
      </w:r>
      <w:bookmarkEnd w:id="360"/>
      <w:r>
        <w:rPr>
          <w:rFonts w:hint="default" w:ascii="Times New Roman" w:hAnsi="Times New Roman" w:eastAsia="黑体" w:cs="Times New Roman"/>
          <w:sz w:val="21"/>
          <w:szCs w:val="21"/>
          <w:highlight w:val="none"/>
          <w:lang w:val="en-US" w:eastAsia="zh-CN"/>
        </w:rPr>
        <w:t>影响评价</w:t>
      </w:r>
      <w:bookmarkEnd w:id="361"/>
      <w:bookmarkEnd w:id="362"/>
      <w:bookmarkEnd w:id="363"/>
      <w:bookmarkEnd w:id="364"/>
      <w:bookmarkEnd w:id="365"/>
      <w:bookmarkEnd w:id="366"/>
    </w:p>
    <w:p w14:paraId="47928905">
      <w:pPr>
        <w:spacing w:before="157" w:beforeLines="50" w:after="157" w:afterLines="50"/>
        <w:outlineLvl w:val="1"/>
        <w:rPr>
          <w:rFonts w:hint="default" w:ascii="Times New Roman" w:hAnsi="Times New Roman" w:eastAsia="黑体" w:cs="Times New Roman"/>
          <w:sz w:val="21"/>
          <w:szCs w:val="21"/>
          <w:highlight w:val="none"/>
          <w:lang w:val="en-US" w:eastAsia="zh-CN"/>
        </w:rPr>
      </w:pPr>
      <w:bookmarkStart w:id="367" w:name="_Toc24587"/>
      <w:bookmarkStart w:id="368" w:name="_Toc7135"/>
      <w:bookmarkStart w:id="369" w:name="_Toc31145"/>
      <w:bookmarkStart w:id="370" w:name="_Toc16967"/>
      <w:bookmarkStart w:id="371" w:name="_Toc23702"/>
      <w:bookmarkStart w:id="372" w:name="_Toc11068"/>
      <w:bookmarkStart w:id="373" w:name="_Toc27211"/>
      <w:r>
        <w:rPr>
          <w:rFonts w:hint="default" w:ascii="Times New Roman" w:hAnsi="Times New Roman" w:eastAsia="黑体" w:cs="Times New Roman"/>
          <w:sz w:val="21"/>
          <w:szCs w:val="21"/>
          <w:highlight w:val="none"/>
          <w:lang w:val="en-US" w:eastAsia="zh-CN"/>
        </w:rPr>
        <w:t>8.1 产品碳足迹量化</w:t>
      </w:r>
      <w:bookmarkEnd w:id="367"/>
      <w:bookmarkEnd w:id="368"/>
      <w:bookmarkEnd w:id="369"/>
      <w:bookmarkEnd w:id="370"/>
      <w:bookmarkEnd w:id="371"/>
      <w:bookmarkEnd w:id="372"/>
    </w:p>
    <w:p w14:paraId="4364C9A7">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374" w:name="_Toc17230"/>
      <w:bookmarkStart w:id="375" w:name="_Toc21821"/>
      <w:bookmarkStart w:id="376" w:name="_Toc1223"/>
      <w:bookmarkStart w:id="377" w:name="_Toc1583"/>
      <w:bookmarkStart w:id="378" w:name="_Toc19155"/>
      <w:r>
        <w:rPr>
          <w:rFonts w:hint="default" w:ascii="Times New Roman" w:hAnsi="Times New Roman" w:eastAsia="黑体" w:cs="Times New Roman"/>
          <w:sz w:val="21"/>
          <w:szCs w:val="21"/>
          <w:highlight w:val="none"/>
          <w:lang w:val="en-US" w:eastAsia="zh-CN"/>
        </w:rPr>
        <w:t>8.1.1 碳足迹总量</w:t>
      </w:r>
      <w:bookmarkEnd w:id="373"/>
      <w:bookmarkEnd w:id="374"/>
      <w:bookmarkEnd w:id="375"/>
      <w:bookmarkEnd w:id="376"/>
      <w:bookmarkEnd w:id="377"/>
      <w:bookmarkEnd w:id="378"/>
    </w:p>
    <w:p w14:paraId="781104A5">
      <w:pPr>
        <w:pStyle w:val="2"/>
        <w:ind w:firstLine="420" w:firstLineChars="200"/>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变压器产品</w:t>
      </w:r>
      <w:r>
        <w:rPr>
          <w:rFonts w:hint="default" w:ascii="Times New Roman" w:hAnsi="Times New Roman" w:cs="Times New Roman"/>
          <w:sz w:val="21"/>
          <w:szCs w:val="21"/>
          <w:highlight w:val="none"/>
          <w:lang w:val="en-US" w:eastAsia="zh-CN"/>
        </w:rPr>
        <w:t>碳足迹总量应按式（</w:t>
      </w:r>
      <w:r>
        <w:rPr>
          <w:rFonts w:hint="eastAsia" w:cs="Times New Roman"/>
          <w:sz w:val="21"/>
          <w:szCs w:val="21"/>
          <w:highlight w:val="none"/>
          <w:lang w:val="en-US" w:eastAsia="zh-CN"/>
        </w:rPr>
        <w:t>1</w:t>
      </w:r>
      <w:r>
        <w:rPr>
          <w:rFonts w:hint="default" w:ascii="Times New Roman" w:hAnsi="Times New Roman" w:cs="Times New Roman"/>
          <w:sz w:val="21"/>
          <w:szCs w:val="21"/>
          <w:highlight w:val="none"/>
          <w:lang w:val="en-US" w:eastAsia="zh-CN"/>
        </w:rPr>
        <w:t>）计算</w:t>
      </w:r>
      <w:r>
        <w:rPr>
          <w:rFonts w:hint="eastAsia" w:cs="Times New Roman"/>
          <w:sz w:val="21"/>
          <w:szCs w:val="21"/>
          <w:highlight w:val="none"/>
          <w:lang w:val="en-US" w:eastAsia="zh-CN"/>
        </w:rPr>
        <w:t>，</w:t>
      </w:r>
      <w:r>
        <w:rPr>
          <w:rFonts w:hint="default" w:ascii="Times New Roman" w:hAnsi="Times New Roman" w:cs="Times New Roman"/>
          <w:sz w:val="21"/>
          <w:szCs w:val="21"/>
          <w:highlight w:val="none"/>
          <w:lang w:val="en-US" w:eastAsia="zh-CN"/>
        </w:rPr>
        <w:t>计算结果四舍五入至小数点后两位：</w:t>
      </w:r>
    </w:p>
    <w:tbl>
      <w:tblPr>
        <w:tblStyle w:val="8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1"/>
        <w:gridCol w:w="4930"/>
        <w:gridCol w:w="1791"/>
      </w:tblGrid>
      <w:tr w14:paraId="1973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1" w:type="dxa"/>
            <w:vAlign w:val="center"/>
          </w:tcPr>
          <w:p w14:paraId="570FFB9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4930" w:type="dxa"/>
            <w:vAlign w:val="center"/>
          </w:tcPr>
          <w:p w14:paraId="736BA96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24"/>
                <w:sz w:val="21"/>
                <w:szCs w:val="21"/>
                <w:highlight w:val="none"/>
                <w:lang w:val="en-US" w:eastAsia="zh-CN"/>
              </w:rPr>
              <w:object>
                <v:shape id="_x0000_i1025" o:spt="75" type="#_x0000_t75" style="height:31pt;width:218pt;" o:ole="t" filled="f" o:preferrelative="t" stroked="f" coordsize="21600,21600">
                  <v:path/>
                  <v:fill on="f" focussize="0,0"/>
                  <v:stroke on="f"/>
                  <v:imagedata r:id="rId25" o:title=""/>
                  <o:lock v:ext="edit" aspectratio="t"/>
                  <w10:wrap type="none"/>
                  <w10:anchorlock/>
                </v:shape>
                <o:OLEObject Type="Embed" ProgID="Equation.KSEE3" ShapeID="_x0000_i1025" DrawAspect="Content" ObjectID="_1468075725" r:id="rId24">
                  <o:LockedField>false</o:LockedField>
                </o:OLEObject>
              </w:object>
            </w:r>
          </w:p>
        </w:tc>
        <w:tc>
          <w:tcPr>
            <w:tcW w:w="1791" w:type="dxa"/>
            <w:vAlign w:val="center"/>
          </w:tcPr>
          <w:p w14:paraId="0C719AB2">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1</w:t>
            </w:r>
            <w:r>
              <w:rPr>
                <w:rFonts w:hint="default" w:ascii="Times New Roman" w:hAnsi="Times New Roman" w:cs="Times New Roman"/>
                <w:sz w:val="21"/>
                <w:szCs w:val="21"/>
                <w:highlight w:val="none"/>
                <w:lang w:val="en-US" w:eastAsia="zh-CN"/>
              </w:rPr>
              <w:t>）</w:t>
            </w:r>
          </w:p>
        </w:tc>
      </w:tr>
    </w:tbl>
    <w:p w14:paraId="6AC32D03">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4771F6A3">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CFP——</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每功能单位的碳足迹，单位为千克二氧化碳当量每</w:t>
      </w:r>
      <w:r>
        <w:rPr>
          <w:rFonts w:hint="eastAsia" w:cs="Times New Roman"/>
          <w:sz w:val="21"/>
          <w:szCs w:val="21"/>
          <w:highlight w:val="none"/>
          <w:lang w:val="en-US" w:eastAsia="zh-CN"/>
        </w:rPr>
        <w:t>台变压器</w:t>
      </w:r>
      <w:r>
        <w:rPr>
          <w:rFonts w:hint="default" w:ascii="Times New Roman" w:hAnsi="Times New Roman" w:cs="Times New Roman"/>
          <w:sz w:val="21"/>
          <w:szCs w:val="21"/>
          <w:highlight w:val="none"/>
          <w:lang w:val="en-US" w:eastAsia="zh-CN"/>
        </w:rPr>
        <w:t>（kgCO</w:t>
      </w:r>
      <w:r>
        <w:rPr>
          <w:rFonts w:hint="default" w:ascii="Times New Roman" w:hAnsi="Times New Roman" w:cs="Times New Roman"/>
          <w:sz w:val="21"/>
          <w:szCs w:val="21"/>
          <w:highlight w:val="none"/>
          <w:vertAlign w:val="subscript"/>
          <w:lang w:val="en-US" w:eastAsia="zh-CN"/>
        </w:rPr>
        <w:t>2</w:t>
      </w:r>
      <w:r>
        <w:rPr>
          <w:rFonts w:hint="default" w:ascii="Times New Roman" w:hAnsi="Times New Roman" w:cs="Times New Roman"/>
          <w:sz w:val="21"/>
          <w:szCs w:val="21"/>
          <w:highlight w:val="none"/>
          <w:lang w:val="en-US" w:eastAsia="zh-CN"/>
        </w:rPr>
        <w:t>e/</w:t>
      </w:r>
      <w:r>
        <w:rPr>
          <w:rFonts w:hint="eastAsia" w:cs="Times New Roman"/>
          <w:sz w:val="21"/>
          <w:szCs w:val="21"/>
          <w:highlight w:val="none"/>
          <w:lang w:val="en-US" w:eastAsia="zh-CN"/>
        </w:rPr>
        <w:t>台</w:t>
      </w:r>
      <w:r>
        <w:rPr>
          <w:rFonts w:hint="default" w:ascii="Times New Roman" w:hAnsi="Times New Roman" w:cs="Times New Roman"/>
          <w:sz w:val="21"/>
          <w:szCs w:val="21"/>
          <w:highlight w:val="none"/>
          <w:lang w:val="en-US" w:eastAsia="zh-CN"/>
        </w:rPr>
        <w:t>）；</w:t>
      </w:r>
    </w:p>
    <w:p w14:paraId="73BFA4D6">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CFP</w:t>
      </w:r>
      <w:r>
        <w:rPr>
          <w:rFonts w:hint="default" w:ascii="Times New Roman" w:hAnsi="Times New Roman" w:cs="Times New Roman"/>
          <w:sz w:val="21"/>
          <w:szCs w:val="21"/>
          <w:highlight w:val="none"/>
          <w:vertAlign w:val="subscript"/>
          <w:lang w:val="en-US" w:eastAsia="zh-CN"/>
        </w:rPr>
        <w:t>A</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原材料获取阶段温室气体量化结果，单位为千克二氧化碳当量（kgCO</w:t>
      </w:r>
      <w:r>
        <w:rPr>
          <w:rFonts w:hint="default" w:ascii="Times New Roman" w:hAnsi="Times New Roman" w:cs="Times New Roman"/>
          <w:sz w:val="21"/>
          <w:szCs w:val="21"/>
          <w:highlight w:val="none"/>
          <w:vertAlign w:val="subscript"/>
          <w:lang w:val="en-US" w:eastAsia="zh-CN"/>
        </w:rPr>
        <w:t>2</w:t>
      </w:r>
      <w:r>
        <w:rPr>
          <w:rFonts w:hint="default" w:ascii="Times New Roman" w:hAnsi="Times New Roman" w:cs="Times New Roman"/>
          <w:sz w:val="21"/>
          <w:szCs w:val="21"/>
          <w:highlight w:val="none"/>
          <w:lang w:val="en-US" w:eastAsia="zh-CN"/>
        </w:rPr>
        <w:t>e），计算公式见式（</w:t>
      </w:r>
      <w:r>
        <w:rPr>
          <w:rFonts w:hint="eastAsia" w:cs="Times New Roman"/>
          <w:sz w:val="21"/>
          <w:szCs w:val="21"/>
          <w:highlight w:val="none"/>
          <w:lang w:val="en-US" w:eastAsia="zh-CN"/>
        </w:rPr>
        <w:t>2</w:t>
      </w:r>
      <w:r>
        <w:rPr>
          <w:rFonts w:hint="default" w:ascii="Times New Roman" w:hAnsi="Times New Roman" w:cs="Times New Roman"/>
          <w:sz w:val="21"/>
          <w:szCs w:val="21"/>
          <w:highlight w:val="none"/>
          <w:lang w:val="en-US" w:eastAsia="zh-CN"/>
        </w:rPr>
        <w:t>）；</w:t>
      </w:r>
    </w:p>
    <w:p w14:paraId="07DC64D7">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CFP</w:t>
      </w:r>
      <w:r>
        <w:rPr>
          <w:rFonts w:hint="default" w:ascii="Times New Roman" w:hAnsi="Times New Roman" w:cs="Times New Roman"/>
          <w:sz w:val="21"/>
          <w:szCs w:val="21"/>
          <w:highlight w:val="none"/>
          <w:vertAlign w:val="subscript"/>
          <w:lang w:val="en-US" w:eastAsia="zh-CN"/>
        </w:rPr>
        <w:t>B</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变压器生产</w:t>
      </w:r>
      <w:r>
        <w:rPr>
          <w:rFonts w:hint="default" w:ascii="Times New Roman" w:hAnsi="Times New Roman" w:cs="Times New Roman"/>
          <w:sz w:val="21"/>
          <w:szCs w:val="21"/>
          <w:highlight w:val="none"/>
          <w:lang w:val="en-US" w:eastAsia="zh-CN"/>
        </w:rPr>
        <w:t>阶段温室气体量化结果，单位为千克二氧化碳当量（kgCO</w:t>
      </w:r>
      <w:r>
        <w:rPr>
          <w:rFonts w:hint="default" w:ascii="Times New Roman" w:hAnsi="Times New Roman" w:cs="Times New Roman"/>
          <w:sz w:val="21"/>
          <w:szCs w:val="21"/>
          <w:highlight w:val="none"/>
          <w:vertAlign w:val="subscript"/>
          <w:lang w:val="en-US" w:eastAsia="zh-CN"/>
        </w:rPr>
        <w:t>2</w:t>
      </w:r>
      <w:r>
        <w:rPr>
          <w:rFonts w:hint="default" w:ascii="Times New Roman" w:hAnsi="Times New Roman" w:cs="Times New Roman"/>
          <w:sz w:val="21"/>
          <w:szCs w:val="21"/>
          <w:highlight w:val="none"/>
          <w:lang w:val="en-US" w:eastAsia="zh-CN"/>
        </w:rPr>
        <w:t>e），计算公式见式（</w:t>
      </w:r>
      <w:r>
        <w:rPr>
          <w:rFonts w:hint="eastAsia" w:cs="Times New Roman"/>
          <w:sz w:val="21"/>
          <w:szCs w:val="21"/>
          <w:highlight w:val="none"/>
          <w:lang w:val="en-US" w:eastAsia="zh-CN"/>
        </w:rPr>
        <w:t>5</w:t>
      </w:r>
      <w:r>
        <w:rPr>
          <w:rFonts w:hint="default" w:ascii="Times New Roman" w:hAnsi="Times New Roman" w:cs="Times New Roman"/>
          <w:sz w:val="21"/>
          <w:szCs w:val="21"/>
          <w:highlight w:val="none"/>
          <w:lang w:val="en-US" w:eastAsia="zh-CN"/>
        </w:rPr>
        <w:t>）；</w:t>
      </w:r>
    </w:p>
    <w:p w14:paraId="25538428">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CFP</w:t>
      </w:r>
      <w:r>
        <w:rPr>
          <w:rFonts w:hint="default" w:ascii="Times New Roman" w:hAnsi="Times New Roman" w:cs="Times New Roman"/>
          <w:sz w:val="21"/>
          <w:szCs w:val="21"/>
          <w:highlight w:val="none"/>
          <w:vertAlign w:val="subscript"/>
          <w:lang w:val="en-US" w:eastAsia="zh-CN"/>
        </w:rPr>
        <w:t>C</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分销阶段温室气体量化结果，单位为千克二氧化碳当量（kgCO</w:t>
      </w:r>
      <w:r>
        <w:rPr>
          <w:rFonts w:hint="default" w:ascii="Times New Roman" w:hAnsi="Times New Roman" w:cs="Times New Roman"/>
          <w:sz w:val="21"/>
          <w:szCs w:val="21"/>
          <w:highlight w:val="none"/>
          <w:vertAlign w:val="subscript"/>
          <w:lang w:val="en-US" w:eastAsia="zh-CN"/>
        </w:rPr>
        <w:t>2</w:t>
      </w:r>
      <w:r>
        <w:rPr>
          <w:rFonts w:hint="default" w:ascii="Times New Roman" w:hAnsi="Times New Roman" w:cs="Times New Roman"/>
          <w:sz w:val="21"/>
          <w:szCs w:val="21"/>
          <w:highlight w:val="none"/>
          <w:lang w:val="en-US" w:eastAsia="zh-CN"/>
        </w:rPr>
        <w:t>e），计算公式见式（</w:t>
      </w:r>
      <w:r>
        <w:rPr>
          <w:rFonts w:hint="eastAsia" w:cs="Times New Roman"/>
          <w:sz w:val="21"/>
          <w:szCs w:val="21"/>
          <w:highlight w:val="none"/>
          <w:lang w:val="en-US" w:eastAsia="zh-CN"/>
        </w:rPr>
        <w:t>6</w:t>
      </w:r>
      <w:r>
        <w:rPr>
          <w:rFonts w:hint="default" w:ascii="Times New Roman" w:hAnsi="Times New Roman" w:cs="Times New Roman"/>
          <w:sz w:val="21"/>
          <w:szCs w:val="21"/>
          <w:highlight w:val="none"/>
          <w:lang w:val="en-US" w:eastAsia="zh-CN"/>
        </w:rPr>
        <w:t>）；</w:t>
      </w:r>
    </w:p>
    <w:p w14:paraId="2ABFAC63">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CFP</w:t>
      </w:r>
      <w:r>
        <w:rPr>
          <w:rFonts w:hint="default" w:ascii="Times New Roman" w:hAnsi="Times New Roman" w:cs="Times New Roman"/>
          <w:sz w:val="21"/>
          <w:szCs w:val="21"/>
          <w:highlight w:val="none"/>
          <w:vertAlign w:val="subscript"/>
          <w:lang w:val="en-US" w:eastAsia="zh-CN"/>
        </w:rPr>
        <w:t>D</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使用阶段温室气体量化结果，单位为千克二氧化碳当量（kgCO</w:t>
      </w:r>
      <w:r>
        <w:rPr>
          <w:rFonts w:hint="default" w:ascii="Times New Roman" w:hAnsi="Times New Roman" w:cs="Times New Roman"/>
          <w:sz w:val="21"/>
          <w:szCs w:val="21"/>
          <w:highlight w:val="none"/>
          <w:vertAlign w:val="subscript"/>
          <w:lang w:val="en-US" w:eastAsia="zh-CN"/>
        </w:rPr>
        <w:t>2</w:t>
      </w:r>
      <w:r>
        <w:rPr>
          <w:rFonts w:hint="default" w:ascii="Times New Roman" w:hAnsi="Times New Roman" w:cs="Times New Roman"/>
          <w:sz w:val="21"/>
          <w:szCs w:val="21"/>
          <w:highlight w:val="none"/>
          <w:lang w:val="en-US" w:eastAsia="zh-CN"/>
        </w:rPr>
        <w:t>e），计算公式见式（</w:t>
      </w:r>
      <w:r>
        <w:rPr>
          <w:rFonts w:hint="eastAsia" w:cs="Times New Roman"/>
          <w:sz w:val="21"/>
          <w:szCs w:val="21"/>
          <w:highlight w:val="none"/>
          <w:lang w:val="en-US" w:eastAsia="zh-CN"/>
        </w:rPr>
        <w:t>7</w:t>
      </w:r>
      <w:r>
        <w:rPr>
          <w:rFonts w:hint="default" w:ascii="Times New Roman" w:hAnsi="Times New Roman" w:cs="Times New Roman"/>
          <w:sz w:val="21"/>
          <w:szCs w:val="21"/>
          <w:highlight w:val="none"/>
          <w:lang w:val="en-US" w:eastAsia="zh-CN"/>
        </w:rPr>
        <w:t>）；</w:t>
      </w:r>
    </w:p>
    <w:p w14:paraId="2E6EBF50">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CFP</w:t>
      </w:r>
      <w:r>
        <w:rPr>
          <w:rFonts w:hint="default" w:ascii="Times New Roman" w:hAnsi="Times New Roman" w:cs="Times New Roman"/>
          <w:sz w:val="21"/>
          <w:szCs w:val="21"/>
          <w:highlight w:val="none"/>
          <w:vertAlign w:val="subscript"/>
          <w:lang w:val="en-US" w:eastAsia="zh-CN"/>
        </w:rPr>
        <w:t>E</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生命末期阶段温室气体量化结果，单位为千克二氧化碳当量（kgCO</w:t>
      </w:r>
      <w:r>
        <w:rPr>
          <w:rFonts w:hint="default" w:ascii="Times New Roman" w:hAnsi="Times New Roman" w:cs="Times New Roman"/>
          <w:sz w:val="21"/>
          <w:szCs w:val="21"/>
          <w:highlight w:val="none"/>
          <w:vertAlign w:val="subscript"/>
          <w:lang w:val="en-US" w:eastAsia="zh-CN"/>
        </w:rPr>
        <w:t>2</w:t>
      </w:r>
      <w:r>
        <w:rPr>
          <w:rFonts w:hint="default" w:ascii="Times New Roman" w:hAnsi="Times New Roman" w:cs="Times New Roman"/>
          <w:sz w:val="21"/>
          <w:szCs w:val="21"/>
          <w:highlight w:val="none"/>
          <w:lang w:val="en-US" w:eastAsia="zh-CN"/>
        </w:rPr>
        <w:t>e），计算公式见式（</w:t>
      </w:r>
      <w:r>
        <w:rPr>
          <w:rFonts w:hint="eastAsia" w:cs="Times New Roman"/>
          <w:sz w:val="21"/>
          <w:szCs w:val="21"/>
          <w:highlight w:val="none"/>
          <w:lang w:val="en-US" w:eastAsia="zh-CN"/>
        </w:rPr>
        <w:t>8</w:t>
      </w:r>
      <w:r>
        <w:rPr>
          <w:rFonts w:hint="default" w:ascii="Times New Roman" w:hAnsi="Times New Roman" w:cs="Times New Roman"/>
          <w:sz w:val="21"/>
          <w:szCs w:val="21"/>
          <w:highlight w:val="none"/>
          <w:lang w:val="en-US" w:eastAsia="zh-CN"/>
        </w:rPr>
        <w:t>）；</w:t>
      </w:r>
    </w:p>
    <w:p w14:paraId="3F3600FA">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Prod——</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vertAlign w:val="baseline"/>
          <w:lang w:val="en-US" w:eastAsia="zh-CN"/>
        </w:rPr>
        <w:t>产量，单位为个；</w:t>
      </w:r>
    </w:p>
    <w:p w14:paraId="7CDA8F4F">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379" w:name="_Toc12682"/>
      <w:bookmarkStart w:id="380" w:name="_Toc3269"/>
      <w:bookmarkStart w:id="381" w:name="_Toc18788"/>
      <w:bookmarkStart w:id="382" w:name="_Toc15479"/>
      <w:bookmarkStart w:id="383" w:name="_Toc21343"/>
      <w:bookmarkStart w:id="384" w:name="_Toc10320"/>
      <w:r>
        <w:rPr>
          <w:rFonts w:hint="default" w:ascii="Times New Roman" w:hAnsi="Times New Roman" w:eastAsia="黑体" w:cs="Times New Roman"/>
          <w:sz w:val="21"/>
          <w:szCs w:val="21"/>
          <w:highlight w:val="none"/>
          <w:lang w:val="en-US" w:eastAsia="zh-CN"/>
        </w:rPr>
        <w:t xml:space="preserve">8.1.2 </w:t>
      </w:r>
      <w:bookmarkEnd w:id="379"/>
      <w:bookmarkEnd w:id="380"/>
      <w:bookmarkEnd w:id="381"/>
      <w:bookmarkEnd w:id="382"/>
      <w:bookmarkEnd w:id="383"/>
      <w:bookmarkEnd w:id="384"/>
      <w:r>
        <w:rPr>
          <w:rFonts w:hint="eastAsia" w:eastAsia="黑体" w:cs="Times New Roman"/>
          <w:sz w:val="21"/>
          <w:szCs w:val="21"/>
          <w:highlight w:val="none"/>
          <w:lang w:val="en-US" w:eastAsia="zh-CN"/>
        </w:rPr>
        <w:t>原材料获取阶段</w:t>
      </w:r>
    </w:p>
    <w:p w14:paraId="7DB63D7A">
      <w:pPr>
        <w:pStyle w:val="2"/>
        <w:ind w:firstLine="420" w:firstLineChars="200"/>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原材料获取阶段</w:t>
      </w:r>
      <w:r>
        <w:rPr>
          <w:rFonts w:hint="default" w:ascii="Times New Roman" w:hAnsi="Times New Roman" w:cs="Times New Roman"/>
          <w:sz w:val="21"/>
          <w:szCs w:val="21"/>
          <w:highlight w:val="none"/>
          <w:lang w:val="en-US" w:eastAsia="zh-CN"/>
        </w:rPr>
        <w:t>的温室气体量化按式（</w:t>
      </w:r>
      <w:r>
        <w:rPr>
          <w:rFonts w:hint="eastAsia" w:cs="Times New Roman"/>
          <w:sz w:val="21"/>
          <w:szCs w:val="21"/>
          <w:highlight w:val="none"/>
          <w:lang w:val="en-US" w:eastAsia="zh-CN"/>
        </w:rPr>
        <w:t>2</w:t>
      </w:r>
      <w:r>
        <w:rPr>
          <w:rFonts w:hint="default" w:ascii="Times New Roman" w:hAnsi="Times New Roman" w:cs="Times New Roman"/>
          <w:sz w:val="21"/>
          <w:szCs w:val="21"/>
          <w:highlight w:val="none"/>
          <w:lang w:val="en-US" w:eastAsia="zh-CN"/>
        </w:rPr>
        <w:t>）计算，计算结果四舍五入至小数点后两位：</w:t>
      </w:r>
    </w:p>
    <w:tbl>
      <w:tblPr>
        <w:tblStyle w:val="8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9"/>
        <w:gridCol w:w="6696"/>
        <w:gridCol w:w="1287"/>
      </w:tblGrid>
      <w:tr w14:paraId="1D90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19" w:type="dxa"/>
            <w:vAlign w:val="center"/>
          </w:tcPr>
          <w:p w14:paraId="5A67946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6516" w:type="dxa"/>
            <w:vAlign w:val="center"/>
          </w:tcPr>
          <w:p w14:paraId="7F492B5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38"/>
                <w:sz w:val="21"/>
                <w:szCs w:val="21"/>
                <w:highlight w:val="none"/>
                <w:lang w:val="en-US" w:eastAsia="zh-CN"/>
              </w:rPr>
            </w:pPr>
            <w:r>
              <w:rPr>
                <w:rFonts w:hint="default" w:ascii="Times New Roman" w:hAnsi="Times New Roman" w:cs="Times New Roman"/>
                <w:position w:val="-56"/>
                <w:sz w:val="21"/>
                <w:szCs w:val="21"/>
                <w:highlight w:val="none"/>
                <w:lang w:val="en-US" w:eastAsia="zh-CN"/>
              </w:rPr>
              <w:object>
                <v:shape id="_x0000_i1026" o:spt="75" type="#_x0000_t75" style="height:83pt;width:324pt;" o:ole="t" filled="f" o:preferrelative="t" stroked="f" coordsize="21600,21600">
                  <v:path/>
                  <v:fill on="f" focussize="0,0"/>
                  <v:stroke on="f"/>
                  <v:imagedata r:id="rId27" o:title=""/>
                  <o:lock v:ext="edit" aspectratio="t"/>
                  <w10:wrap type="none"/>
                  <w10:anchorlock/>
                </v:shape>
                <o:OLEObject Type="Embed" ProgID="Equation.KSEE3" ShapeID="_x0000_i1026" DrawAspect="Content" ObjectID="_1468075726" r:id="rId26">
                  <o:LockedField>false</o:LockedField>
                </o:OLEObject>
              </w:object>
            </w:r>
          </w:p>
        </w:tc>
        <w:tc>
          <w:tcPr>
            <w:tcW w:w="1287" w:type="dxa"/>
            <w:vAlign w:val="center"/>
          </w:tcPr>
          <w:p w14:paraId="3A5F385F">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2</w:t>
            </w:r>
            <w:r>
              <w:rPr>
                <w:rFonts w:hint="default" w:ascii="Times New Roman" w:hAnsi="Times New Roman" w:cs="Times New Roman"/>
                <w:sz w:val="21"/>
                <w:szCs w:val="21"/>
                <w:highlight w:val="none"/>
                <w:lang w:val="en-US" w:eastAsia="zh-CN"/>
              </w:rPr>
              <w:t>）</w:t>
            </w:r>
          </w:p>
        </w:tc>
      </w:tr>
    </w:tbl>
    <w:p w14:paraId="7449D0AE">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33E8E417">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R——特定材料的再生材料使用比例；</w:t>
      </w:r>
    </w:p>
    <w:p w14:paraId="74F2D214">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CFP</w:t>
      </w:r>
      <w:r>
        <w:rPr>
          <w:rFonts w:hint="default" w:ascii="Times New Roman" w:hAnsi="Times New Roman" w:cs="Times New Roman"/>
          <w:sz w:val="21"/>
          <w:szCs w:val="21"/>
          <w:highlight w:val="none"/>
          <w:vertAlign w:val="subscript"/>
          <w:lang w:val="en-US" w:eastAsia="zh-CN"/>
        </w:rPr>
        <w:t>A,p</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原生材料获取阶段温室气体量化结果，单位为千克二氧化碳当量（kgCO</w:t>
      </w:r>
      <w:r>
        <w:rPr>
          <w:rFonts w:hint="default" w:ascii="Times New Roman" w:hAnsi="Times New Roman" w:cs="Times New Roman"/>
          <w:sz w:val="21"/>
          <w:szCs w:val="21"/>
          <w:highlight w:val="none"/>
          <w:vertAlign w:val="subscript"/>
          <w:lang w:val="en-US" w:eastAsia="zh-CN"/>
        </w:rPr>
        <w:t>2</w:t>
      </w:r>
      <w:r>
        <w:rPr>
          <w:rFonts w:hint="default" w:ascii="Times New Roman" w:hAnsi="Times New Roman" w:cs="Times New Roman"/>
          <w:sz w:val="21"/>
          <w:szCs w:val="21"/>
          <w:highlight w:val="none"/>
          <w:lang w:val="en-US" w:eastAsia="zh-CN"/>
        </w:rPr>
        <w:t>e）；计算公式见式（</w:t>
      </w:r>
      <w:r>
        <w:rPr>
          <w:rFonts w:hint="eastAsia" w:cs="Times New Roman"/>
          <w:sz w:val="21"/>
          <w:szCs w:val="21"/>
          <w:highlight w:val="none"/>
          <w:lang w:val="en-US" w:eastAsia="zh-CN"/>
        </w:rPr>
        <w:t>3</w:t>
      </w:r>
      <w:r>
        <w:rPr>
          <w:rFonts w:hint="default" w:ascii="Times New Roman" w:hAnsi="Times New Roman" w:cs="Times New Roman"/>
          <w:sz w:val="21"/>
          <w:szCs w:val="21"/>
          <w:highlight w:val="none"/>
          <w:lang w:val="en-US" w:eastAsia="zh-CN"/>
        </w:rPr>
        <w:t>）；</w:t>
      </w:r>
    </w:p>
    <w:p w14:paraId="08BE8949">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CFP</w:t>
      </w:r>
      <w:r>
        <w:rPr>
          <w:rFonts w:hint="default" w:ascii="Times New Roman" w:hAnsi="Times New Roman" w:cs="Times New Roman"/>
          <w:sz w:val="21"/>
          <w:szCs w:val="21"/>
          <w:highlight w:val="none"/>
          <w:vertAlign w:val="subscript"/>
          <w:lang w:val="en-US" w:eastAsia="zh-CN"/>
        </w:rPr>
        <w:t>A,r</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再生材料获取及预处理阶段温室气体量化结果，单位为千克二氧化碳当量（kgCO</w:t>
      </w:r>
      <w:r>
        <w:rPr>
          <w:rFonts w:hint="default" w:ascii="Times New Roman" w:hAnsi="Times New Roman" w:cs="Times New Roman"/>
          <w:sz w:val="21"/>
          <w:szCs w:val="21"/>
          <w:highlight w:val="none"/>
          <w:vertAlign w:val="subscript"/>
          <w:lang w:val="en-US" w:eastAsia="zh-CN"/>
        </w:rPr>
        <w:t>2</w:t>
      </w:r>
      <w:r>
        <w:rPr>
          <w:rFonts w:hint="default" w:ascii="Times New Roman" w:hAnsi="Times New Roman" w:cs="Times New Roman"/>
          <w:sz w:val="21"/>
          <w:szCs w:val="21"/>
          <w:highlight w:val="none"/>
          <w:lang w:val="en-US" w:eastAsia="zh-CN"/>
        </w:rPr>
        <w:t>e）；计算公式见式（</w:t>
      </w:r>
      <w:r>
        <w:rPr>
          <w:rFonts w:hint="eastAsia" w:cs="Times New Roman"/>
          <w:sz w:val="21"/>
          <w:szCs w:val="21"/>
          <w:highlight w:val="none"/>
          <w:lang w:val="en-US" w:eastAsia="zh-CN"/>
        </w:rPr>
        <w:t>4</w:t>
      </w:r>
      <w:r>
        <w:rPr>
          <w:rFonts w:hint="default" w:ascii="Times New Roman" w:hAnsi="Times New Roman" w:cs="Times New Roman"/>
          <w:sz w:val="21"/>
          <w:szCs w:val="21"/>
          <w:highlight w:val="none"/>
          <w:lang w:val="en-US" w:eastAsia="zh-CN"/>
        </w:rPr>
        <w:t>）；</w:t>
      </w:r>
    </w:p>
    <w:p w14:paraId="6C2CAD77">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A——材料的特定分配系数；</w:t>
      </w:r>
    </w:p>
    <w:p w14:paraId="08F64BE4">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Q</w:t>
      </w:r>
      <w:r>
        <w:rPr>
          <w:rFonts w:hint="default" w:ascii="Times New Roman" w:hAnsi="Times New Roman" w:cs="Times New Roman"/>
          <w:sz w:val="21"/>
          <w:szCs w:val="21"/>
          <w:highlight w:val="none"/>
          <w:vertAlign w:val="subscript"/>
          <w:lang w:val="en-US" w:eastAsia="zh-CN"/>
        </w:rPr>
        <w:t>r</w:t>
      </w:r>
      <w:r>
        <w:rPr>
          <w:rFonts w:hint="default" w:ascii="Times New Roman" w:hAnsi="Times New Roman" w:cs="Times New Roman"/>
          <w:sz w:val="21"/>
          <w:szCs w:val="21"/>
          <w:highlight w:val="none"/>
          <w:lang w:val="en-US" w:eastAsia="zh-CN"/>
        </w:rPr>
        <w:t>——输入的再生材料的品质；</w:t>
      </w:r>
    </w:p>
    <w:p w14:paraId="2EBF6485">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Q</w:t>
      </w:r>
      <w:r>
        <w:rPr>
          <w:rFonts w:hint="default" w:ascii="Times New Roman" w:hAnsi="Times New Roman" w:cs="Times New Roman"/>
          <w:sz w:val="21"/>
          <w:szCs w:val="21"/>
          <w:highlight w:val="none"/>
          <w:vertAlign w:val="subscript"/>
          <w:lang w:val="en-US" w:eastAsia="zh-CN"/>
        </w:rPr>
        <w:t>p</w:t>
      </w:r>
      <w:r>
        <w:rPr>
          <w:rFonts w:hint="default" w:ascii="Times New Roman" w:hAnsi="Times New Roman" w:cs="Times New Roman"/>
          <w:sz w:val="21"/>
          <w:szCs w:val="21"/>
          <w:highlight w:val="none"/>
          <w:lang w:val="en-US" w:eastAsia="zh-CN"/>
        </w:rPr>
        <w:t>——输入的原生材料的品质；</w:t>
      </w:r>
    </w:p>
    <w:p w14:paraId="50B41ABC">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E</w:t>
      </w:r>
      <w:r>
        <w:rPr>
          <w:rFonts w:hint="default" w:ascii="Times New Roman" w:hAnsi="Times New Roman" w:cs="Times New Roman"/>
          <w:sz w:val="21"/>
          <w:szCs w:val="21"/>
          <w:highlight w:val="none"/>
          <w:vertAlign w:val="subscript"/>
          <w:lang w:val="en-US" w:eastAsia="zh-CN"/>
        </w:rPr>
        <w:t>1,j</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变压器</w:t>
      </w:r>
      <w:r>
        <w:rPr>
          <w:rFonts w:hint="eastAsia" w:cs="Times New Roman"/>
          <w:szCs w:val="21"/>
          <w:highlight w:val="none"/>
          <w:lang w:eastAsia="zh-CN"/>
        </w:rPr>
        <w:t>原材料获取阶段</w:t>
      </w:r>
      <w:r>
        <w:rPr>
          <w:rFonts w:hint="default" w:ascii="Times New Roman" w:hAnsi="Times New Roman" w:cs="Times New Roman"/>
          <w:szCs w:val="21"/>
          <w:highlight w:val="none"/>
        </w:rPr>
        <w:t>第j种能源的消耗量，单位为千克（kg）、立方米（</w:t>
      </w:r>
      <w:r>
        <w:rPr>
          <w:rFonts w:hint="default" w:ascii="Times New Roman" w:hAnsi="Times New Roman" w:cs="Times New Roman"/>
          <w:sz w:val="21"/>
          <w:szCs w:val="21"/>
          <w:highlight w:val="none"/>
          <w:lang w:val="en-US" w:eastAsia="zh-CN"/>
        </w:rPr>
        <w:t>m³</w:t>
      </w:r>
      <w:r>
        <w:rPr>
          <w:rFonts w:hint="default" w:ascii="Times New Roman" w:hAnsi="Times New Roman" w:cs="Times New Roman"/>
          <w:szCs w:val="21"/>
          <w:highlight w:val="none"/>
        </w:rPr>
        <w:t>）等，视不同能源统计量纲确定</w:t>
      </w:r>
      <w:r>
        <w:rPr>
          <w:rFonts w:hint="default" w:ascii="Times New Roman" w:hAnsi="Times New Roman" w:cs="Times New Roman"/>
          <w:sz w:val="21"/>
          <w:szCs w:val="21"/>
          <w:highlight w:val="none"/>
          <w:lang w:val="en-US" w:eastAsia="zh-CN"/>
        </w:rPr>
        <w:t>；</w:t>
      </w:r>
    </w:p>
    <w:p w14:paraId="45E46670">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E</w:t>
      </w:r>
      <w:r>
        <w:rPr>
          <w:rFonts w:hint="default" w:ascii="Times New Roman" w:hAnsi="Times New Roman" w:cs="Times New Roman"/>
          <w:sz w:val="21"/>
          <w:szCs w:val="21"/>
          <w:highlight w:val="none"/>
          <w:vertAlign w:val="subscript"/>
          <w:lang w:val="en-US" w:eastAsia="zh-CN"/>
        </w:rPr>
        <w:t>1,j</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w:t>
      </w:r>
      <w:r>
        <w:rPr>
          <w:rFonts w:hint="eastAsia" w:cs="Times New Roman"/>
          <w:szCs w:val="21"/>
          <w:highlight w:val="none"/>
          <w:lang w:eastAsia="zh-CN"/>
        </w:rPr>
        <w:t>原材料获取阶段</w:t>
      </w:r>
      <w:r>
        <w:rPr>
          <w:rFonts w:hint="default" w:ascii="Times New Roman" w:hAnsi="Times New Roman" w:cs="Times New Roman"/>
          <w:szCs w:val="21"/>
          <w:highlight w:val="none"/>
        </w:rPr>
        <w:t>第j种能源生产的第i种温室气体排放因子，单位与能源的单位相匹配</w:t>
      </w:r>
      <w:r>
        <w:rPr>
          <w:rFonts w:hint="default" w:ascii="Times New Roman" w:hAnsi="Times New Roman" w:cs="Times New Roman"/>
          <w:sz w:val="21"/>
          <w:szCs w:val="21"/>
          <w:highlight w:val="none"/>
          <w:lang w:val="en-US" w:eastAsia="zh-CN"/>
        </w:rPr>
        <w:t>；</w:t>
      </w:r>
    </w:p>
    <w:p w14:paraId="16F06A50">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F</w:t>
      </w:r>
      <w:r>
        <w:rPr>
          <w:rFonts w:hint="default" w:ascii="Times New Roman" w:hAnsi="Times New Roman" w:cs="Times New Roman"/>
          <w:sz w:val="21"/>
          <w:szCs w:val="21"/>
          <w:highlight w:val="none"/>
          <w:vertAlign w:val="subscript"/>
          <w:lang w:val="en-US" w:eastAsia="zh-CN"/>
        </w:rPr>
        <w:t>1,j</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w:t>
      </w:r>
      <w:r>
        <w:rPr>
          <w:rFonts w:hint="eastAsia" w:cs="Times New Roman"/>
          <w:szCs w:val="21"/>
          <w:highlight w:val="none"/>
          <w:lang w:eastAsia="zh-CN"/>
        </w:rPr>
        <w:t>原材料获取阶段</w:t>
      </w:r>
      <w:r>
        <w:rPr>
          <w:rFonts w:hint="default" w:ascii="Times New Roman" w:hAnsi="Times New Roman" w:cs="Times New Roman"/>
          <w:szCs w:val="21"/>
          <w:highlight w:val="none"/>
        </w:rPr>
        <w:t>第j种能源</w:t>
      </w:r>
      <w:r>
        <w:rPr>
          <w:rFonts w:hint="default" w:ascii="Times New Roman" w:hAnsi="Times New Roman" w:cs="Times New Roman"/>
          <w:szCs w:val="21"/>
          <w:highlight w:val="none"/>
          <w:lang w:val="en-US" w:eastAsia="zh-CN"/>
        </w:rPr>
        <w:t>燃烧</w:t>
      </w:r>
      <w:r>
        <w:rPr>
          <w:rFonts w:hint="default" w:ascii="Times New Roman" w:hAnsi="Times New Roman" w:cs="Times New Roman"/>
          <w:szCs w:val="21"/>
          <w:highlight w:val="none"/>
        </w:rPr>
        <w:t>的第i种温室气体排放因子，单位与能源的单位相匹配</w:t>
      </w:r>
      <w:r>
        <w:rPr>
          <w:rFonts w:hint="default" w:ascii="Times New Roman" w:hAnsi="Times New Roman" w:cs="Times New Roman"/>
          <w:sz w:val="21"/>
          <w:szCs w:val="21"/>
          <w:highlight w:val="none"/>
          <w:lang w:val="en-US" w:eastAsia="zh-CN"/>
        </w:rPr>
        <w:t>；</w:t>
      </w:r>
    </w:p>
    <w:p w14:paraId="76552FE1">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S</w:t>
      </w:r>
      <w:r>
        <w:rPr>
          <w:rFonts w:hint="default" w:ascii="Times New Roman" w:hAnsi="Times New Roman" w:cs="Times New Roman"/>
          <w:sz w:val="21"/>
          <w:szCs w:val="21"/>
          <w:highlight w:val="none"/>
          <w:vertAlign w:val="subscript"/>
          <w:lang w:val="en-US" w:eastAsia="zh-CN"/>
        </w:rPr>
        <w:t>1,i</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变压器</w:t>
      </w:r>
      <w:r>
        <w:rPr>
          <w:rFonts w:hint="eastAsia" w:cs="Times New Roman"/>
          <w:szCs w:val="21"/>
          <w:highlight w:val="none"/>
          <w:lang w:eastAsia="zh-CN"/>
        </w:rPr>
        <w:t>原材料获取阶段</w:t>
      </w:r>
      <w:r>
        <w:rPr>
          <w:rFonts w:hint="default" w:ascii="Times New Roman" w:hAnsi="Times New Roman" w:cs="Times New Roman"/>
          <w:szCs w:val="21"/>
          <w:highlight w:val="none"/>
        </w:rPr>
        <w:t>除能源燃烧之外的第i种温室气体的直接排放，单位为千克（kg）等</w:t>
      </w:r>
      <w:r>
        <w:rPr>
          <w:rFonts w:hint="default" w:ascii="Times New Roman" w:hAnsi="Times New Roman" w:cs="Times New Roman"/>
          <w:sz w:val="21"/>
          <w:szCs w:val="21"/>
          <w:highlight w:val="none"/>
          <w:lang w:val="en-US" w:eastAsia="zh-CN"/>
        </w:rPr>
        <w:t>；</w:t>
      </w:r>
    </w:p>
    <w:p w14:paraId="10739AF9">
      <w:pPr>
        <w:pStyle w:val="2"/>
        <w:ind w:left="420" w:leftChars="200" w:firstLine="0" w:firstLineChars="0"/>
        <w:rPr>
          <w:rFonts w:hint="default" w:ascii="Times New Roman" w:hAnsi="Times New Roman" w:cs="Times New Roman"/>
          <w:szCs w:val="21"/>
          <w:highlight w:val="none"/>
          <w:lang w:eastAsia="zh-CN"/>
        </w:rPr>
      </w:pPr>
      <w:r>
        <w:rPr>
          <w:rFonts w:hint="default" w:ascii="Times New Roman" w:hAnsi="Times New Roman" w:cs="Times New Roman"/>
          <w:sz w:val="21"/>
          <w:szCs w:val="21"/>
          <w:highlight w:val="none"/>
          <w:lang w:val="en-US" w:eastAsia="zh-CN"/>
        </w:rPr>
        <w:t>W</w:t>
      </w:r>
      <w:r>
        <w:rPr>
          <w:rFonts w:hint="default" w:ascii="Times New Roman" w:hAnsi="Times New Roman" w:cs="Times New Roman"/>
          <w:sz w:val="21"/>
          <w:szCs w:val="21"/>
          <w:highlight w:val="none"/>
          <w:vertAlign w:val="subscript"/>
          <w:lang w:val="en-US" w:eastAsia="zh-CN"/>
        </w:rPr>
        <w:t>1,j</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变压器</w:t>
      </w:r>
      <w:r>
        <w:rPr>
          <w:rFonts w:hint="eastAsia" w:cs="Times New Roman"/>
          <w:szCs w:val="21"/>
          <w:highlight w:val="none"/>
          <w:lang w:eastAsia="zh-CN"/>
        </w:rPr>
        <w:t>原材料获取阶段</w:t>
      </w:r>
      <w:r>
        <w:rPr>
          <w:rFonts w:hint="default" w:ascii="Times New Roman" w:hAnsi="Times New Roman" w:cs="Times New Roman"/>
          <w:szCs w:val="21"/>
          <w:highlight w:val="none"/>
        </w:rPr>
        <w:t>第j种废弃物的排放量，单位为千克（kg）等</w:t>
      </w:r>
      <w:r>
        <w:rPr>
          <w:rFonts w:hint="default" w:ascii="Times New Roman" w:hAnsi="Times New Roman" w:cs="Times New Roman"/>
          <w:szCs w:val="21"/>
          <w:highlight w:val="none"/>
          <w:lang w:eastAsia="zh-CN"/>
        </w:rPr>
        <w:t>；</w:t>
      </w:r>
    </w:p>
    <w:p w14:paraId="31763003">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W</w:t>
      </w:r>
      <w:r>
        <w:rPr>
          <w:rFonts w:hint="default" w:ascii="Times New Roman" w:hAnsi="Times New Roman" w:cs="Times New Roman"/>
          <w:sz w:val="21"/>
          <w:szCs w:val="21"/>
          <w:highlight w:val="none"/>
          <w:vertAlign w:val="subscript"/>
          <w:lang w:val="en-US" w:eastAsia="zh-CN"/>
        </w:rPr>
        <w:t>1,j</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w:t>
      </w:r>
      <w:r>
        <w:rPr>
          <w:rFonts w:hint="eastAsia" w:cs="Times New Roman"/>
          <w:szCs w:val="21"/>
          <w:highlight w:val="none"/>
          <w:lang w:eastAsia="zh-CN"/>
        </w:rPr>
        <w:t>原材料获取阶段</w:t>
      </w:r>
      <w:r>
        <w:rPr>
          <w:rFonts w:hint="default" w:ascii="Times New Roman" w:hAnsi="Times New Roman" w:cs="Times New Roman"/>
          <w:szCs w:val="21"/>
          <w:highlight w:val="none"/>
        </w:rPr>
        <w:t>第j种废弃物处置产生的第i种温室气体排放因子，单位为千克每千克（kg/kg）</w:t>
      </w:r>
      <w:r>
        <w:rPr>
          <w:rFonts w:hint="default" w:ascii="Times New Roman" w:hAnsi="Times New Roman" w:cs="Times New Roman"/>
          <w:sz w:val="21"/>
          <w:szCs w:val="21"/>
          <w:highlight w:val="none"/>
          <w:lang w:val="en-US" w:eastAsia="zh-CN"/>
        </w:rPr>
        <w:t>；</w:t>
      </w:r>
    </w:p>
    <w:p w14:paraId="5C3FD2C6">
      <w:pPr>
        <w:pStyle w:val="2"/>
        <w:ind w:left="420" w:leftChars="200" w:firstLine="0" w:firstLineChars="0"/>
        <w:rPr>
          <w:rFonts w:hint="default" w:ascii="Times New Roman" w:hAnsi="Times New Roman" w:cs="Times New Roman"/>
          <w:szCs w:val="21"/>
          <w:highlight w:val="none"/>
          <w:lang w:eastAsia="zh-CN"/>
        </w:rPr>
      </w:pPr>
      <w:r>
        <w:rPr>
          <w:rFonts w:hint="default" w:ascii="Times New Roman" w:hAnsi="Times New Roman" w:cs="Times New Roman"/>
          <w:sz w:val="21"/>
          <w:szCs w:val="21"/>
          <w:highlight w:val="none"/>
          <w:lang w:val="en-US" w:eastAsia="zh-CN"/>
        </w:rPr>
        <w:t>C</w:t>
      </w:r>
      <w:r>
        <w:rPr>
          <w:rFonts w:hint="default" w:ascii="Times New Roman" w:hAnsi="Times New Roman" w:cs="Times New Roman"/>
          <w:sz w:val="21"/>
          <w:szCs w:val="21"/>
          <w:highlight w:val="none"/>
          <w:vertAlign w:val="subscript"/>
          <w:lang w:val="en-US" w:eastAsia="zh-CN"/>
        </w:rPr>
        <w:t>1,k</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变压器</w:t>
      </w:r>
      <w:r>
        <w:rPr>
          <w:rFonts w:hint="eastAsia" w:cs="Times New Roman"/>
          <w:szCs w:val="21"/>
          <w:highlight w:val="none"/>
          <w:lang w:eastAsia="zh-CN"/>
        </w:rPr>
        <w:t>原材料获取阶段</w:t>
      </w:r>
      <w:r>
        <w:rPr>
          <w:rFonts w:hint="default" w:ascii="Times New Roman" w:hAnsi="Times New Roman" w:cs="Times New Roman"/>
          <w:szCs w:val="21"/>
          <w:highlight w:val="none"/>
        </w:rPr>
        <w:t>第</w:t>
      </w:r>
      <w:r>
        <w:rPr>
          <w:rFonts w:hint="default" w:ascii="Times New Roman" w:hAnsi="Times New Roman" w:cs="Times New Roman"/>
          <w:szCs w:val="21"/>
          <w:highlight w:val="none"/>
          <w:lang w:val="en-US" w:eastAsia="zh-CN"/>
        </w:rPr>
        <w:t>k</w:t>
      </w:r>
      <w:r>
        <w:rPr>
          <w:rFonts w:hint="default" w:ascii="Times New Roman" w:hAnsi="Times New Roman" w:cs="Times New Roman"/>
          <w:szCs w:val="21"/>
          <w:highlight w:val="none"/>
        </w:rPr>
        <w:t>种</w:t>
      </w:r>
      <w:r>
        <w:rPr>
          <w:rFonts w:hint="default" w:ascii="Times New Roman" w:hAnsi="Times New Roman" w:cs="Times New Roman"/>
          <w:szCs w:val="21"/>
          <w:highlight w:val="none"/>
          <w:lang w:val="en-US" w:eastAsia="zh-CN"/>
        </w:rPr>
        <w:t>运输方式的运输质量</w:t>
      </w:r>
      <w:r>
        <w:rPr>
          <w:rFonts w:hint="default" w:ascii="Times New Roman" w:hAnsi="Times New Roman" w:cs="Times New Roman"/>
          <w:szCs w:val="21"/>
          <w:highlight w:val="none"/>
        </w:rPr>
        <w:t>，单位</w:t>
      </w:r>
      <w:r>
        <w:rPr>
          <w:rFonts w:hint="default" w:ascii="Times New Roman" w:hAnsi="Times New Roman" w:cs="Times New Roman"/>
          <w:szCs w:val="21"/>
          <w:highlight w:val="none"/>
          <w:lang w:val="en-US" w:eastAsia="zh-CN"/>
        </w:rPr>
        <w:t>为吨（t）</w:t>
      </w:r>
      <w:r>
        <w:rPr>
          <w:rFonts w:hint="default" w:ascii="Times New Roman" w:hAnsi="Times New Roman" w:cs="Times New Roman"/>
          <w:szCs w:val="21"/>
          <w:highlight w:val="none"/>
          <w:lang w:eastAsia="zh-CN"/>
        </w:rPr>
        <w:t>；</w:t>
      </w:r>
    </w:p>
    <w:p w14:paraId="42935D13">
      <w:pPr>
        <w:pStyle w:val="2"/>
        <w:ind w:left="420" w:leftChars="200" w:firstLine="0" w:firstLineChars="0"/>
        <w:rPr>
          <w:rFonts w:hint="default" w:ascii="Times New Roman" w:hAnsi="Times New Roman" w:cs="Times New Roman"/>
          <w:szCs w:val="21"/>
          <w:highlight w:val="none"/>
          <w:lang w:eastAsia="zh-CN"/>
        </w:rPr>
      </w:pPr>
      <w:r>
        <w:rPr>
          <w:rFonts w:hint="default" w:ascii="Times New Roman" w:hAnsi="Times New Roman" w:cs="Times New Roman"/>
          <w:sz w:val="21"/>
          <w:szCs w:val="21"/>
          <w:highlight w:val="none"/>
          <w:lang w:val="en-US" w:eastAsia="zh-CN"/>
        </w:rPr>
        <w:t>D</w:t>
      </w:r>
      <w:r>
        <w:rPr>
          <w:rFonts w:hint="default" w:ascii="Times New Roman" w:hAnsi="Times New Roman" w:cs="Times New Roman"/>
          <w:sz w:val="21"/>
          <w:szCs w:val="21"/>
          <w:highlight w:val="none"/>
          <w:vertAlign w:val="subscript"/>
          <w:lang w:val="en-US" w:eastAsia="zh-CN"/>
        </w:rPr>
        <w:t>1,j,k</w:t>
      </w:r>
      <w:r>
        <w:rPr>
          <w:rFonts w:hint="default" w:ascii="Times New Roman" w:hAnsi="Times New Roman" w:cs="Times New Roman"/>
          <w:sz w:val="21"/>
          <w:szCs w:val="21"/>
          <w:highlight w:val="none"/>
          <w:lang w:val="en-US" w:eastAsia="zh-CN"/>
        </w:rPr>
        <w:t>——</w:t>
      </w:r>
      <w:r>
        <w:rPr>
          <w:rFonts w:hint="eastAsia" w:cs="Times New Roman"/>
          <w:szCs w:val="21"/>
          <w:highlight w:val="none"/>
          <w:lang w:eastAsia="zh-CN"/>
        </w:rPr>
        <w:t>原材料获取阶段</w:t>
      </w:r>
      <w:r>
        <w:rPr>
          <w:rFonts w:hint="default" w:ascii="Times New Roman" w:hAnsi="Times New Roman" w:cs="Times New Roman"/>
          <w:szCs w:val="21"/>
          <w:highlight w:val="none"/>
        </w:rPr>
        <w:t>第j种原料或能源的第k种运输方式的运输距离，单位为千米（km）等</w:t>
      </w:r>
      <w:r>
        <w:rPr>
          <w:rFonts w:hint="default" w:ascii="Times New Roman" w:hAnsi="Times New Roman" w:cs="Times New Roman"/>
          <w:szCs w:val="21"/>
          <w:highlight w:val="none"/>
          <w:lang w:eastAsia="zh-CN"/>
        </w:rPr>
        <w:t>；</w:t>
      </w:r>
    </w:p>
    <w:p w14:paraId="38D5591E">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T</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i,k</w:t>
      </w:r>
      <w:r>
        <w:rPr>
          <w:rFonts w:hint="default" w:ascii="Times New Roman" w:hAnsi="Times New Roman" w:cs="Times New Roman"/>
          <w:sz w:val="21"/>
          <w:szCs w:val="21"/>
          <w:highlight w:val="none"/>
          <w:lang w:val="en-US" w:eastAsia="zh-CN"/>
        </w:rPr>
        <w:t>——</w:t>
      </w:r>
      <w:r>
        <w:rPr>
          <w:rFonts w:hint="default" w:ascii="Times New Roman" w:hAnsi="Times New Roman" w:cs="Times New Roman"/>
          <w:szCs w:val="21"/>
          <w:highlight w:val="none"/>
        </w:rPr>
        <w:t>第k种运输方式的第i种温室气体排放因子，单位为千克每吨千米（kg/t∙km）</w:t>
      </w:r>
      <w:r>
        <w:rPr>
          <w:rFonts w:hint="default" w:ascii="Times New Roman" w:hAnsi="Times New Roman" w:cs="Times New Roman"/>
          <w:sz w:val="21"/>
          <w:szCs w:val="21"/>
          <w:highlight w:val="none"/>
          <w:lang w:val="en-US" w:eastAsia="zh-CN"/>
        </w:rPr>
        <w:t>；</w:t>
      </w:r>
    </w:p>
    <w:p w14:paraId="187C4A08">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GWP</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——第i类温室气体的GWP值，采用IPCC给出的100年GWP值，见附录</w:t>
      </w:r>
      <w:r>
        <w:rPr>
          <w:rFonts w:hint="eastAsia" w:cs="Times New Roman"/>
          <w:sz w:val="21"/>
          <w:szCs w:val="21"/>
          <w:highlight w:val="none"/>
          <w:lang w:val="en-US" w:eastAsia="zh-CN"/>
        </w:rPr>
        <w:t>C</w:t>
      </w:r>
      <w:r>
        <w:rPr>
          <w:rFonts w:hint="default" w:ascii="Times New Roman" w:hAnsi="Times New Roman" w:cs="Times New Roman"/>
          <w:sz w:val="21"/>
          <w:szCs w:val="21"/>
          <w:highlight w:val="none"/>
          <w:lang w:val="en-US" w:eastAsia="zh-CN"/>
        </w:rPr>
        <w:t>。</w:t>
      </w:r>
    </w:p>
    <w:tbl>
      <w:tblPr>
        <w:tblStyle w:val="8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6"/>
        <w:gridCol w:w="6125"/>
        <w:gridCol w:w="1411"/>
      </w:tblGrid>
      <w:tr w14:paraId="4B216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86" w:type="dxa"/>
            <w:vAlign w:val="center"/>
          </w:tcPr>
          <w:p w14:paraId="1F4218E5">
            <w:pPr>
              <w:pStyle w:val="2"/>
              <w:keepNext w:val="0"/>
              <w:keepLines w:val="0"/>
              <w:pageBreakBefore w:val="0"/>
              <w:widowControl w:val="0"/>
              <w:kinsoku/>
              <w:wordWrap/>
              <w:overflowPunct/>
              <w:topLinePunct w:val="0"/>
              <w:autoSpaceDE/>
              <w:autoSpaceDN/>
              <w:bidi w:val="0"/>
              <w:adjustRightInd/>
              <w:snapToGrid/>
              <w:ind w:left="420" w:leftChars="200"/>
              <w:jc w:val="center"/>
              <w:textAlignment w:val="auto"/>
              <w:rPr>
                <w:rFonts w:hint="default" w:ascii="Times New Roman" w:hAnsi="Times New Roman" w:cs="Times New Roman"/>
                <w:position w:val="-14"/>
                <w:sz w:val="21"/>
                <w:szCs w:val="21"/>
                <w:highlight w:val="none"/>
                <w:vertAlign w:val="baseline"/>
                <w:lang w:val="en-US" w:eastAsia="zh-CN"/>
              </w:rPr>
            </w:pPr>
          </w:p>
        </w:tc>
        <w:tc>
          <w:tcPr>
            <w:tcW w:w="6125" w:type="dxa"/>
            <w:vAlign w:val="center"/>
          </w:tcPr>
          <w:p w14:paraId="20947CC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18"/>
                <w:sz w:val="21"/>
                <w:szCs w:val="21"/>
                <w:highlight w:val="none"/>
                <w:lang w:val="en-US" w:eastAsia="zh-CN"/>
              </w:rPr>
              <w:object>
                <v:shape id="_x0000_i1027" o:spt="75" type="#_x0000_t75" style="height:25.55pt;width:216.75pt;" o:ole="t" filled="f" o:preferrelative="t" stroked="f" coordsize="21600,21600">
                  <v:path/>
                  <v:fill on="f" focussize="0,0"/>
                  <v:stroke on="f"/>
                  <v:imagedata r:id="rId29" o:title=""/>
                  <o:lock v:ext="edit" aspectratio="t"/>
                  <w10:wrap type="none"/>
                  <w10:anchorlock/>
                </v:shape>
                <o:OLEObject Type="Embed" ProgID="Equation.KSEE3" ShapeID="_x0000_i1027" DrawAspect="Content" ObjectID="_1468075727" r:id="rId28">
                  <o:LockedField>false</o:LockedField>
                </o:OLEObject>
              </w:object>
            </w:r>
          </w:p>
        </w:tc>
        <w:tc>
          <w:tcPr>
            <w:tcW w:w="1411" w:type="dxa"/>
            <w:vAlign w:val="center"/>
          </w:tcPr>
          <w:p w14:paraId="11910840">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3</w:t>
            </w:r>
            <w:r>
              <w:rPr>
                <w:rFonts w:hint="default" w:ascii="Times New Roman" w:hAnsi="Times New Roman" w:cs="Times New Roman"/>
                <w:sz w:val="21"/>
                <w:szCs w:val="21"/>
                <w:highlight w:val="none"/>
                <w:lang w:val="en-US" w:eastAsia="zh-CN"/>
              </w:rPr>
              <w:t>）</w:t>
            </w:r>
          </w:p>
        </w:tc>
      </w:tr>
    </w:tbl>
    <w:p w14:paraId="1B72B3E1">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229F5C64">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M</w:t>
      </w:r>
      <w:r>
        <w:rPr>
          <w:rFonts w:hint="default" w:ascii="Times New Roman" w:hAnsi="Times New Roman" w:cs="Times New Roman"/>
          <w:sz w:val="21"/>
          <w:szCs w:val="21"/>
          <w:highlight w:val="none"/>
          <w:vertAlign w:val="subscript"/>
          <w:lang w:val="en-US" w:eastAsia="zh-CN"/>
        </w:rPr>
        <w:t>1,p</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变压器原材料获取阶段</w:t>
      </w:r>
      <w:r>
        <w:rPr>
          <w:rFonts w:hint="default" w:ascii="Times New Roman" w:hAnsi="Times New Roman" w:cs="Times New Roman"/>
          <w:sz w:val="21"/>
          <w:szCs w:val="21"/>
          <w:highlight w:val="none"/>
          <w:lang w:val="en-US" w:eastAsia="zh-CN"/>
        </w:rPr>
        <w:t>第p种原生材料的消耗量，单位为千克（kg）、立方米（m³）等，视不同原材料统计量纲确定；</w:t>
      </w:r>
    </w:p>
    <w:p w14:paraId="21103B9F">
      <w:pPr>
        <w:pStyle w:val="2"/>
        <w:ind w:left="420" w:leftChars="200" w:firstLine="0" w:firstLineChars="0"/>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lang w:val="en-US" w:eastAsia="zh-CN"/>
        </w:rPr>
        <w:t>M</w:t>
      </w:r>
      <w:r>
        <w:rPr>
          <w:rFonts w:hint="default" w:ascii="Times New Roman" w:hAnsi="Times New Roman" w:cs="Times New Roman"/>
          <w:sz w:val="21"/>
          <w:szCs w:val="21"/>
          <w:highlight w:val="none"/>
          <w:vertAlign w:val="subscript"/>
          <w:lang w:val="en-US" w:eastAsia="zh-CN"/>
        </w:rPr>
        <w:t>1,p</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w:t>
      </w:r>
      <w:r>
        <w:rPr>
          <w:rFonts w:hint="eastAsia" w:cs="Times New Roman"/>
          <w:szCs w:val="21"/>
          <w:highlight w:val="none"/>
          <w:lang w:eastAsia="zh-CN"/>
        </w:rPr>
        <w:t>原材料获取阶段</w:t>
      </w:r>
      <w:r>
        <w:rPr>
          <w:rFonts w:hint="default" w:ascii="Times New Roman" w:hAnsi="Times New Roman" w:cs="Times New Roman"/>
          <w:szCs w:val="21"/>
          <w:highlight w:val="none"/>
        </w:rPr>
        <w:t>第</w:t>
      </w:r>
      <w:r>
        <w:rPr>
          <w:rFonts w:hint="default" w:ascii="Times New Roman" w:hAnsi="Times New Roman" w:cs="Times New Roman"/>
          <w:szCs w:val="21"/>
          <w:highlight w:val="none"/>
          <w:lang w:val="en-US" w:eastAsia="zh-CN"/>
        </w:rPr>
        <w:t>p</w:t>
      </w:r>
      <w:r>
        <w:rPr>
          <w:rFonts w:hint="default" w:ascii="Times New Roman" w:hAnsi="Times New Roman" w:cs="Times New Roman"/>
          <w:szCs w:val="21"/>
          <w:highlight w:val="none"/>
        </w:rPr>
        <w:t>种原</w:t>
      </w:r>
      <w:r>
        <w:rPr>
          <w:rFonts w:hint="default" w:ascii="Times New Roman" w:hAnsi="Times New Roman" w:cs="Times New Roman"/>
          <w:szCs w:val="21"/>
          <w:highlight w:val="none"/>
          <w:lang w:val="en-US" w:eastAsia="zh-CN"/>
        </w:rPr>
        <w:t>生</w:t>
      </w:r>
      <w:r>
        <w:rPr>
          <w:rFonts w:hint="default" w:ascii="Times New Roman" w:hAnsi="Times New Roman" w:cs="Times New Roman"/>
          <w:szCs w:val="21"/>
          <w:highlight w:val="none"/>
        </w:rPr>
        <w:t>材料生产的第i种温室气体排放因子，单位与原材料的单位相匹配</w:t>
      </w:r>
      <w:r>
        <w:rPr>
          <w:rFonts w:hint="default" w:ascii="Times New Roman" w:hAnsi="Times New Roman" w:cs="Times New Roman"/>
          <w:szCs w:val="21"/>
          <w:highlight w:val="none"/>
          <w:lang w:eastAsia="zh-CN"/>
        </w:rPr>
        <w:t>。</w:t>
      </w:r>
    </w:p>
    <w:tbl>
      <w:tblPr>
        <w:tblStyle w:val="8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6"/>
        <w:gridCol w:w="6125"/>
        <w:gridCol w:w="1411"/>
      </w:tblGrid>
      <w:tr w14:paraId="14D5E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86" w:type="dxa"/>
            <w:vAlign w:val="center"/>
          </w:tcPr>
          <w:p w14:paraId="726A519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6125" w:type="dxa"/>
            <w:vAlign w:val="center"/>
          </w:tcPr>
          <w:p w14:paraId="303D0EA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18"/>
                <w:sz w:val="21"/>
                <w:szCs w:val="21"/>
                <w:highlight w:val="none"/>
                <w:lang w:val="en-US" w:eastAsia="zh-CN"/>
              </w:rPr>
              <w:object>
                <v:shape id="_x0000_i1028" o:spt="75" type="#_x0000_t75" style="height:25.55pt;width:209.75pt;" o:ole="t" filled="f" o:preferrelative="t" stroked="f" coordsize="21600,21600">
                  <v:path/>
                  <v:fill on="f" focussize="0,0"/>
                  <v:stroke on="f"/>
                  <v:imagedata r:id="rId31" o:title=""/>
                  <o:lock v:ext="edit" aspectratio="t"/>
                  <w10:wrap type="none"/>
                  <w10:anchorlock/>
                </v:shape>
                <o:OLEObject Type="Embed" ProgID="Equation.KSEE3" ShapeID="_x0000_i1028" DrawAspect="Content" ObjectID="_1468075728" r:id="rId30">
                  <o:LockedField>false</o:LockedField>
                </o:OLEObject>
              </w:object>
            </w:r>
          </w:p>
        </w:tc>
        <w:tc>
          <w:tcPr>
            <w:tcW w:w="1411" w:type="dxa"/>
            <w:vAlign w:val="center"/>
          </w:tcPr>
          <w:p w14:paraId="56F0321D">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4</w:t>
            </w:r>
            <w:r>
              <w:rPr>
                <w:rFonts w:hint="default" w:ascii="Times New Roman" w:hAnsi="Times New Roman" w:cs="Times New Roman"/>
                <w:sz w:val="21"/>
                <w:szCs w:val="21"/>
                <w:highlight w:val="none"/>
                <w:lang w:val="en-US" w:eastAsia="zh-CN"/>
              </w:rPr>
              <w:t>）</w:t>
            </w:r>
          </w:p>
        </w:tc>
      </w:tr>
    </w:tbl>
    <w:p w14:paraId="29FA1477">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5D94DEA8">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M</w:t>
      </w:r>
      <w:r>
        <w:rPr>
          <w:rFonts w:hint="default" w:ascii="Times New Roman" w:hAnsi="Times New Roman" w:cs="Times New Roman"/>
          <w:sz w:val="21"/>
          <w:szCs w:val="21"/>
          <w:highlight w:val="none"/>
          <w:vertAlign w:val="subscript"/>
          <w:lang w:val="en-US" w:eastAsia="zh-CN"/>
        </w:rPr>
        <w:t>1,r</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变压器原材料获取阶段</w:t>
      </w:r>
      <w:r>
        <w:rPr>
          <w:rFonts w:hint="default" w:ascii="Times New Roman" w:hAnsi="Times New Roman" w:cs="Times New Roman"/>
          <w:sz w:val="21"/>
          <w:szCs w:val="21"/>
          <w:highlight w:val="none"/>
          <w:lang w:val="en-US" w:eastAsia="zh-CN"/>
        </w:rPr>
        <w:t>第r种再生材料的消耗量，单位为千克（kg）、立方米（m³）等，视不同原材料统计量纲确定；</w:t>
      </w:r>
    </w:p>
    <w:p w14:paraId="5E7B08DF">
      <w:pPr>
        <w:pStyle w:val="2"/>
        <w:ind w:left="420" w:leftChars="200" w:firstLine="0" w:firstLineChars="0"/>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lang w:val="en-US" w:eastAsia="zh-CN"/>
        </w:rPr>
        <w:t>M</w:t>
      </w:r>
      <w:r>
        <w:rPr>
          <w:rFonts w:hint="default" w:ascii="Times New Roman" w:hAnsi="Times New Roman" w:cs="Times New Roman"/>
          <w:sz w:val="21"/>
          <w:szCs w:val="21"/>
          <w:highlight w:val="none"/>
          <w:vertAlign w:val="subscript"/>
          <w:lang w:val="en-US" w:eastAsia="zh-CN"/>
        </w:rPr>
        <w:t>1,r</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w:t>
      </w:r>
      <w:r>
        <w:rPr>
          <w:rFonts w:hint="eastAsia" w:cs="Times New Roman"/>
          <w:szCs w:val="21"/>
          <w:highlight w:val="none"/>
          <w:lang w:eastAsia="zh-CN"/>
        </w:rPr>
        <w:t>原材料获取阶段</w:t>
      </w:r>
      <w:r>
        <w:rPr>
          <w:rFonts w:hint="default" w:ascii="Times New Roman" w:hAnsi="Times New Roman" w:cs="Times New Roman"/>
          <w:szCs w:val="21"/>
          <w:highlight w:val="none"/>
        </w:rPr>
        <w:t>第</w:t>
      </w:r>
      <w:r>
        <w:rPr>
          <w:rFonts w:hint="default" w:ascii="Times New Roman" w:hAnsi="Times New Roman" w:cs="Times New Roman"/>
          <w:szCs w:val="21"/>
          <w:highlight w:val="none"/>
          <w:lang w:val="en-US" w:eastAsia="zh-CN"/>
        </w:rPr>
        <w:t>r</w:t>
      </w:r>
      <w:r>
        <w:rPr>
          <w:rFonts w:hint="default" w:ascii="Times New Roman" w:hAnsi="Times New Roman" w:cs="Times New Roman"/>
          <w:szCs w:val="21"/>
          <w:highlight w:val="none"/>
        </w:rPr>
        <w:t>种</w:t>
      </w:r>
      <w:r>
        <w:rPr>
          <w:rFonts w:hint="default" w:ascii="Times New Roman" w:hAnsi="Times New Roman" w:cs="Times New Roman"/>
          <w:szCs w:val="21"/>
          <w:highlight w:val="none"/>
          <w:lang w:val="en-US" w:eastAsia="zh-CN"/>
        </w:rPr>
        <w:t>再生</w:t>
      </w:r>
      <w:r>
        <w:rPr>
          <w:rFonts w:hint="default" w:ascii="Times New Roman" w:hAnsi="Times New Roman" w:cs="Times New Roman"/>
          <w:szCs w:val="21"/>
          <w:highlight w:val="none"/>
        </w:rPr>
        <w:t>材料生产的第i种温室气体排放因子</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单位与原材料的单位相匹配</w:t>
      </w:r>
      <w:r>
        <w:rPr>
          <w:rFonts w:hint="default" w:ascii="Times New Roman" w:hAnsi="Times New Roman" w:cs="Times New Roman"/>
          <w:szCs w:val="21"/>
          <w:highlight w:val="none"/>
          <w:lang w:eastAsia="zh-CN"/>
        </w:rPr>
        <w:t>。</w:t>
      </w:r>
    </w:p>
    <w:p w14:paraId="05BC110D">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385" w:name="_Toc26107"/>
      <w:bookmarkStart w:id="386" w:name="_Toc26357"/>
      <w:bookmarkStart w:id="387" w:name="_Toc30135"/>
      <w:bookmarkStart w:id="388" w:name="_Toc480"/>
      <w:bookmarkStart w:id="389" w:name="_Toc18921"/>
      <w:bookmarkStart w:id="390" w:name="_Toc19737"/>
      <w:r>
        <w:rPr>
          <w:rFonts w:hint="default" w:ascii="Times New Roman" w:hAnsi="Times New Roman" w:eastAsia="黑体" w:cs="Times New Roman"/>
          <w:sz w:val="21"/>
          <w:szCs w:val="21"/>
          <w:highlight w:val="none"/>
          <w:lang w:val="en-US" w:eastAsia="zh-CN"/>
        </w:rPr>
        <w:t xml:space="preserve">8.1.3 </w:t>
      </w:r>
      <w:r>
        <w:rPr>
          <w:rFonts w:hint="eastAsia" w:eastAsia="黑体" w:cs="Times New Roman"/>
          <w:sz w:val="21"/>
          <w:szCs w:val="21"/>
          <w:highlight w:val="none"/>
          <w:lang w:val="en-US" w:eastAsia="zh-CN"/>
        </w:rPr>
        <w:t>生产</w:t>
      </w:r>
      <w:r>
        <w:rPr>
          <w:rFonts w:hint="default" w:ascii="Times New Roman" w:hAnsi="Times New Roman" w:eastAsia="黑体" w:cs="Times New Roman"/>
          <w:sz w:val="21"/>
          <w:szCs w:val="21"/>
          <w:highlight w:val="none"/>
          <w:lang w:val="en-US" w:eastAsia="zh-CN"/>
        </w:rPr>
        <w:t>阶段</w:t>
      </w:r>
      <w:bookmarkEnd w:id="385"/>
      <w:bookmarkEnd w:id="386"/>
      <w:bookmarkEnd w:id="387"/>
      <w:bookmarkEnd w:id="388"/>
      <w:bookmarkEnd w:id="389"/>
      <w:bookmarkEnd w:id="390"/>
    </w:p>
    <w:p w14:paraId="294B7EC1">
      <w:pPr>
        <w:pStyle w:val="2"/>
        <w:ind w:firstLine="420" w:firstLineChars="200"/>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生产</w:t>
      </w:r>
      <w:r>
        <w:rPr>
          <w:rFonts w:hint="default" w:ascii="Times New Roman" w:hAnsi="Times New Roman" w:cs="Times New Roman"/>
          <w:sz w:val="21"/>
          <w:szCs w:val="21"/>
          <w:highlight w:val="none"/>
          <w:lang w:val="en-US" w:eastAsia="zh-CN"/>
        </w:rPr>
        <w:t>阶段的温室气体量化按式（</w:t>
      </w:r>
      <w:r>
        <w:rPr>
          <w:rFonts w:hint="eastAsia" w:cs="Times New Roman"/>
          <w:sz w:val="21"/>
          <w:szCs w:val="21"/>
          <w:highlight w:val="none"/>
          <w:lang w:val="en-US" w:eastAsia="zh-CN"/>
        </w:rPr>
        <w:t>5</w:t>
      </w:r>
      <w:r>
        <w:rPr>
          <w:rFonts w:hint="default" w:ascii="Times New Roman" w:hAnsi="Times New Roman" w:cs="Times New Roman"/>
          <w:sz w:val="21"/>
          <w:szCs w:val="21"/>
          <w:highlight w:val="none"/>
          <w:lang w:val="en-US" w:eastAsia="zh-CN"/>
        </w:rPr>
        <w:t>）计算，计算结果四舍五入至小数点后两位：</w:t>
      </w:r>
    </w:p>
    <w:tbl>
      <w:tblPr>
        <w:tblStyle w:val="8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1"/>
        <w:gridCol w:w="5862"/>
        <w:gridCol w:w="1791"/>
      </w:tblGrid>
      <w:tr w14:paraId="3944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1" w:type="dxa"/>
            <w:vAlign w:val="center"/>
          </w:tcPr>
          <w:p w14:paraId="05429BF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4930" w:type="dxa"/>
            <w:vAlign w:val="center"/>
          </w:tcPr>
          <w:p w14:paraId="342CC98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38"/>
                <w:sz w:val="21"/>
                <w:szCs w:val="21"/>
                <w:highlight w:val="none"/>
                <w:lang w:val="en-US" w:eastAsia="zh-CN"/>
              </w:rPr>
              <w:object>
                <v:shape id="_x0000_i1029" o:spt="75" type="#_x0000_t75" style="height:39.7pt;width:282.3pt;" o:ole="t" filled="f" o:preferrelative="t" stroked="f" coordsize="21600,21600">
                  <v:path/>
                  <v:fill on="f" focussize="0,0"/>
                  <v:stroke on="f"/>
                  <v:imagedata r:id="rId33" o:title=""/>
                  <o:lock v:ext="edit" aspectratio="t"/>
                  <w10:wrap type="none"/>
                  <w10:anchorlock/>
                </v:shape>
                <o:OLEObject Type="Embed" ProgID="Equation.KSEE3" ShapeID="_x0000_i1029" DrawAspect="Content" ObjectID="_1468075729" r:id="rId32">
                  <o:LockedField>false</o:LockedField>
                </o:OLEObject>
              </w:object>
            </w:r>
          </w:p>
        </w:tc>
        <w:tc>
          <w:tcPr>
            <w:tcW w:w="1791" w:type="dxa"/>
            <w:vAlign w:val="center"/>
          </w:tcPr>
          <w:p w14:paraId="49F2BC32">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5</w:t>
            </w:r>
            <w:r>
              <w:rPr>
                <w:rFonts w:hint="default" w:ascii="Times New Roman" w:hAnsi="Times New Roman" w:cs="Times New Roman"/>
                <w:sz w:val="21"/>
                <w:szCs w:val="21"/>
                <w:highlight w:val="none"/>
                <w:lang w:val="en-US" w:eastAsia="zh-CN"/>
              </w:rPr>
              <w:t>）</w:t>
            </w:r>
          </w:p>
        </w:tc>
      </w:tr>
    </w:tbl>
    <w:p w14:paraId="4FD31D74">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27966390">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E</w:t>
      </w:r>
      <w:r>
        <w:rPr>
          <w:rFonts w:hint="default" w:ascii="Times New Roman" w:hAnsi="Times New Roman" w:cs="Times New Roman"/>
          <w:sz w:val="21"/>
          <w:szCs w:val="21"/>
          <w:highlight w:val="none"/>
          <w:vertAlign w:val="subscript"/>
          <w:lang w:val="en-US" w:eastAsia="zh-CN"/>
        </w:rPr>
        <w:t>2,j</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生产</w:t>
      </w:r>
      <w:r>
        <w:rPr>
          <w:rFonts w:hint="default" w:ascii="Times New Roman" w:hAnsi="Times New Roman" w:cs="Times New Roman"/>
          <w:szCs w:val="21"/>
          <w:highlight w:val="none"/>
        </w:rPr>
        <w:t>阶段第j种能源的消耗量，单位为千克（kg）、立方米（</w:t>
      </w:r>
      <w:r>
        <w:rPr>
          <w:rFonts w:hint="default" w:ascii="Times New Roman" w:hAnsi="Times New Roman" w:cs="Times New Roman"/>
          <w:sz w:val="21"/>
          <w:szCs w:val="21"/>
          <w:highlight w:val="none"/>
          <w:lang w:val="en-US" w:eastAsia="zh-CN"/>
        </w:rPr>
        <w:t>m³</w:t>
      </w:r>
      <w:r>
        <w:rPr>
          <w:rFonts w:hint="default" w:ascii="Times New Roman" w:hAnsi="Times New Roman" w:cs="Times New Roman"/>
          <w:szCs w:val="21"/>
          <w:highlight w:val="none"/>
        </w:rPr>
        <w:t>）等，视不同能源统计量纲确定</w:t>
      </w:r>
      <w:r>
        <w:rPr>
          <w:rFonts w:hint="default" w:ascii="Times New Roman" w:hAnsi="Times New Roman" w:cs="Times New Roman"/>
          <w:sz w:val="21"/>
          <w:szCs w:val="21"/>
          <w:highlight w:val="none"/>
          <w:lang w:val="en-US" w:eastAsia="zh-CN"/>
        </w:rPr>
        <w:t>；</w:t>
      </w:r>
    </w:p>
    <w:p w14:paraId="2F045D5C">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E</w:t>
      </w:r>
      <w:r>
        <w:rPr>
          <w:rFonts w:hint="default" w:ascii="Times New Roman" w:hAnsi="Times New Roman" w:cs="Times New Roman"/>
          <w:sz w:val="21"/>
          <w:szCs w:val="21"/>
          <w:highlight w:val="none"/>
          <w:vertAlign w:val="subscript"/>
          <w:lang w:val="en-US" w:eastAsia="zh-CN"/>
        </w:rPr>
        <w:t>2,j</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w:t>
      </w:r>
      <w:r>
        <w:rPr>
          <w:rFonts w:hint="eastAsia" w:cs="Times New Roman"/>
          <w:szCs w:val="21"/>
          <w:highlight w:val="none"/>
          <w:lang w:val="en-US" w:eastAsia="zh-CN"/>
        </w:rPr>
        <w:t>生产</w:t>
      </w:r>
      <w:r>
        <w:rPr>
          <w:rFonts w:hint="default" w:ascii="Times New Roman" w:hAnsi="Times New Roman" w:cs="Times New Roman"/>
          <w:szCs w:val="21"/>
          <w:highlight w:val="none"/>
        </w:rPr>
        <w:t>阶段第j种能源生产的第i种温室气体排放因子，单位与能源的单位相匹配</w:t>
      </w:r>
      <w:r>
        <w:rPr>
          <w:rFonts w:hint="default" w:ascii="Times New Roman" w:hAnsi="Times New Roman" w:cs="Times New Roman"/>
          <w:sz w:val="21"/>
          <w:szCs w:val="21"/>
          <w:highlight w:val="none"/>
          <w:lang w:val="en-US" w:eastAsia="zh-CN"/>
        </w:rPr>
        <w:t>；</w:t>
      </w:r>
    </w:p>
    <w:p w14:paraId="6B6B579B">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F</w:t>
      </w:r>
      <w:r>
        <w:rPr>
          <w:rFonts w:hint="default" w:ascii="Times New Roman" w:hAnsi="Times New Roman" w:cs="Times New Roman"/>
          <w:sz w:val="21"/>
          <w:szCs w:val="21"/>
          <w:highlight w:val="none"/>
          <w:vertAlign w:val="subscript"/>
          <w:lang w:val="en-US" w:eastAsia="zh-CN"/>
        </w:rPr>
        <w:t>2,j</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生产</w:t>
      </w:r>
      <w:r>
        <w:rPr>
          <w:rFonts w:hint="default" w:ascii="Times New Roman" w:hAnsi="Times New Roman" w:cs="Times New Roman"/>
          <w:szCs w:val="21"/>
          <w:highlight w:val="none"/>
        </w:rPr>
        <w:t>阶段第j种能源</w:t>
      </w:r>
      <w:r>
        <w:rPr>
          <w:rFonts w:hint="default" w:ascii="Times New Roman" w:hAnsi="Times New Roman" w:cs="Times New Roman"/>
          <w:szCs w:val="21"/>
          <w:highlight w:val="none"/>
          <w:lang w:val="en-US" w:eastAsia="zh-CN"/>
        </w:rPr>
        <w:t>燃烧</w:t>
      </w:r>
      <w:r>
        <w:rPr>
          <w:rFonts w:hint="default" w:ascii="Times New Roman" w:hAnsi="Times New Roman" w:cs="Times New Roman"/>
          <w:szCs w:val="21"/>
          <w:highlight w:val="none"/>
        </w:rPr>
        <w:t>的第i种温室气体排放因子，单位与能源的单位相匹配</w:t>
      </w:r>
      <w:r>
        <w:rPr>
          <w:rFonts w:hint="default" w:ascii="Times New Roman" w:hAnsi="Times New Roman" w:cs="Times New Roman"/>
          <w:sz w:val="21"/>
          <w:szCs w:val="21"/>
          <w:highlight w:val="none"/>
          <w:lang w:val="en-US" w:eastAsia="zh-CN"/>
        </w:rPr>
        <w:t>；</w:t>
      </w:r>
    </w:p>
    <w:p w14:paraId="78F24CAC">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S</w:t>
      </w:r>
      <w:r>
        <w:rPr>
          <w:rFonts w:hint="default" w:ascii="Times New Roman" w:hAnsi="Times New Roman" w:cs="Times New Roman"/>
          <w:sz w:val="21"/>
          <w:szCs w:val="21"/>
          <w:highlight w:val="none"/>
          <w:vertAlign w:val="subscript"/>
          <w:lang w:val="en-US" w:eastAsia="zh-CN"/>
        </w:rPr>
        <w:t>2,i</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生产</w:t>
      </w:r>
      <w:r>
        <w:rPr>
          <w:rFonts w:hint="default" w:ascii="Times New Roman" w:hAnsi="Times New Roman" w:cs="Times New Roman"/>
          <w:szCs w:val="21"/>
          <w:highlight w:val="none"/>
        </w:rPr>
        <w:t>阶段除能源燃烧之外的第i种温室气体的直接排放，单位为千克（kg）等</w:t>
      </w:r>
      <w:r>
        <w:rPr>
          <w:rFonts w:hint="default" w:ascii="Times New Roman" w:hAnsi="Times New Roman" w:cs="Times New Roman"/>
          <w:sz w:val="21"/>
          <w:szCs w:val="21"/>
          <w:highlight w:val="none"/>
          <w:lang w:val="en-US" w:eastAsia="zh-CN"/>
        </w:rPr>
        <w:t>；</w:t>
      </w:r>
    </w:p>
    <w:p w14:paraId="0187EAD3">
      <w:pPr>
        <w:pStyle w:val="2"/>
        <w:ind w:left="420" w:leftChars="200" w:firstLine="0" w:firstLineChars="0"/>
        <w:rPr>
          <w:rFonts w:hint="default" w:ascii="Times New Roman" w:hAnsi="Times New Roman" w:cs="Times New Roman"/>
          <w:szCs w:val="21"/>
          <w:highlight w:val="none"/>
          <w:lang w:eastAsia="zh-CN"/>
        </w:rPr>
      </w:pPr>
      <w:r>
        <w:rPr>
          <w:rFonts w:hint="default" w:ascii="Times New Roman" w:hAnsi="Times New Roman" w:cs="Times New Roman"/>
          <w:sz w:val="21"/>
          <w:szCs w:val="21"/>
          <w:highlight w:val="none"/>
          <w:lang w:val="en-US" w:eastAsia="zh-CN"/>
        </w:rPr>
        <w:t>W</w:t>
      </w:r>
      <w:r>
        <w:rPr>
          <w:rFonts w:hint="default" w:ascii="Times New Roman" w:hAnsi="Times New Roman" w:cs="Times New Roman"/>
          <w:sz w:val="21"/>
          <w:szCs w:val="21"/>
          <w:highlight w:val="none"/>
          <w:vertAlign w:val="subscript"/>
          <w:lang w:val="en-US" w:eastAsia="zh-CN"/>
        </w:rPr>
        <w:t>2,j</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生产</w:t>
      </w:r>
      <w:r>
        <w:rPr>
          <w:rFonts w:hint="default" w:ascii="Times New Roman" w:hAnsi="Times New Roman" w:cs="Times New Roman"/>
          <w:szCs w:val="21"/>
          <w:highlight w:val="none"/>
        </w:rPr>
        <w:t>阶段第j种废弃物的排放量，单位为千克（kg）等</w:t>
      </w:r>
      <w:r>
        <w:rPr>
          <w:rFonts w:hint="default" w:ascii="Times New Roman" w:hAnsi="Times New Roman" w:cs="Times New Roman"/>
          <w:szCs w:val="21"/>
          <w:highlight w:val="none"/>
          <w:lang w:eastAsia="zh-CN"/>
        </w:rPr>
        <w:t>；</w:t>
      </w:r>
    </w:p>
    <w:p w14:paraId="0DAAD46F">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W</w:t>
      </w:r>
      <w:r>
        <w:rPr>
          <w:rFonts w:hint="default" w:ascii="Times New Roman" w:hAnsi="Times New Roman" w:cs="Times New Roman"/>
          <w:sz w:val="21"/>
          <w:szCs w:val="21"/>
          <w:highlight w:val="none"/>
          <w:vertAlign w:val="subscript"/>
          <w:lang w:val="en-US" w:eastAsia="zh-CN"/>
        </w:rPr>
        <w:t>2,j</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w:t>
      </w:r>
      <w:r>
        <w:rPr>
          <w:rFonts w:hint="eastAsia" w:cs="Times New Roman"/>
          <w:szCs w:val="21"/>
          <w:highlight w:val="none"/>
          <w:lang w:val="en-US" w:eastAsia="zh-CN"/>
        </w:rPr>
        <w:t>生产</w:t>
      </w:r>
      <w:r>
        <w:rPr>
          <w:rFonts w:hint="eastAsia" w:cs="Times New Roman"/>
          <w:szCs w:val="21"/>
          <w:highlight w:val="none"/>
          <w:lang w:eastAsia="zh-CN"/>
        </w:rPr>
        <w:t>阶段</w:t>
      </w:r>
      <w:r>
        <w:rPr>
          <w:rFonts w:hint="default" w:ascii="Times New Roman" w:hAnsi="Times New Roman" w:cs="Times New Roman"/>
          <w:szCs w:val="21"/>
          <w:highlight w:val="none"/>
        </w:rPr>
        <w:t>第j种废弃物处置产生的第i种温室气体排放因子，单位为千克每千克（kg/kg）</w:t>
      </w:r>
      <w:r>
        <w:rPr>
          <w:rFonts w:hint="default" w:ascii="Times New Roman" w:hAnsi="Times New Roman" w:cs="Times New Roman"/>
          <w:sz w:val="21"/>
          <w:szCs w:val="21"/>
          <w:highlight w:val="none"/>
          <w:lang w:val="en-US" w:eastAsia="zh-CN"/>
        </w:rPr>
        <w:t>；</w:t>
      </w:r>
    </w:p>
    <w:p w14:paraId="2A8F5CF5">
      <w:pPr>
        <w:pStyle w:val="2"/>
        <w:ind w:left="420" w:leftChars="200" w:firstLine="0" w:firstLineChars="0"/>
        <w:rPr>
          <w:rFonts w:hint="default" w:ascii="Times New Roman" w:hAnsi="Times New Roman" w:cs="Times New Roman"/>
          <w:szCs w:val="21"/>
          <w:highlight w:val="none"/>
          <w:lang w:eastAsia="zh-CN"/>
        </w:rPr>
      </w:pPr>
      <w:r>
        <w:rPr>
          <w:rFonts w:hint="default" w:ascii="Times New Roman" w:hAnsi="Times New Roman" w:cs="Times New Roman"/>
          <w:sz w:val="21"/>
          <w:szCs w:val="21"/>
          <w:highlight w:val="none"/>
          <w:lang w:val="en-US" w:eastAsia="zh-CN"/>
        </w:rPr>
        <w:t>C</w:t>
      </w:r>
      <w:r>
        <w:rPr>
          <w:rFonts w:hint="default" w:ascii="Times New Roman" w:hAnsi="Times New Roman" w:cs="Times New Roman"/>
          <w:sz w:val="21"/>
          <w:szCs w:val="21"/>
          <w:highlight w:val="none"/>
          <w:vertAlign w:val="subscript"/>
          <w:lang w:val="en-US" w:eastAsia="zh-CN"/>
        </w:rPr>
        <w:t>2,k</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生产</w:t>
      </w:r>
      <w:r>
        <w:rPr>
          <w:rFonts w:hint="default" w:ascii="Times New Roman" w:hAnsi="Times New Roman" w:cs="Times New Roman"/>
          <w:szCs w:val="21"/>
          <w:highlight w:val="none"/>
        </w:rPr>
        <w:t>阶段第</w:t>
      </w:r>
      <w:r>
        <w:rPr>
          <w:rFonts w:hint="default" w:ascii="Times New Roman" w:hAnsi="Times New Roman" w:cs="Times New Roman"/>
          <w:szCs w:val="21"/>
          <w:highlight w:val="none"/>
          <w:lang w:val="en-US" w:eastAsia="zh-CN"/>
        </w:rPr>
        <w:t>k</w:t>
      </w:r>
      <w:r>
        <w:rPr>
          <w:rFonts w:hint="default" w:ascii="Times New Roman" w:hAnsi="Times New Roman" w:cs="Times New Roman"/>
          <w:szCs w:val="21"/>
          <w:highlight w:val="none"/>
        </w:rPr>
        <w:t>种</w:t>
      </w:r>
      <w:r>
        <w:rPr>
          <w:rFonts w:hint="default" w:ascii="Times New Roman" w:hAnsi="Times New Roman" w:cs="Times New Roman"/>
          <w:szCs w:val="21"/>
          <w:highlight w:val="none"/>
          <w:lang w:val="en-US" w:eastAsia="zh-CN"/>
        </w:rPr>
        <w:t>运输方式的运输质</w:t>
      </w:r>
      <w:r>
        <w:rPr>
          <w:rFonts w:hint="default" w:ascii="Times New Roman" w:hAnsi="Times New Roman" w:cs="Times New Roman"/>
          <w:szCs w:val="21"/>
          <w:highlight w:val="none"/>
        </w:rPr>
        <w:t>量，单位</w:t>
      </w:r>
      <w:r>
        <w:rPr>
          <w:rFonts w:hint="default" w:ascii="Times New Roman" w:hAnsi="Times New Roman" w:cs="Times New Roman"/>
          <w:szCs w:val="21"/>
          <w:highlight w:val="none"/>
          <w:lang w:val="en-US" w:eastAsia="zh-CN"/>
        </w:rPr>
        <w:t>视物料或能源的种类而定</w:t>
      </w:r>
      <w:r>
        <w:rPr>
          <w:rFonts w:hint="default" w:ascii="Times New Roman" w:hAnsi="Times New Roman" w:cs="Times New Roman"/>
          <w:szCs w:val="21"/>
          <w:highlight w:val="none"/>
          <w:lang w:eastAsia="zh-CN"/>
        </w:rPr>
        <w:t>；</w:t>
      </w:r>
    </w:p>
    <w:p w14:paraId="21D88A72">
      <w:pPr>
        <w:pStyle w:val="2"/>
        <w:ind w:left="420" w:leftChars="200" w:firstLine="0" w:firstLineChars="0"/>
        <w:rPr>
          <w:rFonts w:hint="default" w:ascii="Times New Roman" w:hAnsi="Times New Roman" w:cs="Times New Roman"/>
          <w:szCs w:val="21"/>
          <w:highlight w:val="none"/>
          <w:lang w:eastAsia="zh-CN"/>
        </w:rPr>
      </w:pPr>
      <w:r>
        <w:rPr>
          <w:rFonts w:hint="default" w:ascii="Times New Roman" w:hAnsi="Times New Roman" w:cs="Times New Roman"/>
          <w:sz w:val="21"/>
          <w:szCs w:val="21"/>
          <w:highlight w:val="none"/>
          <w:lang w:val="en-US" w:eastAsia="zh-CN"/>
        </w:rPr>
        <w:t>D</w:t>
      </w:r>
      <w:r>
        <w:rPr>
          <w:rFonts w:hint="default" w:ascii="Times New Roman" w:hAnsi="Times New Roman" w:cs="Times New Roman"/>
          <w:sz w:val="21"/>
          <w:szCs w:val="21"/>
          <w:highlight w:val="none"/>
          <w:vertAlign w:val="subscript"/>
          <w:lang w:val="en-US" w:eastAsia="zh-CN"/>
        </w:rPr>
        <w:t>2,k</w:t>
      </w:r>
      <w:r>
        <w:rPr>
          <w:rFonts w:hint="default" w:ascii="Times New Roman" w:hAnsi="Times New Roman" w:cs="Times New Roman"/>
          <w:sz w:val="21"/>
          <w:szCs w:val="21"/>
          <w:highlight w:val="none"/>
          <w:lang w:val="en-US" w:eastAsia="zh-CN"/>
        </w:rPr>
        <w:t>——</w:t>
      </w:r>
      <w:r>
        <w:rPr>
          <w:rFonts w:hint="eastAsia" w:cs="Times New Roman"/>
          <w:szCs w:val="21"/>
          <w:highlight w:val="none"/>
          <w:lang w:val="en-US" w:eastAsia="zh-CN"/>
        </w:rPr>
        <w:t>生产</w:t>
      </w:r>
      <w:r>
        <w:rPr>
          <w:rFonts w:hint="default" w:ascii="Times New Roman" w:hAnsi="Times New Roman" w:cs="Times New Roman"/>
          <w:szCs w:val="21"/>
          <w:highlight w:val="none"/>
        </w:rPr>
        <w:t>阶段第k种运输方式的运输距离，单位为千米（km）等</w:t>
      </w:r>
      <w:r>
        <w:rPr>
          <w:rFonts w:hint="default" w:ascii="Times New Roman" w:hAnsi="Times New Roman" w:cs="Times New Roman"/>
          <w:szCs w:val="21"/>
          <w:highlight w:val="none"/>
          <w:lang w:eastAsia="zh-CN"/>
        </w:rPr>
        <w:t>。</w:t>
      </w:r>
    </w:p>
    <w:p w14:paraId="43357D54">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391" w:name="_Toc15295"/>
      <w:bookmarkStart w:id="392" w:name="_Toc27575"/>
      <w:bookmarkStart w:id="393" w:name="_Toc8995"/>
      <w:bookmarkStart w:id="394" w:name="_Toc14033"/>
      <w:bookmarkStart w:id="395" w:name="_Toc488"/>
      <w:bookmarkStart w:id="396" w:name="_Toc22971"/>
      <w:r>
        <w:rPr>
          <w:rFonts w:hint="default" w:ascii="Times New Roman" w:hAnsi="Times New Roman" w:eastAsia="黑体" w:cs="Times New Roman"/>
          <w:sz w:val="21"/>
          <w:szCs w:val="21"/>
          <w:highlight w:val="none"/>
          <w:lang w:val="en-US" w:eastAsia="zh-CN"/>
        </w:rPr>
        <w:t>8.1.4 分销阶段</w:t>
      </w:r>
      <w:bookmarkEnd w:id="391"/>
      <w:bookmarkEnd w:id="392"/>
      <w:bookmarkEnd w:id="393"/>
      <w:bookmarkEnd w:id="394"/>
      <w:bookmarkEnd w:id="395"/>
      <w:bookmarkEnd w:id="396"/>
    </w:p>
    <w:p w14:paraId="59C153D5">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分销阶段的温室气体量化按式（</w:t>
      </w:r>
      <w:r>
        <w:rPr>
          <w:rFonts w:hint="eastAsia" w:cs="Times New Roman"/>
          <w:sz w:val="21"/>
          <w:szCs w:val="21"/>
          <w:highlight w:val="none"/>
          <w:lang w:val="en-US" w:eastAsia="zh-CN"/>
        </w:rPr>
        <w:t>6</w:t>
      </w:r>
      <w:r>
        <w:rPr>
          <w:rFonts w:hint="default" w:ascii="Times New Roman" w:hAnsi="Times New Roman" w:cs="Times New Roman"/>
          <w:sz w:val="21"/>
          <w:szCs w:val="21"/>
          <w:highlight w:val="none"/>
          <w:lang w:val="en-US" w:eastAsia="zh-CN"/>
        </w:rPr>
        <w:t>）计算，计算结果四舍五入至小数点后两位：</w:t>
      </w:r>
    </w:p>
    <w:tbl>
      <w:tblPr>
        <w:tblStyle w:val="8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1"/>
        <w:gridCol w:w="4930"/>
        <w:gridCol w:w="1791"/>
      </w:tblGrid>
      <w:tr w14:paraId="3514C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1" w:type="dxa"/>
            <w:vAlign w:val="center"/>
          </w:tcPr>
          <w:p w14:paraId="4FA117D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4930" w:type="dxa"/>
            <w:vAlign w:val="center"/>
          </w:tcPr>
          <w:p w14:paraId="5B5947B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18"/>
                <w:sz w:val="21"/>
                <w:szCs w:val="21"/>
                <w:highlight w:val="none"/>
                <w:lang w:val="en-US" w:eastAsia="zh-CN"/>
              </w:rPr>
              <w:object>
                <v:shape id="_x0000_i1030" o:spt="75" type="#_x0000_t75" style="height:25.5pt;width:217.85pt;" o:ole="t" filled="f" o:preferrelative="t" stroked="f" coordsize="21600,21600">
                  <v:path/>
                  <v:fill on="f" focussize="0,0"/>
                  <v:stroke on="f"/>
                  <v:imagedata r:id="rId35" o:title=""/>
                  <o:lock v:ext="edit" aspectratio="t"/>
                  <w10:wrap type="none"/>
                  <w10:anchorlock/>
                </v:shape>
                <o:OLEObject Type="Embed" ProgID="Equation.KSEE3" ShapeID="_x0000_i1030" DrawAspect="Content" ObjectID="_1468075730" r:id="rId34">
                  <o:LockedField>false</o:LockedField>
                </o:OLEObject>
              </w:object>
            </w:r>
          </w:p>
        </w:tc>
        <w:tc>
          <w:tcPr>
            <w:tcW w:w="1791" w:type="dxa"/>
            <w:vAlign w:val="center"/>
          </w:tcPr>
          <w:p w14:paraId="0D611E44">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6</w:t>
            </w:r>
            <w:r>
              <w:rPr>
                <w:rFonts w:hint="default" w:ascii="Times New Roman" w:hAnsi="Times New Roman" w:cs="Times New Roman"/>
                <w:sz w:val="21"/>
                <w:szCs w:val="21"/>
                <w:highlight w:val="none"/>
                <w:lang w:val="en-US" w:eastAsia="zh-CN"/>
              </w:rPr>
              <w:t>）</w:t>
            </w:r>
          </w:p>
        </w:tc>
      </w:tr>
    </w:tbl>
    <w:p w14:paraId="4EAD1407">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767CB1DC">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M</w:t>
      </w:r>
      <w:r>
        <w:rPr>
          <w:rFonts w:hint="default" w:ascii="Times New Roman" w:hAnsi="Times New Roman" w:cs="Times New Roman"/>
          <w:sz w:val="21"/>
          <w:szCs w:val="21"/>
          <w:highlight w:val="none"/>
          <w:vertAlign w:val="subscript"/>
          <w:lang w:val="en-US" w:eastAsia="zh-CN"/>
        </w:rPr>
        <w:t>3</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分销阶段</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产品分销</w:t>
      </w:r>
      <w:r>
        <w:rPr>
          <w:rFonts w:hint="default" w:ascii="Times New Roman" w:hAnsi="Times New Roman" w:cs="Times New Roman"/>
          <w:szCs w:val="21"/>
          <w:highlight w:val="none"/>
        </w:rPr>
        <w:t>量，单位为千克（kg）、</w:t>
      </w:r>
      <w:r>
        <w:rPr>
          <w:rFonts w:hint="default" w:ascii="Times New Roman" w:hAnsi="Times New Roman" w:cs="Times New Roman"/>
          <w:szCs w:val="21"/>
          <w:highlight w:val="none"/>
          <w:lang w:val="en-US" w:eastAsia="zh-CN"/>
        </w:rPr>
        <w:t>千瓦时</w:t>
      </w:r>
      <w:r>
        <w:rPr>
          <w:rFonts w:hint="default" w:ascii="Times New Roman" w:hAnsi="Times New Roman" w:cs="Times New Roman"/>
          <w:szCs w:val="21"/>
          <w:highlight w:val="none"/>
        </w:rPr>
        <w:t>（</w:t>
      </w:r>
      <w:r>
        <w:rPr>
          <w:rFonts w:hint="default" w:ascii="Times New Roman" w:hAnsi="Times New Roman" w:cs="Times New Roman"/>
          <w:sz w:val="21"/>
          <w:szCs w:val="21"/>
          <w:highlight w:val="none"/>
          <w:lang w:val="en-US" w:eastAsia="zh-CN"/>
        </w:rPr>
        <w:t>kWh</w:t>
      </w:r>
      <w:r>
        <w:rPr>
          <w:rFonts w:hint="default" w:ascii="Times New Roman" w:hAnsi="Times New Roman" w:cs="Times New Roman"/>
          <w:szCs w:val="21"/>
          <w:highlight w:val="none"/>
        </w:rPr>
        <w:t>）</w:t>
      </w:r>
      <w:r>
        <w:rPr>
          <w:rFonts w:hint="default" w:ascii="Times New Roman" w:hAnsi="Times New Roman" w:cs="Times New Roman"/>
          <w:sz w:val="21"/>
          <w:szCs w:val="21"/>
          <w:highlight w:val="none"/>
          <w:lang w:val="en-US" w:eastAsia="zh-CN"/>
        </w:rPr>
        <w:t>；</w:t>
      </w:r>
    </w:p>
    <w:p w14:paraId="689907A8">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D</w:t>
      </w:r>
      <w:r>
        <w:rPr>
          <w:rFonts w:hint="default" w:ascii="Times New Roman" w:hAnsi="Times New Roman" w:cs="Times New Roman"/>
          <w:sz w:val="21"/>
          <w:szCs w:val="21"/>
          <w:highlight w:val="none"/>
          <w:vertAlign w:val="subscript"/>
          <w:lang w:val="en-US" w:eastAsia="zh-CN"/>
        </w:rPr>
        <w:t>k</w:t>
      </w:r>
      <w:r>
        <w:rPr>
          <w:rFonts w:hint="default" w:ascii="Times New Roman" w:hAnsi="Times New Roman" w:cs="Times New Roman"/>
          <w:sz w:val="21"/>
          <w:szCs w:val="21"/>
          <w:highlight w:val="none"/>
          <w:lang w:val="en-US" w:eastAsia="zh-CN"/>
        </w:rPr>
        <w:t>——</w:t>
      </w:r>
      <w:r>
        <w:rPr>
          <w:rFonts w:hint="eastAsia" w:cs="Times New Roman"/>
          <w:szCs w:val="21"/>
          <w:highlight w:val="none"/>
          <w:lang w:val="en-US" w:eastAsia="zh-CN"/>
        </w:rPr>
        <w:t>变压器</w:t>
      </w:r>
      <w:r>
        <w:rPr>
          <w:rFonts w:hint="default" w:ascii="Times New Roman" w:hAnsi="Times New Roman" w:cs="Times New Roman"/>
          <w:szCs w:val="21"/>
          <w:highlight w:val="none"/>
          <w:lang w:val="en-US" w:eastAsia="zh-CN"/>
        </w:rPr>
        <w:t>分销</w:t>
      </w:r>
      <w:r>
        <w:rPr>
          <w:rFonts w:hint="default" w:ascii="Times New Roman" w:hAnsi="Times New Roman" w:cs="Times New Roman"/>
          <w:szCs w:val="21"/>
          <w:highlight w:val="none"/>
        </w:rPr>
        <w:t>阶段第k种运输方式的运输距离，单位为千米（km）</w:t>
      </w:r>
      <w:r>
        <w:rPr>
          <w:rFonts w:hint="default" w:ascii="Times New Roman" w:hAnsi="Times New Roman" w:cs="Times New Roman"/>
          <w:szCs w:val="21"/>
          <w:highlight w:val="none"/>
          <w:lang w:val="en-US" w:eastAsia="zh-CN"/>
        </w:rPr>
        <w:t>等。</w:t>
      </w:r>
    </w:p>
    <w:p w14:paraId="35371E76">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397" w:name="_Toc8153"/>
      <w:bookmarkStart w:id="398" w:name="_Toc30462"/>
      <w:bookmarkStart w:id="399" w:name="_Toc23233"/>
      <w:bookmarkStart w:id="400" w:name="_Toc7361"/>
      <w:bookmarkStart w:id="401" w:name="_Toc4265"/>
      <w:bookmarkStart w:id="402" w:name="_Toc16705"/>
      <w:r>
        <w:rPr>
          <w:rFonts w:hint="default" w:ascii="Times New Roman" w:hAnsi="Times New Roman" w:eastAsia="黑体" w:cs="Times New Roman"/>
          <w:sz w:val="21"/>
          <w:szCs w:val="21"/>
          <w:highlight w:val="none"/>
          <w:lang w:val="en-US" w:eastAsia="zh-CN"/>
        </w:rPr>
        <w:t>8.1.5 使用阶段</w:t>
      </w:r>
      <w:bookmarkEnd w:id="397"/>
      <w:bookmarkEnd w:id="398"/>
      <w:bookmarkEnd w:id="399"/>
      <w:bookmarkEnd w:id="400"/>
      <w:bookmarkEnd w:id="401"/>
      <w:bookmarkEnd w:id="402"/>
    </w:p>
    <w:p w14:paraId="63769078">
      <w:pPr>
        <w:pStyle w:val="2"/>
        <w:ind w:firstLine="420" w:firstLineChars="200"/>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安装、调试及</w:t>
      </w:r>
      <w:r>
        <w:rPr>
          <w:rFonts w:hint="default" w:ascii="Times New Roman" w:hAnsi="Times New Roman" w:cs="Times New Roman"/>
          <w:sz w:val="21"/>
          <w:szCs w:val="21"/>
          <w:highlight w:val="none"/>
          <w:lang w:val="en-US" w:eastAsia="zh-CN"/>
        </w:rPr>
        <w:t>使用阶段的温室气体量化按式（</w:t>
      </w:r>
      <w:r>
        <w:rPr>
          <w:rFonts w:hint="eastAsia" w:cs="Times New Roman"/>
          <w:sz w:val="21"/>
          <w:szCs w:val="21"/>
          <w:highlight w:val="none"/>
          <w:lang w:val="en-US" w:eastAsia="zh-CN"/>
        </w:rPr>
        <w:t>7</w:t>
      </w:r>
      <w:r>
        <w:rPr>
          <w:rFonts w:hint="default" w:ascii="Times New Roman" w:hAnsi="Times New Roman" w:cs="Times New Roman"/>
          <w:sz w:val="21"/>
          <w:szCs w:val="21"/>
          <w:highlight w:val="none"/>
          <w:lang w:val="en-US" w:eastAsia="zh-CN"/>
        </w:rPr>
        <w:t>）计算，计算结果四舍五入至小数点后两位：</w:t>
      </w:r>
    </w:p>
    <w:tbl>
      <w:tblPr>
        <w:tblStyle w:val="8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1"/>
        <w:gridCol w:w="5395"/>
        <w:gridCol w:w="1791"/>
      </w:tblGrid>
      <w:tr w14:paraId="197BF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1" w:type="dxa"/>
            <w:vAlign w:val="center"/>
          </w:tcPr>
          <w:p w14:paraId="76FDF79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4930" w:type="dxa"/>
            <w:vAlign w:val="center"/>
          </w:tcPr>
          <w:p w14:paraId="493E3663">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54"/>
                <w:sz w:val="21"/>
                <w:szCs w:val="21"/>
                <w:highlight w:val="none"/>
                <w:lang w:val="en-US" w:eastAsia="zh-CN"/>
              </w:rPr>
              <w:object>
                <v:shape id="_x0000_i1031" o:spt="75" type="#_x0000_t75" style="height:56.45pt;width:258.95pt;" o:ole="t" filled="f" o:preferrelative="t" stroked="f" coordsize="21600,21600">
                  <v:path/>
                  <v:fill on="f" focussize="0,0"/>
                  <v:stroke on="f"/>
                  <v:imagedata r:id="rId37" o:title=""/>
                  <o:lock v:ext="edit" aspectratio="t"/>
                  <w10:wrap type="none"/>
                  <w10:anchorlock/>
                </v:shape>
                <o:OLEObject Type="Embed" ProgID="Equation.KSEE3" ShapeID="_x0000_i1031" DrawAspect="Content" ObjectID="_1468075731" r:id="rId36">
                  <o:LockedField>false</o:LockedField>
                </o:OLEObject>
              </w:object>
            </w:r>
          </w:p>
        </w:tc>
        <w:tc>
          <w:tcPr>
            <w:tcW w:w="1791" w:type="dxa"/>
            <w:vAlign w:val="center"/>
          </w:tcPr>
          <w:p w14:paraId="09B7EB30">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7</w:t>
            </w:r>
            <w:r>
              <w:rPr>
                <w:rFonts w:hint="default" w:ascii="Times New Roman" w:hAnsi="Times New Roman" w:cs="Times New Roman"/>
                <w:sz w:val="21"/>
                <w:szCs w:val="21"/>
                <w:highlight w:val="none"/>
                <w:lang w:val="en-US" w:eastAsia="zh-CN"/>
              </w:rPr>
              <w:t>）</w:t>
            </w:r>
          </w:p>
        </w:tc>
      </w:tr>
    </w:tbl>
    <w:p w14:paraId="17DE3FE1">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5E4E71FC">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E</w:t>
      </w:r>
      <w:r>
        <w:rPr>
          <w:rFonts w:hint="eastAsia" w:cs="Times New Roman"/>
          <w:sz w:val="21"/>
          <w:szCs w:val="21"/>
          <w:highlight w:val="none"/>
          <w:vertAlign w:val="subscript"/>
          <w:lang w:val="en-US" w:eastAsia="zh-CN"/>
        </w:rPr>
        <w:t>3</w:t>
      </w:r>
      <w:r>
        <w:rPr>
          <w:rFonts w:hint="default" w:ascii="Times New Roman" w:hAnsi="Times New Roman" w:cs="Times New Roman"/>
          <w:sz w:val="21"/>
          <w:szCs w:val="21"/>
          <w:highlight w:val="none"/>
          <w:vertAlign w:val="subscript"/>
          <w:lang w:val="en-US" w:eastAsia="zh-CN"/>
        </w:rPr>
        <w:t>,j</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变压器使用阶段</w:t>
      </w:r>
      <w:r>
        <w:rPr>
          <w:rFonts w:hint="default" w:ascii="Times New Roman" w:hAnsi="Times New Roman" w:cs="Times New Roman"/>
          <w:szCs w:val="21"/>
          <w:highlight w:val="none"/>
        </w:rPr>
        <w:t>第j种能源的消耗量，单位为千克（kg）、立方米（</w:t>
      </w:r>
      <w:r>
        <w:rPr>
          <w:rFonts w:hint="default" w:ascii="Times New Roman" w:hAnsi="Times New Roman" w:cs="Times New Roman"/>
          <w:sz w:val="21"/>
          <w:szCs w:val="21"/>
          <w:highlight w:val="none"/>
          <w:lang w:val="en-US" w:eastAsia="zh-CN"/>
        </w:rPr>
        <w:t>m³</w:t>
      </w:r>
      <w:r>
        <w:rPr>
          <w:rFonts w:hint="default" w:ascii="Times New Roman" w:hAnsi="Times New Roman" w:cs="Times New Roman"/>
          <w:szCs w:val="21"/>
          <w:highlight w:val="none"/>
        </w:rPr>
        <w:t>）等，视不同能源统计量纲确定</w:t>
      </w:r>
      <w:r>
        <w:rPr>
          <w:rFonts w:hint="default" w:ascii="Times New Roman" w:hAnsi="Times New Roman" w:cs="Times New Roman"/>
          <w:sz w:val="21"/>
          <w:szCs w:val="21"/>
          <w:highlight w:val="none"/>
          <w:lang w:val="en-US" w:eastAsia="zh-CN"/>
        </w:rPr>
        <w:t>；</w:t>
      </w:r>
    </w:p>
    <w:p w14:paraId="6E07430E">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E</w:t>
      </w:r>
      <w:r>
        <w:rPr>
          <w:rFonts w:hint="eastAsia" w:cs="Times New Roman"/>
          <w:sz w:val="21"/>
          <w:szCs w:val="21"/>
          <w:highlight w:val="none"/>
          <w:vertAlign w:val="subscript"/>
          <w:lang w:val="en-US" w:eastAsia="zh-CN"/>
        </w:rPr>
        <w:t>3</w:t>
      </w:r>
      <w:r>
        <w:rPr>
          <w:rFonts w:hint="default" w:ascii="Times New Roman" w:hAnsi="Times New Roman" w:cs="Times New Roman"/>
          <w:sz w:val="21"/>
          <w:szCs w:val="21"/>
          <w:highlight w:val="none"/>
          <w:vertAlign w:val="subscript"/>
          <w:lang w:val="en-US" w:eastAsia="zh-CN"/>
        </w:rPr>
        <w:t>,j</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w:t>
      </w:r>
      <w:r>
        <w:rPr>
          <w:rFonts w:hint="eastAsia" w:cs="Times New Roman"/>
          <w:szCs w:val="21"/>
          <w:highlight w:val="none"/>
          <w:lang w:val="en-US" w:eastAsia="zh-CN"/>
        </w:rPr>
        <w:t>变压器使用阶段中</w:t>
      </w:r>
      <w:r>
        <w:rPr>
          <w:rFonts w:hint="default" w:ascii="Times New Roman" w:hAnsi="Times New Roman" w:cs="Times New Roman"/>
          <w:szCs w:val="21"/>
          <w:highlight w:val="none"/>
        </w:rPr>
        <w:t>第j种能源生产的第i种温室气体排放因子，单位与能源的单位相匹配</w:t>
      </w:r>
      <w:r>
        <w:rPr>
          <w:rFonts w:hint="default" w:ascii="Times New Roman" w:hAnsi="Times New Roman" w:cs="Times New Roman"/>
          <w:sz w:val="21"/>
          <w:szCs w:val="21"/>
          <w:highlight w:val="none"/>
          <w:lang w:val="en-US" w:eastAsia="zh-CN"/>
        </w:rPr>
        <w:t>；</w:t>
      </w:r>
    </w:p>
    <w:p w14:paraId="1DE121D5">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F</w:t>
      </w:r>
      <w:r>
        <w:rPr>
          <w:rFonts w:hint="eastAsia" w:cs="Times New Roman"/>
          <w:sz w:val="21"/>
          <w:szCs w:val="21"/>
          <w:highlight w:val="none"/>
          <w:vertAlign w:val="subscript"/>
          <w:lang w:val="en-US" w:eastAsia="zh-CN"/>
        </w:rPr>
        <w:t>3</w:t>
      </w:r>
      <w:r>
        <w:rPr>
          <w:rFonts w:hint="default" w:ascii="Times New Roman" w:hAnsi="Times New Roman" w:cs="Times New Roman"/>
          <w:sz w:val="21"/>
          <w:szCs w:val="21"/>
          <w:highlight w:val="none"/>
          <w:vertAlign w:val="subscript"/>
          <w:lang w:val="en-US" w:eastAsia="zh-CN"/>
        </w:rPr>
        <w:t>,j</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变压器使用阶段中</w:t>
      </w:r>
      <w:r>
        <w:rPr>
          <w:rFonts w:hint="default" w:ascii="Times New Roman" w:hAnsi="Times New Roman" w:cs="Times New Roman"/>
          <w:szCs w:val="21"/>
          <w:highlight w:val="none"/>
        </w:rPr>
        <w:t>第j种能源</w:t>
      </w:r>
      <w:r>
        <w:rPr>
          <w:rFonts w:hint="default" w:ascii="Times New Roman" w:hAnsi="Times New Roman" w:cs="Times New Roman"/>
          <w:szCs w:val="21"/>
          <w:highlight w:val="none"/>
          <w:lang w:val="en-US" w:eastAsia="zh-CN"/>
        </w:rPr>
        <w:t>燃烧</w:t>
      </w:r>
      <w:r>
        <w:rPr>
          <w:rFonts w:hint="default" w:ascii="Times New Roman" w:hAnsi="Times New Roman" w:cs="Times New Roman"/>
          <w:szCs w:val="21"/>
          <w:highlight w:val="none"/>
        </w:rPr>
        <w:t>的第i种温室气体排放因子，单位与能源的单位相匹配</w:t>
      </w:r>
      <w:r>
        <w:rPr>
          <w:rFonts w:hint="default" w:ascii="Times New Roman" w:hAnsi="Times New Roman" w:cs="Times New Roman"/>
          <w:sz w:val="21"/>
          <w:szCs w:val="21"/>
          <w:highlight w:val="none"/>
          <w:lang w:val="en-US" w:eastAsia="zh-CN"/>
        </w:rPr>
        <w:t>；</w:t>
      </w:r>
    </w:p>
    <w:p w14:paraId="5C02AC28">
      <w:pPr>
        <w:pStyle w:val="2"/>
        <w:ind w:left="420" w:leftChars="200" w:firstLine="0" w:firstLineChars="0"/>
        <w:rPr>
          <w:rFonts w:hint="eastAsia" w:cs="Times New Roman"/>
          <w:sz w:val="21"/>
          <w:szCs w:val="21"/>
          <w:highlight w:val="none"/>
          <w:lang w:val="en-US" w:eastAsia="zh-CN"/>
        </w:rPr>
      </w:pPr>
      <w:r>
        <w:rPr>
          <w:rFonts w:hint="eastAsia" w:cs="Times New Roman"/>
          <w:sz w:val="21"/>
          <w:szCs w:val="21"/>
          <w:highlight w:val="none"/>
          <w:lang w:val="en-US" w:eastAsia="zh-CN"/>
        </w:rPr>
        <w:t>P</w:t>
      </w:r>
      <w:r>
        <w:rPr>
          <w:rFonts w:hint="eastAsia" w:cs="Times New Roman"/>
          <w:sz w:val="21"/>
          <w:szCs w:val="21"/>
          <w:highlight w:val="none"/>
          <w:vertAlign w:val="subscript"/>
          <w:lang w:val="en-US" w:eastAsia="zh-CN"/>
        </w:rPr>
        <w:t>0</w:t>
      </w:r>
      <w:r>
        <w:rPr>
          <w:rFonts w:hint="eastAsia" w:cs="Times New Roman"/>
          <w:sz w:val="21"/>
          <w:szCs w:val="21"/>
          <w:highlight w:val="none"/>
          <w:lang w:val="en-US" w:eastAsia="zh-CN"/>
        </w:rPr>
        <w:t>——变压器空载损耗功率，单位为千瓦（kW）；</w:t>
      </w:r>
    </w:p>
    <w:p w14:paraId="308F50B7">
      <w:pPr>
        <w:pStyle w:val="2"/>
        <w:ind w:left="420" w:leftChars="200" w:firstLine="0" w:firstLineChars="0"/>
        <w:rPr>
          <w:rFonts w:hint="eastAsia" w:cs="Times New Roman"/>
          <w:sz w:val="21"/>
          <w:szCs w:val="21"/>
          <w:highlight w:val="none"/>
          <w:lang w:val="en-US" w:eastAsia="zh-CN"/>
        </w:rPr>
      </w:pPr>
      <w:r>
        <w:rPr>
          <w:rFonts w:hint="eastAsia" w:cs="Times New Roman"/>
          <w:sz w:val="21"/>
          <w:szCs w:val="21"/>
          <w:highlight w:val="none"/>
          <w:lang w:val="en-US" w:eastAsia="zh-CN"/>
        </w:rPr>
        <w:t>T——变压器年运行小时数，单位为小时每年（h/y）；</w:t>
      </w:r>
    </w:p>
    <w:p w14:paraId="535A9942">
      <w:pPr>
        <w:pStyle w:val="2"/>
        <w:ind w:left="420" w:leftChars="200" w:firstLine="0" w:firstLineChars="0"/>
        <w:rPr>
          <w:rFonts w:hint="eastAsia" w:cs="Times New Roman"/>
          <w:sz w:val="21"/>
          <w:szCs w:val="21"/>
          <w:highlight w:val="none"/>
          <w:lang w:val="en-US" w:eastAsia="zh-CN"/>
        </w:rPr>
      </w:pPr>
      <w:r>
        <w:rPr>
          <w:rFonts w:hint="eastAsia" w:cs="Times New Roman"/>
          <w:sz w:val="21"/>
          <w:szCs w:val="21"/>
          <w:highlight w:val="none"/>
          <w:lang w:val="en-US" w:eastAsia="zh-CN"/>
        </w:rPr>
        <w:t>L——变压器运行年限，单位为年（y）；</w:t>
      </w:r>
    </w:p>
    <w:p w14:paraId="5F223CB6">
      <w:pPr>
        <w:pStyle w:val="2"/>
        <w:ind w:left="420" w:leftChars="200" w:firstLine="0" w:firstLineChars="0"/>
        <w:rPr>
          <w:rFonts w:hint="eastAsia" w:cs="Times New Roman"/>
          <w:sz w:val="21"/>
          <w:szCs w:val="21"/>
          <w:highlight w:val="none"/>
          <w:lang w:val="en-US" w:eastAsia="zh-CN"/>
        </w:rPr>
      </w:pPr>
      <w:r>
        <w:rPr>
          <w:rFonts w:hint="eastAsia" w:cs="Times New Roman"/>
          <w:sz w:val="21"/>
          <w:szCs w:val="21"/>
          <w:highlight w:val="none"/>
          <w:lang w:val="en-US" w:eastAsia="zh-CN"/>
        </w:rPr>
        <w:t>P</w:t>
      </w:r>
      <w:r>
        <w:rPr>
          <w:rFonts w:hint="eastAsia" w:cs="Times New Roman"/>
          <w:sz w:val="21"/>
          <w:szCs w:val="21"/>
          <w:highlight w:val="none"/>
          <w:vertAlign w:val="subscript"/>
          <w:lang w:val="en-US" w:eastAsia="zh-CN"/>
        </w:rPr>
        <w:t>1</w:t>
      </w:r>
      <w:r>
        <w:rPr>
          <w:rFonts w:hint="eastAsia" w:cs="Times New Roman"/>
          <w:sz w:val="21"/>
          <w:szCs w:val="21"/>
          <w:highlight w:val="none"/>
          <w:lang w:val="en-US" w:eastAsia="zh-CN"/>
        </w:rPr>
        <w:t>——变压器负载损耗功率，单位为千瓦（kW）；</w:t>
      </w:r>
    </w:p>
    <w:p w14:paraId="53653731">
      <w:pPr>
        <w:pStyle w:val="2"/>
        <w:ind w:left="420" w:leftChars="200" w:firstLine="0" w:firstLineChars="0"/>
        <w:rPr>
          <w:rFonts w:hint="eastAsia" w:cs="Times New Roman"/>
          <w:sz w:val="21"/>
          <w:szCs w:val="21"/>
          <w:highlight w:val="none"/>
          <w:lang w:val="en-US" w:eastAsia="zh-CN"/>
        </w:rPr>
      </w:pPr>
      <w:r>
        <w:rPr>
          <w:rFonts w:hint="eastAsia" w:cs="Times New Roman"/>
          <w:sz w:val="21"/>
          <w:szCs w:val="21"/>
          <w:highlight w:val="none"/>
          <w:lang w:val="en-US" w:eastAsia="zh-CN"/>
        </w:rPr>
        <w:t>LF——变压器年平均负载率，即实际运行负载与额定容量之比，单位为百分比（%）；</w:t>
      </w:r>
    </w:p>
    <w:p w14:paraId="28E663D2">
      <w:pPr>
        <w:pStyle w:val="2"/>
        <w:ind w:left="420" w:leftChars="200" w:firstLine="0" w:firstLineChars="0"/>
        <w:rPr>
          <w:rFonts w:hint="eastAsia"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E</w:t>
      </w:r>
      <w:r>
        <w:rPr>
          <w:rFonts w:hint="eastAsia" w:cs="Times New Roman"/>
          <w:sz w:val="21"/>
          <w:szCs w:val="21"/>
          <w:highlight w:val="none"/>
          <w:vertAlign w:val="subscript"/>
          <w:lang w:val="en-US" w:eastAsia="zh-CN"/>
        </w:rPr>
        <w:t>4</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变压器使用过程中</w:t>
      </w:r>
      <w:r>
        <w:rPr>
          <w:rFonts w:hint="eastAsia" w:cs="Times New Roman"/>
          <w:szCs w:val="21"/>
          <w:highlight w:val="none"/>
          <w:lang w:val="en-US" w:eastAsia="zh-CN"/>
        </w:rPr>
        <w:t>冷却系统和监控系统年耗电量</w:t>
      </w:r>
      <w:r>
        <w:rPr>
          <w:rFonts w:hint="default" w:ascii="Times New Roman" w:hAnsi="Times New Roman" w:cs="Times New Roman"/>
          <w:szCs w:val="21"/>
          <w:highlight w:val="none"/>
        </w:rPr>
        <w:t>，单位为</w:t>
      </w:r>
      <w:r>
        <w:rPr>
          <w:rFonts w:hint="eastAsia" w:cs="Times New Roman"/>
          <w:szCs w:val="21"/>
          <w:highlight w:val="none"/>
          <w:lang w:val="en-US" w:eastAsia="zh-CN"/>
        </w:rPr>
        <w:t>千瓦时每年</w:t>
      </w:r>
      <w:r>
        <w:rPr>
          <w:rFonts w:hint="default" w:ascii="Times New Roman" w:hAnsi="Times New Roman" w:cs="Times New Roman"/>
          <w:szCs w:val="21"/>
          <w:highlight w:val="none"/>
        </w:rPr>
        <w:t>（k</w:t>
      </w:r>
      <w:r>
        <w:rPr>
          <w:rFonts w:hint="eastAsia" w:cs="Times New Roman"/>
          <w:szCs w:val="21"/>
          <w:highlight w:val="none"/>
          <w:lang w:val="en-US" w:eastAsia="zh-CN"/>
        </w:rPr>
        <w:t>Wh/y</w:t>
      </w:r>
      <w:r>
        <w:rPr>
          <w:rFonts w:hint="default" w:ascii="Times New Roman" w:hAnsi="Times New Roman" w:cs="Times New Roman"/>
          <w:szCs w:val="21"/>
          <w:highlight w:val="none"/>
        </w:rPr>
        <w:t>）</w:t>
      </w:r>
      <w:r>
        <w:rPr>
          <w:rFonts w:hint="eastAsia" w:cs="Times New Roman"/>
          <w:szCs w:val="21"/>
          <w:highlight w:val="none"/>
          <w:lang w:eastAsia="zh-CN"/>
        </w:rPr>
        <w:t>；</w:t>
      </w:r>
    </w:p>
    <w:p w14:paraId="2B8BF3EA">
      <w:pPr>
        <w:pStyle w:val="2"/>
        <w:ind w:left="420" w:leftChars="200" w:firstLine="0" w:firstLineChars="0"/>
        <w:rPr>
          <w:rFonts w:hint="default" w:cs="Times New Roman"/>
          <w:sz w:val="21"/>
          <w:szCs w:val="21"/>
          <w:highlight w:val="none"/>
          <w:lang w:val="en-US" w:eastAsia="zh-CN"/>
        </w:rPr>
      </w:pPr>
      <w:r>
        <w:rPr>
          <w:rFonts w:hint="default" w:ascii="Times New Roman" w:hAnsi="Times New Roman" w:cs="Times New Roman"/>
          <w:sz w:val="21"/>
          <w:szCs w:val="21"/>
          <w:highlight w:val="none"/>
          <w:lang w:val="en-US" w:eastAsia="zh-CN"/>
        </w:rPr>
        <w:t>E</w:t>
      </w:r>
      <w:r>
        <w:rPr>
          <w:rFonts w:hint="eastAsia" w:cs="Times New Roman"/>
          <w:sz w:val="21"/>
          <w:szCs w:val="21"/>
          <w:highlight w:val="none"/>
          <w:vertAlign w:val="subscript"/>
          <w:lang w:val="en-US" w:eastAsia="zh-CN"/>
        </w:rPr>
        <w:t>4</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lang w:val="en-US" w:eastAsia="zh-CN"/>
        </w:rPr>
        <w:t>——</w:t>
      </w:r>
      <w:r>
        <w:rPr>
          <w:rFonts w:hint="eastAsia" w:cs="Times New Roman"/>
          <w:szCs w:val="21"/>
          <w:highlight w:val="none"/>
          <w:lang w:val="en-US" w:eastAsia="zh-CN"/>
        </w:rPr>
        <w:t>变压器使用过程中消耗电力的</w:t>
      </w:r>
      <w:r>
        <w:rPr>
          <w:rFonts w:hint="default" w:ascii="Times New Roman" w:hAnsi="Times New Roman" w:cs="Times New Roman"/>
          <w:szCs w:val="21"/>
          <w:highlight w:val="none"/>
        </w:rPr>
        <w:t>温室气体排放因子，单位</w:t>
      </w:r>
      <w:r>
        <w:rPr>
          <w:rFonts w:hint="eastAsia" w:cs="Times New Roman"/>
          <w:szCs w:val="21"/>
          <w:highlight w:val="none"/>
          <w:lang w:val="en-US" w:eastAsia="zh-CN"/>
        </w:rPr>
        <w:t>为千克二氧化碳当量每千瓦时（kgCO</w:t>
      </w:r>
      <w:r>
        <w:rPr>
          <w:rFonts w:hint="eastAsia" w:cs="Times New Roman"/>
          <w:szCs w:val="21"/>
          <w:highlight w:val="none"/>
          <w:vertAlign w:val="subscript"/>
          <w:lang w:val="en-US" w:eastAsia="zh-CN"/>
        </w:rPr>
        <w:t>2</w:t>
      </w:r>
      <w:r>
        <w:rPr>
          <w:rFonts w:hint="eastAsia" w:cs="Times New Roman"/>
          <w:szCs w:val="21"/>
          <w:highlight w:val="none"/>
          <w:lang w:val="en-US" w:eastAsia="zh-CN"/>
        </w:rPr>
        <w:t>e/kWh）</w:t>
      </w:r>
      <w:r>
        <w:rPr>
          <w:rFonts w:hint="default" w:ascii="Times New Roman" w:hAnsi="Times New Roman" w:cs="Times New Roman"/>
          <w:sz w:val="21"/>
          <w:szCs w:val="21"/>
          <w:highlight w:val="none"/>
          <w:lang w:val="en-US" w:eastAsia="zh-CN"/>
        </w:rPr>
        <w:t>；</w:t>
      </w:r>
    </w:p>
    <w:p w14:paraId="015BDBA9">
      <w:pPr>
        <w:pStyle w:val="2"/>
        <w:ind w:left="420" w:leftChars="200" w:firstLine="0" w:firstLineChars="0"/>
        <w:rPr>
          <w:rFonts w:hint="eastAsia" w:cs="Times New Roman"/>
          <w:szCs w:val="21"/>
          <w:highlight w:val="none"/>
          <w:lang w:val="en-US" w:eastAsia="zh-CN"/>
        </w:rPr>
      </w:pPr>
      <w:r>
        <w:rPr>
          <w:rFonts w:hint="eastAsia" w:cs="Times New Roman"/>
          <w:szCs w:val="21"/>
          <w:highlight w:val="none"/>
          <w:lang w:val="en-US" w:eastAsia="zh-CN"/>
        </w:rPr>
        <w:t>M</w:t>
      </w:r>
      <w:r>
        <w:rPr>
          <w:rFonts w:hint="eastAsia" w:cs="Times New Roman"/>
          <w:szCs w:val="21"/>
          <w:highlight w:val="none"/>
          <w:vertAlign w:val="subscript"/>
          <w:lang w:val="en-US" w:eastAsia="zh-CN"/>
        </w:rPr>
        <w:t>SF6</w:t>
      </w:r>
      <w:r>
        <w:rPr>
          <w:rFonts w:hint="eastAsia" w:cs="Times New Roman"/>
          <w:szCs w:val="21"/>
          <w:highlight w:val="none"/>
          <w:lang w:val="en-US" w:eastAsia="zh-CN"/>
        </w:rPr>
        <w:t>——变压器使用过程中六氟化硫年泄漏量，单位为千克每年（kg/y）；</w:t>
      </w:r>
    </w:p>
    <w:p w14:paraId="00CBB414">
      <w:pPr>
        <w:pStyle w:val="2"/>
        <w:ind w:left="420" w:leftChars="200" w:firstLine="0" w:firstLineChars="0"/>
        <w:rPr>
          <w:rFonts w:hint="default" w:cs="Times New Roman"/>
          <w:szCs w:val="21"/>
          <w:highlight w:val="none"/>
          <w:lang w:val="en-US" w:eastAsia="zh-CN"/>
        </w:rPr>
      </w:pPr>
      <w:r>
        <w:rPr>
          <w:rFonts w:hint="eastAsia" w:cs="Times New Roman"/>
          <w:szCs w:val="21"/>
          <w:highlight w:val="none"/>
          <w:lang w:val="en-US" w:eastAsia="zh-CN"/>
        </w:rPr>
        <w:t>GWP</w:t>
      </w:r>
      <w:r>
        <w:rPr>
          <w:rFonts w:hint="eastAsia" w:cs="Times New Roman"/>
          <w:szCs w:val="21"/>
          <w:highlight w:val="none"/>
          <w:vertAlign w:val="subscript"/>
          <w:lang w:val="en-US" w:eastAsia="zh-CN"/>
        </w:rPr>
        <w:t>SF6</w:t>
      </w:r>
      <w:r>
        <w:rPr>
          <w:rFonts w:hint="eastAsia" w:cs="Times New Roman"/>
          <w:szCs w:val="21"/>
          <w:highlight w:val="none"/>
          <w:lang w:val="en-US" w:eastAsia="zh-CN"/>
        </w:rPr>
        <w:t>——六氟化硫GWP值，采用IPCC给出的100年GWP值，见附录C。</w:t>
      </w:r>
    </w:p>
    <w:p w14:paraId="708AF1D5">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403" w:name="_Toc27115"/>
      <w:bookmarkStart w:id="404" w:name="_Toc14250"/>
      <w:bookmarkStart w:id="405" w:name="_Toc28126"/>
      <w:bookmarkStart w:id="406" w:name="_Toc32729"/>
      <w:bookmarkStart w:id="407" w:name="_Toc22128"/>
      <w:bookmarkStart w:id="408" w:name="_Toc23371"/>
      <w:r>
        <w:rPr>
          <w:rFonts w:hint="default" w:ascii="Times New Roman" w:hAnsi="Times New Roman" w:eastAsia="黑体" w:cs="Times New Roman"/>
          <w:sz w:val="21"/>
          <w:szCs w:val="21"/>
          <w:highlight w:val="none"/>
          <w:lang w:val="en-US" w:eastAsia="zh-CN"/>
        </w:rPr>
        <w:t>8.1.6 生命末期阶段</w:t>
      </w:r>
      <w:bookmarkEnd w:id="403"/>
      <w:bookmarkEnd w:id="404"/>
      <w:bookmarkEnd w:id="405"/>
      <w:bookmarkEnd w:id="406"/>
      <w:bookmarkEnd w:id="407"/>
      <w:bookmarkEnd w:id="408"/>
    </w:p>
    <w:p w14:paraId="0A5CD9DE">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生命末期阶段的温室气体量化按式（</w:t>
      </w:r>
      <w:r>
        <w:rPr>
          <w:rFonts w:hint="eastAsia" w:cs="Times New Roman"/>
          <w:sz w:val="21"/>
          <w:szCs w:val="21"/>
          <w:highlight w:val="none"/>
          <w:lang w:val="en-US" w:eastAsia="zh-CN"/>
        </w:rPr>
        <w:t>8</w:t>
      </w:r>
      <w:r>
        <w:rPr>
          <w:rFonts w:hint="default" w:ascii="Times New Roman" w:hAnsi="Times New Roman" w:cs="Times New Roman"/>
          <w:sz w:val="21"/>
          <w:szCs w:val="21"/>
          <w:highlight w:val="none"/>
          <w:lang w:val="en-US" w:eastAsia="zh-CN"/>
        </w:rPr>
        <w:t>）计算，计算结果四舍五入至小数点后两位：</w:t>
      </w:r>
    </w:p>
    <w:tbl>
      <w:tblPr>
        <w:tblStyle w:val="8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75"/>
        <w:gridCol w:w="6021"/>
        <w:gridCol w:w="1776"/>
      </w:tblGrid>
      <w:tr w14:paraId="65174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1" w:type="dxa"/>
            <w:vAlign w:val="center"/>
          </w:tcPr>
          <w:p w14:paraId="46F7CE5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4930" w:type="dxa"/>
            <w:vAlign w:val="center"/>
          </w:tcPr>
          <w:p w14:paraId="171B158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38"/>
                <w:sz w:val="21"/>
                <w:szCs w:val="21"/>
                <w:highlight w:val="none"/>
                <w:lang w:val="en-US" w:eastAsia="zh-CN"/>
              </w:rPr>
              <w:object>
                <v:shape id="_x0000_i1032" o:spt="75" type="#_x0000_t75" style="height:33pt;width:290.25pt;" o:ole="t" filled="f" o:preferrelative="t" stroked="f" coordsize="21600,21600">
                  <v:path/>
                  <v:fill on="f" focussize="0,0"/>
                  <v:stroke on="f"/>
                  <v:imagedata r:id="rId39" o:title=""/>
                  <o:lock v:ext="edit" aspectratio="t"/>
                  <w10:wrap type="none"/>
                  <w10:anchorlock/>
                </v:shape>
                <o:OLEObject Type="Embed" ProgID="Equation.KSEE3" ShapeID="_x0000_i1032" DrawAspect="Content" ObjectID="_1468075732" r:id="rId38">
                  <o:LockedField>false</o:LockedField>
                </o:OLEObject>
              </w:object>
            </w:r>
          </w:p>
        </w:tc>
        <w:tc>
          <w:tcPr>
            <w:tcW w:w="1791" w:type="dxa"/>
            <w:vAlign w:val="center"/>
          </w:tcPr>
          <w:p w14:paraId="70390345">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8</w:t>
            </w:r>
            <w:r>
              <w:rPr>
                <w:rFonts w:hint="default" w:ascii="Times New Roman" w:hAnsi="Times New Roman" w:cs="Times New Roman"/>
                <w:sz w:val="21"/>
                <w:szCs w:val="21"/>
                <w:highlight w:val="none"/>
                <w:lang w:val="en-US" w:eastAsia="zh-CN"/>
              </w:rPr>
              <w:t>）</w:t>
            </w:r>
          </w:p>
        </w:tc>
      </w:tr>
    </w:tbl>
    <w:p w14:paraId="674ADBC9">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136AEBEF">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E</w:t>
      </w:r>
      <w:r>
        <w:rPr>
          <w:rFonts w:hint="default" w:ascii="Times New Roman" w:hAnsi="Times New Roman" w:cs="Times New Roman"/>
          <w:sz w:val="21"/>
          <w:szCs w:val="21"/>
          <w:highlight w:val="none"/>
          <w:vertAlign w:val="subscript"/>
          <w:lang w:val="en-US" w:eastAsia="zh-CN"/>
        </w:rPr>
        <w:t>5,j</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生命末期</w:t>
      </w:r>
      <w:r>
        <w:rPr>
          <w:rFonts w:hint="default" w:ascii="Times New Roman" w:hAnsi="Times New Roman" w:cs="Times New Roman"/>
          <w:szCs w:val="21"/>
          <w:highlight w:val="none"/>
        </w:rPr>
        <w:t>阶段第j种能源的消耗量，单位</w:t>
      </w:r>
      <w:r>
        <w:rPr>
          <w:rFonts w:hint="default" w:ascii="Times New Roman" w:hAnsi="Times New Roman" w:cs="Times New Roman"/>
          <w:szCs w:val="21"/>
          <w:highlight w:val="none"/>
          <w:lang w:val="en-US" w:eastAsia="zh-CN"/>
        </w:rPr>
        <w:t>视不同</w:t>
      </w:r>
      <w:r>
        <w:rPr>
          <w:rFonts w:hint="default" w:ascii="Times New Roman" w:hAnsi="Times New Roman" w:cs="Times New Roman"/>
          <w:szCs w:val="21"/>
          <w:highlight w:val="none"/>
        </w:rPr>
        <w:t>能源</w:t>
      </w:r>
      <w:r>
        <w:rPr>
          <w:rFonts w:hint="default" w:ascii="Times New Roman" w:hAnsi="Times New Roman" w:cs="Times New Roman"/>
          <w:szCs w:val="21"/>
          <w:highlight w:val="none"/>
          <w:lang w:val="en-US" w:eastAsia="zh-CN"/>
        </w:rPr>
        <w:t>种类而定</w:t>
      </w:r>
      <w:r>
        <w:rPr>
          <w:rFonts w:hint="default" w:ascii="Times New Roman" w:hAnsi="Times New Roman" w:cs="Times New Roman"/>
          <w:sz w:val="21"/>
          <w:szCs w:val="21"/>
          <w:highlight w:val="none"/>
          <w:lang w:val="en-US" w:eastAsia="zh-CN"/>
        </w:rPr>
        <w:t>；</w:t>
      </w:r>
    </w:p>
    <w:p w14:paraId="35B63429">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E</w:t>
      </w:r>
      <w:r>
        <w:rPr>
          <w:rFonts w:hint="default" w:ascii="Times New Roman" w:hAnsi="Times New Roman" w:cs="Times New Roman"/>
          <w:sz w:val="21"/>
          <w:szCs w:val="21"/>
          <w:highlight w:val="none"/>
          <w:vertAlign w:val="subscript"/>
          <w:lang w:val="en-US" w:eastAsia="zh-CN"/>
        </w:rPr>
        <w:t>5,j</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w:t>
      </w:r>
      <w:r>
        <w:rPr>
          <w:rFonts w:hint="eastAsia" w:cs="Times New Roman"/>
          <w:szCs w:val="21"/>
          <w:highlight w:val="none"/>
          <w:lang w:val="en-US" w:eastAsia="zh-CN"/>
        </w:rPr>
        <w:t>变压器</w:t>
      </w:r>
      <w:r>
        <w:rPr>
          <w:rFonts w:hint="default" w:ascii="Times New Roman" w:hAnsi="Times New Roman" w:cs="Times New Roman"/>
          <w:szCs w:val="21"/>
          <w:highlight w:val="none"/>
          <w:lang w:val="en-US" w:eastAsia="zh-CN"/>
        </w:rPr>
        <w:t>生命末期</w:t>
      </w:r>
      <w:r>
        <w:rPr>
          <w:rFonts w:hint="default" w:ascii="Times New Roman" w:hAnsi="Times New Roman" w:cs="Times New Roman"/>
          <w:szCs w:val="21"/>
          <w:highlight w:val="none"/>
        </w:rPr>
        <w:t>阶段第j种能源生产的第i种温室气体排放因子，单位</w:t>
      </w:r>
      <w:r>
        <w:rPr>
          <w:rFonts w:hint="default" w:ascii="Times New Roman" w:hAnsi="Times New Roman" w:cs="Times New Roman"/>
          <w:szCs w:val="21"/>
          <w:highlight w:val="none"/>
          <w:lang w:val="en-US" w:eastAsia="zh-CN"/>
        </w:rPr>
        <w:t>视不同</w:t>
      </w:r>
      <w:r>
        <w:rPr>
          <w:rFonts w:hint="default" w:ascii="Times New Roman" w:hAnsi="Times New Roman" w:cs="Times New Roman"/>
          <w:szCs w:val="21"/>
          <w:highlight w:val="none"/>
        </w:rPr>
        <w:t>能源</w:t>
      </w:r>
      <w:r>
        <w:rPr>
          <w:rFonts w:hint="default" w:ascii="Times New Roman" w:hAnsi="Times New Roman" w:cs="Times New Roman"/>
          <w:szCs w:val="21"/>
          <w:highlight w:val="none"/>
          <w:lang w:val="en-US" w:eastAsia="zh-CN"/>
        </w:rPr>
        <w:t>种类而定</w:t>
      </w:r>
      <w:r>
        <w:rPr>
          <w:rFonts w:hint="default" w:ascii="Times New Roman" w:hAnsi="Times New Roman" w:cs="Times New Roman"/>
          <w:sz w:val="21"/>
          <w:szCs w:val="21"/>
          <w:highlight w:val="none"/>
          <w:lang w:val="en-US" w:eastAsia="zh-CN"/>
        </w:rPr>
        <w:t>；</w:t>
      </w:r>
    </w:p>
    <w:p w14:paraId="7CF2BB2D">
      <w:pPr>
        <w:pStyle w:val="2"/>
        <w:ind w:left="420" w:left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F</w:t>
      </w:r>
      <w:r>
        <w:rPr>
          <w:rFonts w:hint="default" w:ascii="Times New Roman" w:hAnsi="Times New Roman" w:cs="Times New Roman"/>
          <w:sz w:val="21"/>
          <w:szCs w:val="21"/>
          <w:highlight w:val="none"/>
          <w:vertAlign w:val="subscript"/>
          <w:lang w:val="en-US" w:eastAsia="zh-CN"/>
        </w:rPr>
        <w:t>5,j</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生命末期</w:t>
      </w:r>
      <w:r>
        <w:rPr>
          <w:rFonts w:hint="default" w:ascii="Times New Roman" w:hAnsi="Times New Roman" w:cs="Times New Roman"/>
          <w:szCs w:val="21"/>
          <w:highlight w:val="none"/>
        </w:rPr>
        <w:t>阶段第j种能源</w:t>
      </w:r>
      <w:r>
        <w:rPr>
          <w:rFonts w:hint="default" w:ascii="Times New Roman" w:hAnsi="Times New Roman" w:cs="Times New Roman"/>
          <w:szCs w:val="21"/>
          <w:highlight w:val="none"/>
          <w:lang w:val="en-US" w:eastAsia="zh-CN"/>
        </w:rPr>
        <w:t>燃烧</w:t>
      </w:r>
      <w:r>
        <w:rPr>
          <w:rFonts w:hint="default" w:ascii="Times New Roman" w:hAnsi="Times New Roman" w:cs="Times New Roman"/>
          <w:szCs w:val="21"/>
          <w:highlight w:val="none"/>
        </w:rPr>
        <w:t>的第i种温室气体排放因子，单位</w:t>
      </w:r>
      <w:r>
        <w:rPr>
          <w:rFonts w:hint="default" w:ascii="Times New Roman" w:hAnsi="Times New Roman" w:cs="Times New Roman"/>
          <w:szCs w:val="21"/>
          <w:highlight w:val="none"/>
          <w:lang w:val="en-US" w:eastAsia="zh-CN"/>
        </w:rPr>
        <w:t>视不同</w:t>
      </w:r>
      <w:r>
        <w:rPr>
          <w:rFonts w:hint="default" w:ascii="Times New Roman" w:hAnsi="Times New Roman" w:cs="Times New Roman"/>
          <w:szCs w:val="21"/>
          <w:highlight w:val="none"/>
        </w:rPr>
        <w:t>能源</w:t>
      </w:r>
      <w:r>
        <w:rPr>
          <w:rFonts w:hint="default" w:ascii="Times New Roman" w:hAnsi="Times New Roman" w:cs="Times New Roman"/>
          <w:szCs w:val="21"/>
          <w:highlight w:val="none"/>
          <w:lang w:val="en-US" w:eastAsia="zh-CN"/>
        </w:rPr>
        <w:t>种类而定</w:t>
      </w:r>
      <w:r>
        <w:rPr>
          <w:rFonts w:hint="default" w:ascii="Times New Roman" w:hAnsi="Times New Roman" w:cs="Times New Roman"/>
          <w:sz w:val="21"/>
          <w:szCs w:val="21"/>
          <w:highlight w:val="none"/>
          <w:lang w:val="en-US" w:eastAsia="zh-CN"/>
        </w:rPr>
        <w:t>；</w:t>
      </w:r>
    </w:p>
    <w:p w14:paraId="62B96928">
      <w:pPr>
        <w:pStyle w:val="2"/>
        <w:ind w:left="420" w:leftChars="200"/>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D</w:t>
      </w:r>
      <w:r>
        <w:rPr>
          <w:rFonts w:hint="default" w:ascii="Times New Roman" w:hAnsi="Times New Roman" w:cs="Times New Roman"/>
          <w:sz w:val="21"/>
          <w:szCs w:val="21"/>
          <w:highlight w:val="none"/>
          <w:vertAlign w:val="subscript"/>
          <w:lang w:val="en-US" w:eastAsia="zh-CN"/>
        </w:rPr>
        <w:t>5,k</w:t>
      </w:r>
      <w:r>
        <w:rPr>
          <w:rFonts w:hint="default" w:ascii="Times New Roman" w:hAnsi="Times New Roman" w:cs="Times New Roman"/>
          <w:sz w:val="21"/>
          <w:szCs w:val="21"/>
          <w:highlight w:val="none"/>
          <w:vertAlign w:val="baseline"/>
          <w:lang w:val="en-US" w:eastAsia="zh-CN"/>
        </w:rPr>
        <w:t>——</w:t>
      </w:r>
      <w:r>
        <w:rPr>
          <w:rFonts w:hint="eastAsia" w:cs="Times New Roman"/>
          <w:sz w:val="21"/>
          <w:szCs w:val="21"/>
          <w:highlight w:val="none"/>
          <w:vertAlign w:val="baseline"/>
          <w:lang w:val="en-US" w:eastAsia="zh-CN"/>
        </w:rPr>
        <w:t>变压器</w:t>
      </w:r>
      <w:r>
        <w:rPr>
          <w:rFonts w:hint="default" w:ascii="Times New Roman" w:hAnsi="Times New Roman" w:cs="Times New Roman"/>
          <w:sz w:val="21"/>
          <w:szCs w:val="21"/>
          <w:highlight w:val="none"/>
          <w:vertAlign w:val="baseline"/>
          <w:lang w:val="en-US" w:eastAsia="zh-CN"/>
        </w:rPr>
        <w:t>生命末期阶段第k种运输方式的运输距离，单位为千米（km）；</w:t>
      </w:r>
    </w:p>
    <w:p w14:paraId="12AF50BD">
      <w:pPr>
        <w:pStyle w:val="2"/>
        <w:ind w:left="420" w:leftChars="200"/>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M</w:t>
      </w:r>
      <w:r>
        <w:rPr>
          <w:rFonts w:hint="default" w:ascii="Times New Roman" w:hAnsi="Times New Roman" w:cs="Times New Roman"/>
          <w:sz w:val="21"/>
          <w:szCs w:val="21"/>
          <w:highlight w:val="none"/>
          <w:vertAlign w:val="subscript"/>
          <w:lang w:val="en-US" w:eastAsia="zh-CN"/>
        </w:rPr>
        <w:t>5</w:t>
      </w:r>
      <w:r>
        <w:rPr>
          <w:rFonts w:hint="default" w:ascii="Times New Roman" w:hAnsi="Times New Roman" w:cs="Times New Roman"/>
          <w:sz w:val="21"/>
          <w:szCs w:val="21"/>
          <w:highlight w:val="none"/>
          <w:vertAlign w:val="baseline"/>
          <w:lang w:val="en-US" w:eastAsia="zh-CN"/>
        </w:rPr>
        <w:t>——</w:t>
      </w:r>
      <w:r>
        <w:rPr>
          <w:rFonts w:hint="eastAsia" w:cs="Times New Roman"/>
          <w:sz w:val="21"/>
          <w:szCs w:val="21"/>
          <w:highlight w:val="none"/>
          <w:vertAlign w:val="baseline"/>
          <w:lang w:val="en-US" w:eastAsia="zh-CN"/>
        </w:rPr>
        <w:t>变压器</w:t>
      </w:r>
      <w:r>
        <w:rPr>
          <w:rFonts w:hint="default" w:ascii="Times New Roman" w:hAnsi="Times New Roman" w:cs="Times New Roman"/>
          <w:sz w:val="21"/>
          <w:szCs w:val="21"/>
          <w:highlight w:val="none"/>
          <w:vertAlign w:val="baseline"/>
          <w:lang w:val="en-US" w:eastAsia="zh-CN"/>
        </w:rPr>
        <w:t>生命末期最终处置量（焚烧、填埋等），单位为千克（kg）；</w:t>
      </w:r>
    </w:p>
    <w:p w14:paraId="72C3E6A5">
      <w:pPr>
        <w:pStyle w:val="2"/>
        <w:ind w:left="420" w:leftChars="200"/>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C</w:t>
      </w:r>
      <w:r>
        <w:rPr>
          <w:rFonts w:hint="default" w:ascii="Times New Roman" w:hAnsi="Times New Roman" w:cs="Times New Roman"/>
          <w:sz w:val="21"/>
          <w:szCs w:val="21"/>
          <w:highlight w:val="none"/>
          <w:vertAlign w:val="subscript"/>
          <w:lang w:val="en-US" w:eastAsia="zh-CN"/>
        </w:rPr>
        <w:t>5</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vertAlign w:val="baseline"/>
          <w:lang w:val="en-US" w:eastAsia="zh-CN"/>
        </w:rPr>
        <w:t>——</w:t>
      </w:r>
      <w:r>
        <w:rPr>
          <w:rFonts w:hint="eastAsia" w:cs="Times New Roman"/>
          <w:sz w:val="21"/>
          <w:szCs w:val="21"/>
          <w:highlight w:val="none"/>
          <w:vertAlign w:val="baseline"/>
          <w:lang w:val="en-US" w:eastAsia="zh-CN"/>
        </w:rPr>
        <w:t>变压器</w:t>
      </w:r>
      <w:r>
        <w:rPr>
          <w:rFonts w:hint="default" w:ascii="Times New Roman" w:hAnsi="Times New Roman" w:cs="Times New Roman"/>
          <w:sz w:val="21"/>
          <w:szCs w:val="21"/>
          <w:highlight w:val="none"/>
          <w:vertAlign w:val="baseline"/>
          <w:lang w:val="en-US" w:eastAsia="zh-CN"/>
        </w:rPr>
        <w:t>生命末期阶段需要进行最终处置（焚烧、填埋等）的第i种温室气体排放因子。</w:t>
      </w:r>
    </w:p>
    <w:p w14:paraId="3DF9DEE3">
      <w:pPr>
        <w:spacing w:before="157" w:beforeLines="50" w:after="157" w:afterLines="50"/>
        <w:outlineLvl w:val="1"/>
        <w:rPr>
          <w:rFonts w:hint="default" w:ascii="Times New Roman" w:hAnsi="Times New Roman" w:eastAsia="黑体" w:cs="Times New Roman"/>
          <w:sz w:val="21"/>
          <w:szCs w:val="21"/>
          <w:highlight w:val="none"/>
          <w:lang w:val="en-US" w:eastAsia="zh-CN"/>
        </w:rPr>
      </w:pPr>
      <w:bookmarkStart w:id="409" w:name="_Toc23888"/>
      <w:bookmarkStart w:id="410" w:name="_Toc18937"/>
      <w:bookmarkStart w:id="411" w:name="_Toc3961"/>
      <w:bookmarkStart w:id="412" w:name="_Toc432"/>
      <w:bookmarkStart w:id="413" w:name="_Toc17096"/>
      <w:bookmarkStart w:id="414" w:name="_Toc28974"/>
      <w:r>
        <w:rPr>
          <w:rFonts w:hint="default" w:ascii="Times New Roman" w:hAnsi="Times New Roman" w:eastAsia="黑体" w:cs="Times New Roman"/>
          <w:sz w:val="21"/>
          <w:szCs w:val="21"/>
          <w:highlight w:val="none"/>
          <w:lang w:val="en-US" w:eastAsia="zh-CN"/>
        </w:rPr>
        <w:t>8.2 影响评价</w:t>
      </w:r>
      <w:bookmarkEnd w:id="409"/>
      <w:bookmarkEnd w:id="410"/>
      <w:bookmarkEnd w:id="411"/>
      <w:bookmarkEnd w:id="412"/>
      <w:bookmarkEnd w:id="413"/>
      <w:bookmarkEnd w:id="414"/>
    </w:p>
    <w:p w14:paraId="426AB292">
      <w:pPr>
        <w:pStyle w:val="2"/>
        <w:ind w:left="420" w:leftChars="200"/>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应按GB/T 24067-2024的6.5进行影响评价。</w:t>
      </w:r>
    </w:p>
    <w:p w14:paraId="37866F5B">
      <w:pPr>
        <w:spacing w:before="157" w:beforeLines="50" w:after="157" w:afterLines="50"/>
        <w:outlineLvl w:val="0"/>
        <w:rPr>
          <w:rFonts w:hint="default" w:ascii="Times New Roman" w:hAnsi="Times New Roman" w:eastAsia="黑体" w:cs="Times New Roman"/>
          <w:sz w:val="21"/>
          <w:szCs w:val="21"/>
          <w:highlight w:val="none"/>
          <w:lang w:val="en-US" w:eastAsia="zh-CN"/>
        </w:rPr>
      </w:pPr>
      <w:bookmarkStart w:id="415" w:name="_Toc28705"/>
      <w:bookmarkStart w:id="416" w:name="_Toc7182"/>
      <w:bookmarkStart w:id="417" w:name="_Toc7609"/>
      <w:bookmarkStart w:id="418" w:name="_Toc28145"/>
      <w:bookmarkStart w:id="419" w:name="_Toc14426"/>
      <w:bookmarkStart w:id="420" w:name="_Toc8427"/>
      <w:bookmarkStart w:id="421" w:name="_Toc5226"/>
      <w:r>
        <w:rPr>
          <w:rFonts w:hint="default" w:ascii="Times New Roman" w:hAnsi="Times New Roman" w:eastAsia="黑体" w:cs="Times New Roman"/>
          <w:sz w:val="21"/>
          <w:szCs w:val="21"/>
          <w:highlight w:val="none"/>
          <w:lang w:val="en-US" w:eastAsia="zh-CN"/>
        </w:rPr>
        <w:t>9 结果解释</w:t>
      </w:r>
      <w:bookmarkEnd w:id="415"/>
      <w:bookmarkEnd w:id="416"/>
      <w:bookmarkEnd w:id="417"/>
      <w:bookmarkEnd w:id="418"/>
      <w:bookmarkEnd w:id="419"/>
      <w:bookmarkEnd w:id="420"/>
      <w:bookmarkEnd w:id="421"/>
    </w:p>
    <w:p w14:paraId="0B832A8F">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应按GB/T 24067</w:t>
      </w:r>
      <w:r>
        <w:rPr>
          <w:rFonts w:hint="default" w:ascii="Times New Roman" w:hAnsi="Times New Roman" w:cs="Times New Roman"/>
          <w:sz w:val="21"/>
          <w:szCs w:val="21"/>
          <w:highlight w:val="none"/>
          <w:vertAlign w:val="baseline"/>
          <w:lang w:val="en-US" w:eastAsia="zh-CN"/>
        </w:rPr>
        <w:t>-2024</w:t>
      </w:r>
      <w:r>
        <w:rPr>
          <w:rFonts w:hint="default" w:ascii="Times New Roman" w:hAnsi="Times New Roman" w:cs="Times New Roman"/>
          <w:sz w:val="21"/>
          <w:szCs w:val="21"/>
          <w:highlight w:val="none"/>
          <w:lang w:val="en-US" w:eastAsia="zh-CN"/>
        </w:rPr>
        <w:t>的6.6进行结果解释。</w:t>
      </w:r>
    </w:p>
    <w:p w14:paraId="3F3770ED">
      <w:pPr>
        <w:spacing w:before="157" w:beforeLines="50" w:after="157" w:afterLines="50"/>
        <w:outlineLvl w:val="0"/>
        <w:rPr>
          <w:rFonts w:hint="default" w:ascii="Times New Roman" w:hAnsi="Times New Roman" w:eastAsia="黑体" w:cs="Times New Roman"/>
          <w:sz w:val="21"/>
          <w:szCs w:val="21"/>
          <w:highlight w:val="none"/>
          <w:lang w:val="en-US" w:eastAsia="zh-CN"/>
        </w:rPr>
      </w:pPr>
      <w:bookmarkStart w:id="422" w:name="_Toc19718"/>
      <w:bookmarkStart w:id="423" w:name="_Toc7442"/>
      <w:bookmarkStart w:id="424" w:name="_Toc16330"/>
      <w:bookmarkStart w:id="425" w:name="_Toc27230"/>
      <w:bookmarkStart w:id="426" w:name="_Toc24623"/>
      <w:bookmarkStart w:id="427" w:name="_Toc30186"/>
      <w:bookmarkStart w:id="428" w:name="_Toc4912"/>
      <w:r>
        <w:rPr>
          <w:rFonts w:hint="default" w:ascii="Times New Roman" w:hAnsi="Times New Roman" w:eastAsia="黑体" w:cs="Times New Roman"/>
          <w:sz w:val="21"/>
          <w:szCs w:val="21"/>
          <w:highlight w:val="none"/>
          <w:lang w:val="en-US" w:eastAsia="zh-CN"/>
        </w:rPr>
        <w:t>10 产品碳足迹报告</w:t>
      </w:r>
      <w:bookmarkEnd w:id="422"/>
      <w:bookmarkEnd w:id="423"/>
      <w:bookmarkEnd w:id="424"/>
      <w:bookmarkEnd w:id="425"/>
      <w:bookmarkEnd w:id="426"/>
      <w:bookmarkEnd w:id="427"/>
      <w:bookmarkEnd w:id="428"/>
    </w:p>
    <w:p w14:paraId="266A9799">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产品碳足迹通报应符合GB/T 24067中第7章的规定。系列产品可以包含在同一报告中并分别进行碳足迹报告。</w:t>
      </w:r>
    </w:p>
    <w:p w14:paraId="0F8501F4">
      <w:pPr>
        <w:spacing w:before="157" w:beforeLines="50" w:after="157" w:afterLines="50"/>
        <w:outlineLvl w:val="0"/>
        <w:rPr>
          <w:rFonts w:hint="default" w:ascii="Times New Roman" w:hAnsi="Times New Roman" w:eastAsia="黑体" w:cs="Times New Roman"/>
          <w:sz w:val="21"/>
          <w:szCs w:val="21"/>
          <w:highlight w:val="none"/>
          <w:lang w:val="en-US" w:eastAsia="zh-CN"/>
        </w:rPr>
      </w:pPr>
      <w:bookmarkStart w:id="429" w:name="_Toc2104"/>
      <w:bookmarkStart w:id="430" w:name="_Toc5776"/>
      <w:r>
        <w:rPr>
          <w:rFonts w:hint="default" w:ascii="Times New Roman" w:hAnsi="Times New Roman" w:eastAsia="黑体" w:cs="Times New Roman"/>
          <w:sz w:val="21"/>
          <w:szCs w:val="21"/>
          <w:highlight w:val="none"/>
          <w:lang w:val="en-US" w:eastAsia="zh-CN"/>
        </w:rPr>
        <w:t>1</w:t>
      </w:r>
      <w:r>
        <w:rPr>
          <w:rFonts w:hint="eastAsia" w:eastAsia="黑体" w:cs="Times New Roman"/>
          <w:sz w:val="21"/>
          <w:szCs w:val="21"/>
          <w:highlight w:val="none"/>
          <w:lang w:val="en-US" w:eastAsia="zh-CN"/>
        </w:rPr>
        <w:t>1</w:t>
      </w:r>
      <w:r>
        <w:rPr>
          <w:rFonts w:hint="default" w:ascii="Times New Roman" w:hAnsi="Times New Roman" w:eastAsia="黑体" w:cs="Times New Roman"/>
          <w:sz w:val="21"/>
          <w:szCs w:val="21"/>
          <w:highlight w:val="none"/>
          <w:lang w:val="en-US" w:eastAsia="zh-CN"/>
        </w:rPr>
        <w:t xml:space="preserve"> 产品碳足迹</w:t>
      </w:r>
      <w:r>
        <w:rPr>
          <w:rFonts w:hint="eastAsia" w:eastAsia="黑体" w:cs="Times New Roman"/>
          <w:sz w:val="21"/>
          <w:szCs w:val="21"/>
          <w:highlight w:val="none"/>
          <w:lang w:val="en-US" w:eastAsia="zh-CN"/>
        </w:rPr>
        <w:t>声明</w:t>
      </w:r>
      <w:bookmarkEnd w:id="429"/>
      <w:bookmarkEnd w:id="430"/>
    </w:p>
    <w:p w14:paraId="0064E8BA">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产品碳足迹</w:t>
      </w:r>
      <w:r>
        <w:rPr>
          <w:rFonts w:hint="eastAsia" w:cs="Times New Roman"/>
          <w:sz w:val="21"/>
          <w:szCs w:val="21"/>
          <w:highlight w:val="none"/>
          <w:lang w:val="en-US" w:eastAsia="zh-CN"/>
        </w:rPr>
        <w:t>声明</w:t>
      </w:r>
      <w:r>
        <w:rPr>
          <w:rFonts w:hint="default" w:ascii="Times New Roman" w:hAnsi="Times New Roman" w:cs="Times New Roman"/>
          <w:sz w:val="21"/>
          <w:szCs w:val="21"/>
          <w:highlight w:val="none"/>
          <w:lang w:val="en-US" w:eastAsia="zh-CN"/>
        </w:rPr>
        <w:t>应符合GB/T 24067中第</w:t>
      </w:r>
      <w:r>
        <w:rPr>
          <w:rFonts w:hint="eastAsia" w:cs="Times New Roman"/>
          <w:sz w:val="21"/>
          <w:szCs w:val="21"/>
          <w:highlight w:val="none"/>
          <w:lang w:val="en-US" w:eastAsia="zh-CN"/>
        </w:rPr>
        <w:t>9</w:t>
      </w:r>
      <w:r>
        <w:rPr>
          <w:rFonts w:hint="default" w:ascii="Times New Roman" w:hAnsi="Times New Roman" w:cs="Times New Roman"/>
          <w:sz w:val="21"/>
          <w:szCs w:val="21"/>
          <w:highlight w:val="none"/>
          <w:lang w:val="en-US" w:eastAsia="zh-CN"/>
        </w:rPr>
        <w:t>章的规定。</w:t>
      </w:r>
    </w:p>
    <w:p w14:paraId="79444269">
      <w:pPr>
        <w:pStyle w:val="2"/>
        <w:ind w:firstLine="420" w:firstLineChars="200"/>
        <w:rPr>
          <w:rFonts w:hint="default" w:ascii="Times New Roman" w:hAnsi="Times New Roman" w:cs="Times New Roman"/>
          <w:sz w:val="21"/>
          <w:szCs w:val="21"/>
          <w:highlight w:val="none"/>
          <w:lang w:val="en-US" w:eastAsia="zh-CN"/>
        </w:rPr>
      </w:pPr>
    </w:p>
    <w:p w14:paraId="1F693EED">
      <w:pPr>
        <w:pStyle w:val="2"/>
        <w:rPr>
          <w:rFonts w:hint="default"/>
          <w:highlight w:val="none"/>
          <w:lang w:val="en-US" w:eastAsia="zh-CN"/>
        </w:rPr>
        <w:sectPr>
          <w:footerReference r:id="rId12" w:type="default"/>
          <w:footerReference r:id="rId13" w:type="even"/>
          <w:pgSz w:w="11907" w:h="16839"/>
          <w:pgMar w:top="1417" w:right="1134" w:bottom="1134" w:left="1417" w:header="1417" w:footer="1134" w:gutter="0"/>
          <w:pgNumType w:fmt="decimal" w:start="1"/>
          <w:cols w:space="425" w:num="1"/>
          <w:docGrid w:type="lines" w:linePitch="312" w:charSpace="0"/>
        </w:sectPr>
      </w:pPr>
    </w:p>
    <w:p w14:paraId="129A4331">
      <w:pPr>
        <w:jc w:val="center"/>
        <w:outlineLvl w:val="0"/>
        <w:rPr>
          <w:rFonts w:hint="default" w:ascii="Times New Roman" w:hAnsi="Times New Roman" w:eastAsia="黑体" w:cs="Times New Roman"/>
          <w:sz w:val="21"/>
          <w:szCs w:val="21"/>
          <w:highlight w:val="none"/>
          <w:lang w:val="en-US" w:eastAsia="zh-CN"/>
        </w:rPr>
      </w:pPr>
      <w:bookmarkStart w:id="431" w:name="_Toc20711"/>
      <w:bookmarkStart w:id="432" w:name="_Toc17108"/>
      <w:bookmarkStart w:id="433" w:name="_Toc23593"/>
      <w:bookmarkStart w:id="434" w:name="_Toc13078"/>
      <w:bookmarkStart w:id="435" w:name="_Toc23240"/>
      <w:bookmarkStart w:id="436" w:name="_Toc31920"/>
      <w:bookmarkStart w:id="437" w:name="_Toc15248"/>
      <w:bookmarkStart w:id="438" w:name="_Toc26553"/>
      <w:bookmarkStart w:id="439" w:name="_Toc3057"/>
      <w:bookmarkStart w:id="440" w:name="_Toc20566"/>
      <w:bookmarkStart w:id="441" w:name="_Toc14254"/>
      <w:bookmarkStart w:id="442" w:name="_Toc24964"/>
      <w:bookmarkStart w:id="443" w:name="_Toc26056"/>
      <w:bookmarkStart w:id="444" w:name="_Toc10889"/>
      <w:bookmarkStart w:id="445" w:name="_Toc4598"/>
      <w:bookmarkStart w:id="446" w:name="_Toc6513"/>
      <w:r>
        <w:rPr>
          <w:rFonts w:hint="default" w:ascii="Times New Roman" w:hAnsi="Times New Roman" w:eastAsia="黑体" w:cs="Times New Roman"/>
          <w:sz w:val="21"/>
          <w:szCs w:val="21"/>
          <w:highlight w:val="none"/>
          <w:lang w:val="en-US" w:eastAsia="zh-CN"/>
        </w:rPr>
        <w:t>附录</w:t>
      </w:r>
      <w:r>
        <w:rPr>
          <w:rFonts w:hint="eastAsia" w:eastAsia="黑体" w:cs="Times New Roman"/>
          <w:sz w:val="21"/>
          <w:szCs w:val="21"/>
          <w:highlight w:val="none"/>
          <w:lang w:val="en-US" w:eastAsia="zh-CN"/>
        </w:rPr>
        <w:t>A</w:t>
      </w:r>
      <w:bookmarkEnd w:id="431"/>
      <w:r>
        <w:rPr>
          <w:rFonts w:ascii="黑体" w:eastAsia="黑体"/>
        </w:rPr>
        <w:br w:type="textWrapping"/>
      </w:r>
      <w:r>
        <w:rPr>
          <w:rFonts w:hint="default" w:ascii="Times New Roman" w:hAnsi="Times New Roman" w:eastAsia="黑体" w:cs="Times New Roman"/>
          <w:sz w:val="21"/>
          <w:szCs w:val="21"/>
          <w:highlight w:val="none"/>
          <w:lang w:val="en-US" w:eastAsia="zh-CN"/>
        </w:rPr>
        <w:t>（</w:t>
      </w:r>
      <w:r>
        <w:rPr>
          <w:rFonts w:hint="eastAsia" w:eastAsia="黑体" w:cs="Times New Roman"/>
          <w:sz w:val="21"/>
          <w:szCs w:val="21"/>
          <w:highlight w:val="none"/>
          <w:lang w:val="en-US" w:eastAsia="zh-CN"/>
        </w:rPr>
        <w:t>规范</w:t>
      </w:r>
      <w:r>
        <w:rPr>
          <w:rFonts w:hint="default" w:ascii="Times New Roman" w:hAnsi="Times New Roman" w:eastAsia="黑体" w:cs="Times New Roman"/>
          <w:sz w:val="21"/>
          <w:szCs w:val="21"/>
          <w:highlight w:val="none"/>
          <w:lang w:val="en-US" w:eastAsia="zh-CN"/>
        </w:rPr>
        <w:t>性）</w:t>
      </w:r>
      <w:r>
        <w:rPr>
          <w:rFonts w:ascii="黑体" w:eastAsia="黑体"/>
        </w:rPr>
        <w:br w:type="textWrapping"/>
      </w:r>
      <w:r>
        <w:rPr>
          <w:rFonts w:hint="eastAsia" w:eastAsia="黑体" w:cs="Times New Roman"/>
          <w:sz w:val="21"/>
          <w:szCs w:val="21"/>
          <w:highlight w:val="none"/>
          <w:lang w:val="en-US" w:eastAsia="zh-CN"/>
        </w:rPr>
        <w:t>数据质量评估</w:t>
      </w:r>
      <w:bookmarkEnd w:id="432"/>
    </w:p>
    <w:p w14:paraId="468D5FE5">
      <w:pPr>
        <w:outlineLvl w:val="3"/>
        <w:rPr>
          <w:rFonts w:hint="default" w:ascii="Times New Roman" w:hAnsi="Times New Roman" w:eastAsia="黑体" w:cs="Times New Roman"/>
          <w:sz w:val="21"/>
          <w:szCs w:val="21"/>
          <w:highlight w:val="none"/>
          <w:lang w:val="en-US" w:eastAsia="zh-CN"/>
        </w:rPr>
      </w:pPr>
      <w:r>
        <w:rPr>
          <w:rFonts w:hint="eastAsia" w:eastAsia="黑体" w:cs="Times New Roman"/>
          <w:sz w:val="21"/>
          <w:szCs w:val="21"/>
          <w:highlight w:val="none"/>
          <w:lang w:val="en-US" w:eastAsia="zh-CN"/>
        </w:rPr>
        <w:t>A</w:t>
      </w:r>
      <w:r>
        <w:rPr>
          <w:rFonts w:hint="default" w:ascii="Times New Roman" w:hAnsi="Times New Roman" w:eastAsia="黑体" w:cs="Times New Roman"/>
          <w:sz w:val="21"/>
          <w:szCs w:val="21"/>
          <w:highlight w:val="none"/>
          <w:lang w:val="en-US" w:eastAsia="zh-CN"/>
        </w:rPr>
        <w:t>.1 初级数据质量评估</w:t>
      </w:r>
    </w:p>
    <w:p w14:paraId="4C60EF9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产品碳足迹量化过程中应对所使用的每个初级数据进行质量评估。评估应从技术代表性（TeR）、地理代表性（GeR）、时间代表性（TiR）和数据准确性（P）四个质量标准进行评分，具体评分规则详见表</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1。</w:t>
      </w:r>
    </w:p>
    <w:p w14:paraId="7EC962C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初级数据质量评估按式（</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1）计算：</w:t>
      </w:r>
    </w:p>
    <w:tbl>
      <w:tblPr>
        <w:tblStyle w:val="8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3196"/>
        <w:gridCol w:w="2841"/>
      </w:tblGrid>
      <w:tr w14:paraId="3A57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1D5116F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2841" w:type="dxa"/>
            <w:vAlign w:val="center"/>
          </w:tcPr>
          <w:p w14:paraId="761A614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24"/>
                <w:sz w:val="21"/>
                <w:szCs w:val="21"/>
                <w:highlight w:val="none"/>
                <w:lang w:val="en-US" w:eastAsia="zh-CN"/>
              </w:rPr>
              <w:object>
                <v:shape id="_x0000_i1033" o:spt="75" type="#_x0000_t75" style="height:31pt;width:149pt;" o:ole="t" filled="f" o:preferrelative="t" stroked="f" coordsize="21600,21600">
                  <v:path/>
                  <v:fill on="f" focussize="0,0"/>
                  <v:stroke on="f"/>
                  <v:imagedata r:id="rId41" o:title=""/>
                  <o:lock v:ext="edit" aspectratio="t"/>
                  <w10:wrap type="none"/>
                  <w10:anchorlock/>
                </v:shape>
                <o:OLEObject Type="Embed" ProgID="Equation.KSEE3" ShapeID="_x0000_i1033" DrawAspect="Content" ObjectID="_1468075733" r:id="rId40">
                  <o:LockedField>false</o:LockedField>
                </o:OLEObject>
              </w:object>
            </w:r>
          </w:p>
        </w:tc>
        <w:tc>
          <w:tcPr>
            <w:tcW w:w="2841" w:type="dxa"/>
            <w:vAlign w:val="center"/>
          </w:tcPr>
          <w:p w14:paraId="66EECC4D">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1）</w:t>
            </w:r>
          </w:p>
        </w:tc>
      </w:tr>
    </w:tbl>
    <w:p w14:paraId="716D3F55">
      <w:pPr>
        <w:snapToGrid/>
        <w:spacing w:after="0" w:line="240" w:lineRule="auto"/>
        <w:ind w:firstLine="420" w:firstLineChars="20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71F0AC72">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lang w:val="en-US" w:eastAsia="zh-CN"/>
        </w:rPr>
        <w:t>DQR</w:t>
      </w:r>
      <w:r>
        <w:rPr>
          <w:rFonts w:hint="default" w:ascii="Times New Roman" w:hAnsi="Times New Roman" w:cs="Times New Roman"/>
          <w:i/>
          <w:iCs/>
          <w:sz w:val="21"/>
          <w:szCs w:val="21"/>
          <w:highlight w:val="none"/>
          <w:vertAlign w:val="subscript"/>
          <w:lang w:val="en-US" w:eastAsia="zh-CN"/>
        </w:rPr>
        <w:t>初</w:t>
      </w:r>
      <w:r>
        <w:rPr>
          <w:rFonts w:hint="default" w:ascii="Times New Roman" w:hAnsi="Times New Roman" w:cs="Times New Roman"/>
          <w:sz w:val="21"/>
          <w:szCs w:val="21"/>
          <w:highlight w:val="none"/>
          <w:lang w:val="en-US" w:eastAsia="zh-CN"/>
        </w:rPr>
        <w:t>——初级数据的数据质量评估分值；</w:t>
      </w:r>
    </w:p>
    <w:p w14:paraId="4B13BF76">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lang w:val="en-US" w:eastAsia="zh-CN"/>
        </w:rPr>
        <w:t>TeR——初级数据的技术代表性分值；</w:t>
      </w:r>
    </w:p>
    <w:p w14:paraId="55BAE9B9">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lang w:val="en-US" w:eastAsia="zh-CN"/>
        </w:rPr>
        <w:t>GeR——初级数据的地理代表性分值；</w:t>
      </w:r>
    </w:p>
    <w:p w14:paraId="547275FF">
      <w:pPr>
        <w:snapToGrid/>
        <w:spacing w:after="0" w:line="240" w:lineRule="auto"/>
        <w:ind w:left="840" w:leftChars="400" w:firstLine="0" w:firstLineChars="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TiR——初级数据的时间代表性分值；</w:t>
      </w:r>
    </w:p>
    <w:p w14:paraId="5354673D">
      <w:pPr>
        <w:snapToGrid/>
        <w:spacing w:after="0" w:line="240" w:lineRule="auto"/>
        <w:ind w:left="840" w:leftChars="400" w:firstLine="0" w:firstLineChars="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P——初级数据的数据准确性分值。</w:t>
      </w:r>
    </w:p>
    <w:p w14:paraId="75D9254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表</w:t>
      </w:r>
      <w:r>
        <w:rPr>
          <w:rFonts w:hint="eastAsia" w:eastAsia="黑体" w:cs="Times New Roman"/>
          <w:sz w:val="21"/>
          <w:szCs w:val="21"/>
          <w:highlight w:val="none"/>
          <w:lang w:val="en-US" w:eastAsia="zh-CN"/>
        </w:rPr>
        <w:t>A.</w:t>
      </w:r>
      <w:r>
        <w:rPr>
          <w:rFonts w:hint="default" w:ascii="Times New Roman" w:hAnsi="Times New Roman" w:eastAsia="黑体" w:cs="Times New Roman"/>
          <w:sz w:val="21"/>
          <w:szCs w:val="21"/>
          <w:highlight w:val="none"/>
          <w:lang w:val="en-US" w:eastAsia="zh-CN"/>
        </w:rPr>
        <w:t>1 初级数据质量标准评分规则</w:t>
      </w:r>
    </w:p>
    <w:tbl>
      <w:tblPr>
        <w:tblStyle w:val="8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8"/>
        <w:gridCol w:w="2337"/>
        <w:gridCol w:w="2906"/>
        <w:gridCol w:w="2316"/>
      </w:tblGrid>
      <w:tr w14:paraId="4FD0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49" w:type="pct"/>
            <w:vAlign w:val="center"/>
          </w:tcPr>
          <w:p w14:paraId="138290D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时间代表性</w:t>
            </w:r>
            <w:r>
              <w:rPr>
                <w:rFonts w:hint="default" w:ascii="Times New Roman" w:hAnsi="Times New Roman" w:eastAsia="宋体" w:cs="Times New Roman"/>
                <w:sz w:val="18"/>
                <w:szCs w:val="18"/>
                <w:highlight w:val="none"/>
                <w:lang w:val="en-US" w:eastAsia="zh-CN"/>
              </w:rPr>
              <w:t>（TiR）</w:t>
            </w:r>
          </w:p>
        </w:tc>
        <w:tc>
          <w:tcPr>
            <w:tcW w:w="1221" w:type="pct"/>
            <w:vAlign w:val="center"/>
          </w:tcPr>
          <w:p w14:paraId="72FA478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技术代表性</w:t>
            </w:r>
            <w:r>
              <w:rPr>
                <w:rFonts w:hint="default" w:ascii="Times New Roman" w:hAnsi="Times New Roman" w:eastAsia="宋体" w:cs="Times New Roman"/>
                <w:sz w:val="18"/>
                <w:szCs w:val="18"/>
                <w:highlight w:val="none"/>
                <w:lang w:val="en-US" w:eastAsia="zh-CN"/>
              </w:rPr>
              <w:t>（TeR）</w:t>
            </w:r>
          </w:p>
        </w:tc>
        <w:tc>
          <w:tcPr>
            <w:tcW w:w="1518" w:type="pct"/>
            <w:vAlign w:val="center"/>
          </w:tcPr>
          <w:p w14:paraId="1D0EBC5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地理代表性</w:t>
            </w:r>
            <w:r>
              <w:rPr>
                <w:rFonts w:hint="default" w:ascii="Times New Roman" w:hAnsi="Times New Roman" w:eastAsia="宋体" w:cs="Times New Roman"/>
                <w:sz w:val="18"/>
                <w:szCs w:val="18"/>
                <w:highlight w:val="none"/>
                <w:lang w:val="en-US" w:eastAsia="zh-CN"/>
              </w:rPr>
              <w:t>（GeR）</w:t>
            </w:r>
          </w:p>
        </w:tc>
        <w:tc>
          <w:tcPr>
            <w:tcW w:w="1210" w:type="pct"/>
            <w:vAlign w:val="center"/>
          </w:tcPr>
          <w:p w14:paraId="14FC4F3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数据准确性（P）</w:t>
            </w:r>
          </w:p>
        </w:tc>
      </w:tr>
      <w:tr w14:paraId="2367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pct"/>
            <w:vAlign w:val="center"/>
          </w:tcPr>
          <w:p w14:paraId="287D347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数据参考最近</w:t>
            </w:r>
            <w:r>
              <w:rPr>
                <w:rFonts w:hint="default" w:ascii="Times New Roman" w:hAnsi="Times New Roman" w:eastAsia="宋体" w:cs="Times New Roman"/>
                <w:sz w:val="18"/>
                <w:szCs w:val="18"/>
                <w:highlight w:val="none"/>
                <w:lang w:val="en-US" w:eastAsia="zh-CN"/>
              </w:rPr>
              <w:t>年度</w:t>
            </w:r>
            <w:r>
              <w:rPr>
                <w:rFonts w:hint="default" w:ascii="Times New Roman" w:hAnsi="Times New Roman" w:eastAsia="宋体" w:cs="Times New Roman"/>
                <w:sz w:val="18"/>
                <w:szCs w:val="18"/>
                <w:highlight w:val="none"/>
              </w:rPr>
              <w:t>中环境足迹报告公布的数据</w:t>
            </w:r>
            <w:r>
              <w:rPr>
                <w:rFonts w:hint="default" w:ascii="Times New Roman" w:hAnsi="Times New Roman" w:eastAsia="宋体" w:cs="Times New Roman"/>
                <w:sz w:val="18"/>
                <w:szCs w:val="18"/>
                <w:highlight w:val="none"/>
                <w:lang w:eastAsia="zh-CN"/>
              </w:rPr>
              <w:t>，</w:t>
            </w:r>
            <w:r>
              <w:rPr>
                <w:rFonts w:hint="default" w:ascii="Times New Roman" w:hAnsi="Times New Roman" w:eastAsia="宋体" w:cs="Times New Roman"/>
                <w:sz w:val="18"/>
                <w:szCs w:val="18"/>
                <w:highlight w:val="none"/>
                <w:lang w:val="en-US" w:eastAsia="zh-CN"/>
              </w:rPr>
              <w:t>得1分</w:t>
            </w:r>
          </w:p>
        </w:tc>
        <w:tc>
          <w:tcPr>
            <w:tcW w:w="1221" w:type="pct"/>
            <w:vAlign w:val="center"/>
          </w:tcPr>
          <w:p w14:paraId="120C8A3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基本流和活动数据准确地反映最新创建数据集的技术</w:t>
            </w:r>
            <w:r>
              <w:rPr>
                <w:rFonts w:hint="default" w:ascii="Times New Roman" w:hAnsi="Times New Roman" w:eastAsia="宋体" w:cs="Times New Roman"/>
                <w:sz w:val="18"/>
                <w:szCs w:val="18"/>
                <w:highlight w:val="none"/>
                <w:lang w:eastAsia="zh-CN"/>
              </w:rPr>
              <w:t>，</w:t>
            </w:r>
            <w:r>
              <w:rPr>
                <w:rFonts w:hint="default" w:ascii="Times New Roman" w:hAnsi="Times New Roman" w:eastAsia="宋体" w:cs="Times New Roman"/>
                <w:sz w:val="18"/>
                <w:szCs w:val="18"/>
                <w:highlight w:val="none"/>
                <w:lang w:val="en-US" w:eastAsia="zh-CN"/>
              </w:rPr>
              <w:t>得1分</w:t>
            </w:r>
          </w:p>
        </w:tc>
        <w:tc>
          <w:tcPr>
            <w:tcW w:w="1518" w:type="pct"/>
            <w:vAlign w:val="center"/>
          </w:tcPr>
          <w:p w14:paraId="4E9F89C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活动数据和基本流准确地反映这个最新创建的数据集中的模型化工序的使用地区</w:t>
            </w:r>
            <w:r>
              <w:rPr>
                <w:rFonts w:hint="default" w:ascii="Times New Roman" w:hAnsi="Times New Roman" w:eastAsia="宋体" w:cs="Times New Roman"/>
                <w:sz w:val="18"/>
                <w:szCs w:val="18"/>
                <w:highlight w:val="none"/>
                <w:lang w:eastAsia="zh-CN"/>
              </w:rPr>
              <w:t>，</w:t>
            </w:r>
            <w:r>
              <w:rPr>
                <w:rFonts w:hint="default" w:ascii="Times New Roman" w:hAnsi="Times New Roman" w:eastAsia="宋体" w:cs="Times New Roman"/>
                <w:sz w:val="18"/>
                <w:szCs w:val="18"/>
                <w:highlight w:val="none"/>
                <w:lang w:val="en-US" w:eastAsia="zh-CN"/>
              </w:rPr>
              <w:t>得1分</w:t>
            </w:r>
          </w:p>
        </w:tc>
        <w:tc>
          <w:tcPr>
            <w:tcW w:w="1210" w:type="pct"/>
            <w:vAlign w:val="center"/>
          </w:tcPr>
          <w:p w14:paraId="214A3F8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测量/计算并且外部验证</w:t>
            </w:r>
            <w:r>
              <w:rPr>
                <w:rFonts w:hint="default" w:ascii="Times New Roman" w:hAnsi="Times New Roman" w:eastAsia="宋体" w:cs="Times New Roman"/>
                <w:sz w:val="18"/>
                <w:szCs w:val="18"/>
                <w:highlight w:val="none"/>
                <w:lang w:eastAsia="zh-CN"/>
              </w:rPr>
              <w:t>，</w:t>
            </w:r>
            <w:r>
              <w:rPr>
                <w:rFonts w:hint="default" w:ascii="Times New Roman" w:hAnsi="Times New Roman" w:eastAsia="宋体" w:cs="Times New Roman"/>
                <w:sz w:val="18"/>
                <w:szCs w:val="18"/>
                <w:highlight w:val="none"/>
                <w:lang w:val="en-US" w:eastAsia="zh-CN"/>
              </w:rPr>
              <w:t>得1分</w:t>
            </w:r>
          </w:p>
        </w:tc>
      </w:tr>
      <w:tr w14:paraId="0F7D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pct"/>
            <w:vAlign w:val="center"/>
          </w:tcPr>
          <w:p w14:paraId="1BEDD1A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数据参考最多两</w:t>
            </w:r>
            <w:r>
              <w:rPr>
                <w:rFonts w:hint="default" w:ascii="Times New Roman" w:hAnsi="Times New Roman" w:eastAsia="宋体" w:cs="Times New Roman"/>
                <w:sz w:val="18"/>
                <w:szCs w:val="18"/>
                <w:highlight w:val="none"/>
                <w:lang w:val="en-US" w:eastAsia="zh-CN"/>
              </w:rPr>
              <w:t>年内</w:t>
            </w:r>
            <w:r>
              <w:rPr>
                <w:rFonts w:hint="default" w:ascii="Times New Roman" w:hAnsi="Times New Roman" w:eastAsia="宋体" w:cs="Times New Roman"/>
                <w:sz w:val="18"/>
                <w:szCs w:val="18"/>
                <w:highlight w:val="none"/>
              </w:rPr>
              <w:t>环境足迹报告公布的数据</w:t>
            </w:r>
            <w:r>
              <w:rPr>
                <w:rFonts w:hint="default" w:ascii="Times New Roman" w:hAnsi="Times New Roman" w:eastAsia="宋体" w:cs="Times New Roman"/>
                <w:sz w:val="18"/>
                <w:szCs w:val="18"/>
                <w:highlight w:val="none"/>
                <w:lang w:eastAsia="zh-CN"/>
              </w:rPr>
              <w:t>，</w:t>
            </w:r>
            <w:r>
              <w:rPr>
                <w:rFonts w:hint="default" w:ascii="Times New Roman" w:hAnsi="Times New Roman" w:eastAsia="宋体" w:cs="Times New Roman"/>
                <w:sz w:val="18"/>
                <w:szCs w:val="18"/>
                <w:highlight w:val="none"/>
                <w:lang w:val="en-US" w:eastAsia="zh-CN"/>
              </w:rPr>
              <w:t>得2分</w:t>
            </w:r>
          </w:p>
        </w:tc>
        <w:tc>
          <w:tcPr>
            <w:tcW w:w="1221" w:type="pct"/>
            <w:vAlign w:val="center"/>
          </w:tcPr>
          <w:p w14:paraId="62E325C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基本流和活动数据可以代表最新创建数据集的技术</w:t>
            </w:r>
            <w:r>
              <w:rPr>
                <w:rFonts w:hint="default" w:ascii="Times New Roman" w:hAnsi="Times New Roman" w:eastAsia="宋体" w:cs="Times New Roman"/>
                <w:sz w:val="18"/>
                <w:szCs w:val="18"/>
                <w:highlight w:val="none"/>
                <w:lang w:eastAsia="zh-CN"/>
              </w:rPr>
              <w:t>，</w:t>
            </w:r>
            <w:r>
              <w:rPr>
                <w:rFonts w:hint="default" w:ascii="Times New Roman" w:hAnsi="Times New Roman" w:eastAsia="宋体" w:cs="Times New Roman"/>
                <w:sz w:val="18"/>
                <w:szCs w:val="18"/>
                <w:highlight w:val="none"/>
                <w:lang w:val="en-US" w:eastAsia="zh-CN"/>
              </w:rPr>
              <w:t>得2分</w:t>
            </w:r>
          </w:p>
        </w:tc>
        <w:tc>
          <w:tcPr>
            <w:tcW w:w="1518" w:type="pct"/>
            <w:vAlign w:val="center"/>
          </w:tcPr>
          <w:p w14:paraId="4C4DD46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活动数据和基本流大致反映这个最新创建的数据集中的模型化工序的使用地区</w:t>
            </w:r>
            <w:r>
              <w:rPr>
                <w:rFonts w:hint="default" w:ascii="Times New Roman" w:hAnsi="Times New Roman" w:eastAsia="宋体" w:cs="Times New Roman"/>
                <w:sz w:val="18"/>
                <w:szCs w:val="18"/>
                <w:highlight w:val="none"/>
                <w:lang w:eastAsia="zh-CN"/>
              </w:rPr>
              <w:t>，</w:t>
            </w:r>
            <w:r>
              <w:rPr>
                <w:rFonts w:hint="default" w:ascii="Times New Roman" w:hAnsi="Times New Roman" w:eastAsia="宋体" w:cs="Times New Roman"/>
                <w:sz w:val="18"/>
                <w:szCs w:val="18"/>
                <w:highlight w:val="none"/>
                <w:lang w:val="en-US" w:eastAsia="zh-CN"/>
              </w:rPr>
              <w:t>得2分</w:t>
            </w:r>
          </w:p>
        </w:tc>
        <w:tc>
          <w:tcPr>
            <w:tcW w:w="1210" w:type="pct"/>
            <w:vAlign w:val="center"/>
          </w:tcPr>
          <w:p w14:paraId="7783720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测量/计算并且内部验证，可信度由审查员检查</w:t>
            </w:r>
            <w:r>
              <w:rPr>
                <w:rFonts w:hint="default" w:ascii="Times New Roman" w:hAnsi="Times New Roman" w:eastAsia="宋体" w:cs="Times New Roman"/>
                <w:sz w:val="18"/>
                <w:szCs w:val="18"/>
                <w:highlight w:val="none"/>
                <w:lang w:eastAsia="zh-CN"/>
              </w:rPr>
              <w:t>，</w:t>
            </w:r>
            <w:r>
              <w:rPr>
                <w:rFonts w:hint="default" w:ascii="Times New Roman" w:hAnsi="Times New Roman" w:eastAsia="宋体" w:cs="Times New Roman"/>
                <w:sz w:val="18"/>
                <w:szCs w:val="18"/>
                <w:highlight w:val="none"/>
                <w:lang w:val="en-US" w:eastAsia="zh-CN"/>
              </w:rPr>
              <w:t>得2分</w:t>
            </w:r>
          </w:p>
        </w:tc>
      </w:tr>
      <w:tr w14:paraId="7CBC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pct"/>
            <w:vAlign w:val="center"/>
          </w:tcPr>
          <w:p w14:paraId="38E60D2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数据参考最多三</w:t>
            </w:r>
            <w:r>
              <w:rPr>
                <w:rFonts w:hint="default" w:ascii="Times New Roman" w:hAnsi="Times New Roman" w:eastAsia="宋体" w:cs="Times New Roman"/>
                <w:sz w:val="18"/>
                <w:szCs w:val="18"/>
                <w:highlight w:val="none"/>
                <w:lang w:val="en-US" w:eastAsia="zh-CN"/>
              </w:rPr>
              <w:t>年内</w:t>
            </w:r>
            <w:r>
              <w:rPr>
                <w:rFonts w:hint="default" w:ascii="Times New Roman" w:hAnsi="Times New Roman" w:eastAsia="宋体" w:cs="Times New Roman"/>
                <w:sz w:val="18"/>
                <w:szCs w:val="18"/>
                <w:highlight w:val="none"/>
              </w:rPr>
              <w:t>环境足迹报告公布的数据</w:t>
            </w:r>
            <w:r>
              <w:rPr>
                <w:rFonts w:hint="default" w:ascii="Times New Roman" w:hAnsi="Times New Roman" w:eastAsia="宋体" w:cs="Times New Roman"/>
                <w:sz w:val="18"/>
                <w:szCs w:val="18"/>
                <w:highlight w:val="none"/>
                <w:lang w:eastAsia="zh-CN"/>
              </w:rPr>
              <w:t>，</w:t>
            </w:r>
            <w:r>
              <w:rPr>
                <w:rFonts w:hint="default" w:ascii="Times New Roman" w:hAnsi="Times New Roman" w:eastAsia="宋体" w:cs="Times New Roman"/>
                <w:sz w:val="18"/>
                <w:szCs w:val="18"/>
                <w:highlight w:val="none"/>
                <w:lang w:val="en-US" w:eastAsia="zh-CN"/>
              </w:rPr>
              <w:t>得3分</w:t>
            </w:r>
          </w:p>
        </w:tc>
        <w:tc>
          <w:tcPr>
            <w:tcW w:w="1221" w:type="pct"/>
            <w:vAlign w:val="center"/>
          </w:tcPr>
          <w:p w14:paraId="6D7A82B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lang w:val="en-US" w:eastAsia="zh-CN"/>
              </w:rPr>
              <w:t>不适用</w:t>
            </w:r>
          </w:p>
        </w:tc>
        <w:tc>
          <w:tcPr>
            <w:tcW w:w="1518" w:type="pct"/>
            <w:vAlign w:val="center"/>
          </w:tcPr>
          <w:p w14:paraId="64C7AAF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lang w:val="en-US" w:eastAsia="zh-CN"/>
              </w:rPr>
              <w:t>不适用</w:t>
            </w:r>
          </w:p>
        </w:tc>
        <w:tc>
          <w:tcPr>
            <w:tcW w:w="1210" w:type="pct"/>
            <w:vAlign w:val="center"/>
          </w:tcPr>
          <w:p w14:paraId="1616E1B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测量/计算/文献并且可信度未经审查员检查，或者基于计算的有保留的估算并且可信度由审查员检查</w:t>
            </w:r>
            <w:r>
              <w:rPr>
                <w:rFonts w:hint="default" w:ascii="Times New Roman" w:hAnsi="Times New Roman" w:eastAsia="宋体" w:cs="Times New Roman"/>
                <w:sz w:val="18"/>
                <w:szCs w:val="18"/>
                <w:highlight w:val="none"/>
                <w:lang w:eastAsia="zh-CN"/>
              </w:rPr>
              <w:t>，</w:t>
            </w:r>
            <w:r>
              <w:rPr>
                <w:rFonts w:hint="default" w:ascii="Times New Roman" w:hAnsi="Times New Roman" w:eastAsia="宋体" w:cs="Times New Roman"/>
                <w:sz w:val="18"/>
                <w:szCs w:val="18"/>
                <w:highlight w:val="none"/>
                <w:lang w:val="en-US" w:eastAsia="zh-CN"/>
              </w:rPr>
              <w:t>得3分</w:t>
            </w:r>
          </w:p>
        </w:tc>
      </w:tr>
    </w:tbl>
    <w:p w14:paraId="44A4450E">
      <w:pPr>
        <w:outlineLvl w:val="3"/>
        <w:rPr>
          <w:rFonts w:hint="default" w:ascii="Times New Roman" w:hAnsi="Times New Roman" w:eastAsia="黑体" w:cs="Times New Roman"/>
          <w:sz w:val="21"/>
          <w:szCs w:val="21"/>
          <w:highlight w:val="none"/>
          <w:lang w:val="en-US" w:eastAsia="zh-CN"/>
        </w:rPr>
      </w:pPr>
      <w:r>
        <w:rPr>
          <w:rFonts w:hint="eastAsia" w:eastAsia="黑体" w:cs="Times New Roman"/>
          <w:sz w:val="21"/>
          <w:szCs w:val="21"/>
          <w:highlight w:val="none"/>
          <w:lang w:val="en-US" w:eastAsia="zh-CN"/>
        </w:rPr>
        <w:t>A</w:t>
      </w:r>
      <w:r>
        <w:rPr>
          <w:rFonts w:hint="default" w:ascii="Times New Roman" w:hAnsi="Times New Roman" w:eastAsia="黑体" w:cs="Times New Roman"/>
          <w:sz w:val="21"/>
          <w:szCs w:val="21"/>
          <w:highlight w:val="none"/>
          <w:lang w:val="en-US" w:eastAsia="zh-CN"/>
        </w:rPr>
        <w:t>.2 次级数据质量评估</w:t>
      </w:r>
    </w:p>
    <w:p w14:paraId="31B7063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产品碳足迹量化过程中应对所使用的每个次级数据进行质量评估。评估应从技术代表性（TeR）、地理代表性（GeR）、时间代表性（TiR）三个质量标准进行评分，具体评分规则详见表</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2。</w:t>
      </w:r>
    </w:p>
    <w:p w14:paraId="49A8CA8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次级数据质量评估按照式（</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2）计算：</w:t>
      </w:r>
    </w:p>
    <w:tbl>
      <w:tblPr>
        <w:tblStyle w:val="8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3640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2AEE227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2841" w:type="dxa"/>
            <w:vAlign w:val="center"/>
          </w:tcPr>
          <w:p w14:paraId="05C6389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24"/>
                <w:sz w:val="21"/>
                <w:szCs w:val="21"/>
                <w:highlight w:val="none"/>
                <w:lang w:val="en-US" w:eastAsia="zh-CN"/>
              </w:rPr>
              <w:object>
                <v:shape id="_x0000_i1034" o:spt="75" type="#_x0000_t75" style="height:31pt;width:129pt;" o:ole="t" filled="f" o:preferrelative="t" stroked="f" coordsize="21600,21600">
                  <v:path/>
                  <v:fill on="f" focussize="0,0"/>
                  <v:stroke on="f"/>
                  <v:imagedata r:id="rId43" o:title=""/>
                  <o:lock v:ext="edit" aspectratio="t"/>
                  <w10:wrap type="none"/>
                  <w10:anchorlock/>
                </v:shape>
                <o:OLEObject Type="Embed" ProgID="Equation.KSEE3" ShapeID="_x0000_i1034" DrawAspect="Content" ObjectID="_1468075734" r:id="rId42">
                  <o:LockedField>false</o:LockedField>
                </o:OLEObject>
              </w:object>
            </w:r>
          </w:p>
        </w:tc>
        <w:tc>
          <w:tcPr>
            <w:tcW w:w="2841" w:type="dxa"/>
            <w:vAlign w:val="center"/>
          </w:tcPr>
          <w:p w14:paraId="5BC9533A">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2）</w:t>
            </w:r>
          </w:p>
        </w:tc>
      </w:tr>
    </w:tbl>
    <w:p w14:paraId="1CEEEBCE">
      <w:pPr>
        <w:snapToGrid/>
        <w:spacing w:after="0" w:line="240" w:lineRule="auto"/>
        <w:ind w:firstLine="420" w:firstLineChars="20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5FAD78E8">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lang w:val="en-US" w:eastAsia="zh-CN"/>
        </w:rPr>
        <w:t>DQR</w:t>
      </w:r>
      <w:r>
        <w:rPr>
          <w:rFonts w:hint="default" w:ascii="Times New Roman" w:hAnsi="Times New Roman" w:cs="Times New Roman"/>
          <w:i/>
          <w:iCs/>
          <w:sz w:val="21"/>
          <w:szCs w:val="21"/>
          <w:highlight w:val="none"/>
          <w:vertAlign w:val="subscript"/>
          <w:lang w:val="en-US" w:eastAsia="zh-CN"/>
        </w:rPr>
        <w:t>次</w:t>
      </w:r>
      <w:r>
        <w:rPr>
          <w:rFonts w:hint="default" w:ascii="Times New Roman" w:hAnsi="Times New Roman" w:cs="Times New Roman"/>
          <w:sz w:val="21"/>
          <w:szCs w:val="21"/>
          <w:highlight w:val="none"/>
          <w:lang w:val="en-US" w:eastAsia="zh-CN"/>
        </w:rPr>
        <w:t>——次级数据的数据质量评估分值；</w:t>
      </w:r>
    </w:p>
    <w:p w14:paraId="7ABD264B">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lang w:val="en-US" w:eastAsia="zh-CN"/>
        </w:rPr>
        <w:t>TeR——次级数据的技术代表性分值；</w:t>
      </w:r>
    </w:p>
    <w:p w14:paraId="5DA12E8E">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lang w:val="en-US" w:eastAsia="zh-CN"/>
        </w:rPr>
        <w:t>GeR——次级数据的地理代表性分值；</w:t>
      </w:r>
    </w:p>
    <w:p w14:paraId="2D796078">
      <w:pPr>
        <w:snapToGrid/>
        <w:spacing w:after="0" w:line="240" w:lineRule="auto"/>
        <w:ind w:left="840" w:leftChars="400" w:firstLine="0" w:firstLineChars="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TiR——次级数据的时间代表性分值。</w:t>
      </w:r>
    </w:p>
    <w:p w14:paraId="77DB7F1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表</w:t>
      </w:r>
      <w:r>
        <w:rPr>
          <w:rFonts w:hint="eastAsia" w:eastAsia="黑体" w:cs="Times New Roman"/>
          <w:sz w:val="21"/>
          <w:szCs w:val="21"/>
          <w:highlight w:val="none"/>
          <w:lang w:val="en-US" w:eastAsia="zh-CN"/>
        </w:rPr>
        <w:t>A.</w:t>
      </w:r>
      <w:r>
        <w:rPr>
          <w:rFonts w:hint="default" w:ascii="Times New Roman" w:hAnsi="Times New Roman" w:eastAsia="黑体" w:cs="Times New Roman"/>
          <w:sz w:val="21"/>
          <w:szCs w:val="21"/>
          <w:highlight w:val="none"/>
          <w:lang w:val="en-US" w:eastAsia="zh-CN"/>
        </w:rPr>
        <w:t>2 次级数据质量标准评分规则</w:t>
      </w:r>
    </w:p>
    <w:tbl>
      <w:tblPr>
        <w:tblStyle w:val="8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2"/>
        <w:gridCol w:w="2936"/>
        <w:gridCol w:w="3013"/>
        <w:gridCol w:w="906"/>
      </w:tblGrid>
      <w:tr w14:paraId="7EAB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pct"/>
            <w:vAlign w:val="center"/>
          </w:tcPr>
          <w:p w14:paraId="2AF3274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时间代表性</w:t>
            </w:r>
            <w:r>
              <w:rPr>
                <w:rFonts w:hint="default" w:ascii="Times New Roman" w:hAnsi="Times New Roman" w:cs="Times New Roman"/>
                <w:sz w:val="18"/>
                <w:szCs w:val="18"/>
                <w:highlight w:val="none"/>
                <w:lang w:val="en-US" w:eastAsia="zh-CN"/>
              </w:rPr>
              <w:t>（TiR）</w:t>
            </w:r>
          </w:p>
        </w:tc>
        <w:tc>
          <w:tcPr>
            <w:tcW w:w="1534" w:type="pct"/>
            <w:vAlign w:val="center"/>
          </w:tcPr>
          <w:p w14:paraId="39C276F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技术代表性</w:t>
            </w:r>
            <w:r>
              <w:rPr>
                <w:rFonts w:hint="default" w:ascii="Times New Roman" w:hAnsi="Times New Roman" w:cs="Times New Roman"/>
                <w:sz w:val="18"/>
                <w:szCs w:val="18"/>
                <w:highlight w:val="none"/>
                <w:lang w:val="en-US" w:eastAsia="zh-CN"/>
              </w:rPr>
              <w:t>（TeR）</w:t>
            </w:r>
          </w:p>
        </w:tc>
        <w:tc>
          <w:tcPr>
            <w:tcW w:w="1574" w:type="pct"/>
            <w:vAlign w:val="center"/>
          </w:tcPr>
          <w:p w14:paraId="7E18567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地理代表性</w:t>
            </w:r>
            <w:r>
              <w:rPr>
                <w:rFonts w:hint="default" w:ascii="Times New Roman" w:hAnsi="Times New Roman" w:cs="Times New Roman"/>
                <w:sz w:val="18"/>
                <w:szCs w:val="18"/>
                <w:highlight w:val="none"/>
                <w:lang w:val="en-US" w:eastAsia="zh-CN"/>
              </w:rPr>
              <w:t>（GeR）</w:t>
            </w:r>
          </w:p>
        </w:tc>
        <w:tc>
          <w:tcPr>
            <w:tcW w:w="473" w:type="pct"/>
            <w:vAlign w:val="center"/>
          </w:tcPr>
          <w:p w14:paraId="3FA5ED1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分值</w:t>
            </w:r>
          </w:p>
        </w:tc>
      </w:tr>
      <w:tr w14:paraId="2C35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pct"/>
            <w:vAlign w:val="center"/>
          </w:tcPr>
          <w:p w14:paraId="50809E5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环境足迹数据发布的日期在数据集的有效期内</w:t>
            </w:r>
          </w:p>
        </w:tc>
        <w:tc>
          <w:tcPr>
            <w:tcW w:w="1534" w:type="pct"/>
            <w:vAlign w:val="center"/>
          </w:tcPr>
          <w:p w14:paraId="4FFC493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lang w:val="en-US" w:eastAsia="zh-CN"/>
              </w:rPr>
              <w:t>环境足迹数据</w:t>
            </w:r>
            <w:r>
              <w:rPr>
                <w:rFonts w:hint="default" w:ascii="Times New Roman" w:hAnsi="Times New Roman" w:cs="Times New Roman"/>
                <w:sz w:val="18"/>
                <w:szCs w:val="18"/>
                <w:highlight w:val="none"/>
              </w:rPr>
              <w:t>使用的技术与数据集范围内的技术完全相同</w:t>
            </w:r>
          </w:p>
        </w:tc>
        <w:tc>
          <w:tcPr>
            <w:tcW w:w="1574" w:type="pct"/>
            <w:vAlign w:val="center"/>
          </w:tcPr>
          <w:p w14:paraId="59D949D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环境足迹数据</w:t>
            </w:r>
            <w:r>
              <w:rPr>
                <w:rFonts w:hint="default" w:ascii="Times New Roman" w:hAnsi="Times New Roman" w:cs="Times New Roman"/>
                <w:sz w:val="18"/>
                <w:szCs w:val="18"/>
                <w:highlight w:val="none"/>
              </w:rPr>
              <w:t>模拟的工序在数据集有效的国家有应用</w:t>
            </w:r>
          </w:p>
        </w:tc>
        <w:tc>
          <w:tcPr>
            <w:tcW w:w="473" w:type="pct"/>
            <w:vAlign w:val="center"/>
          </w:tcPr>
          <w:p w14:paraId="7C20F43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1</w:t>
            </w:r>
          </w:p>
        </w:tc>
      </w:tr>
      <w:tr w14:paraId="18E0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pct"/>
            <w:vAlign w:val="center"/>
          </w:tcPr>
          <w:p w14:paraId="0667486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环境足迹数据</w:t>
            </w:r>
            <w:r>
              <w:rPr>
                <w:rFonts w:hint="default" w:ascii="Times New Roman" w:hAnsi="Times New Roman" w:cs="Times New Roman"/>
                <w:sz w:val="18"/>
                <w:szCs w:val="18"/>
                <w:highlight w:val="none"/>
              </w:rPr>
              <w:t>发布的日期不</w:t>
            </w:r>
            <w:r>
              <w:rPr>
                <w:rFonts w:hint="default" w:ascii="Times New Roman" w:hAnsi="Times New Roman" w:cs="Times New Roman"/>
                <w:sz w:val="18"/>
                <w:szCs w:val="18"/>
                <w:highlight w:val="none"/>
                <w:lang w:val="en-US" w:eastAsia="zh-CN"/>
              </w:rPr>
              <w:t>超过</w:t>
            </w:r>
            <w:r>
              <w:rPr>
                <w:rFonts w:hint="default" w:ascii="Times New Roman" w:hAnsi="Times New Roman" w:cs="Times New Roman"/>
                <w:sz w:val="18"/>
                <w:szCs w:val="18"/>
                <w:highlight w:val="none"/>
              </w:rPr>
              <w:t>数据集有效期的2年</w:t>
            </w:r>
          </w:p>
        </w:tc>
        <w:tc>
          <w:tcPr>
            <w:tcW w:w="1534" w:type="pct"/>
            <w:vAlign w:val="center"/>
          </w:tcPr>
          <w:p w14:paraId="13042DE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lang w:val="en-US" w:eastAsia="zh-CN"/>
              </w:rPr>
              <w:t>环境足迹数据</w:t>
            </w:r>
            <w:r>
              <w:rPr>
                <w:rFonts w:hint="default" w:ascii="Times New Roman" w:hAnsi="Times New Roman" w:cs="Times New Roman"/>
                <w:sz w:val="18"/>
                <w:szCs w:val="18"/>
                <w:highlight w:val="none"/>
              </w:rPr>
              <w:t>使用的技术包括在数据集范围内的技术组合中</w:t>
            </w:r>
          </w:p>
        </w:tc>
        <w:tc>
          <w:tcPr>
            <w:tcW w:w="1574" w:type="pct"/>
            <w:vAlign w:val="center"/>
          </w:tcPr>
          <w:p w14:paraId="53C442B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环境足迹数据</w:t>
            </w:r>
            <w:r>
              <w:rPr>
                <w:rFonts w:hint="default" w:ascii="Times New Roman" w:hAnsi="Times New Roman" w:cs="Times New Roman"/>
                <w:sz w:val="18"/>
                <w:szCs w:val="18"/>
                <w:highlight w:val="none"/>
              </w:rPr>
              <w:t>模拟的工序在数据集有效的一些地区有应用</w:t>
            </w:r>
          </w:p>
        </w:tc>
        <w:tc>
          <w:tcPr>
            <w:tcW w:w="473" w:type="pct"/>
            <w:vAlign w:val="center"/>
          </w:tcPr>
          <w:p w14:paraId="0A3E1EE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2</w:t>
            </w:r>
          </w:p>
        </w:tc>
      </w:tr>
      <w:tr w14:paraId="418A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pct"/>
            <w:vAlign w:val="center"/>
          </w:tcPr>
          <w:p w14:paraId="37C790A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环境足迹数据</w:t>
            </w:r>
            <w:r>
              <w:rPr>
                <w:rFonts w:hint="default" w:ascii="Times New Roman" w:hAnsi="Times New Roman" w:cs="Times New Roman"/>
                <w:sz w:val="18"/>
                <w:szCs w:val="18"/>
                <w:highlight w:val="none"/>
              </w:rPr>
              <w:t>发布的日期不</w:t>
            </w:r>
            <w:r>
              <w:rPr>
                <w:rFonts w:hint="default" w:ascii="Times New Roman" w:hAnsi="Times New Roman" w:cs="Times New Roman"/>
                <w:sz w:val="18"/>
                <w:szCs w:val="18"/>
                <w:highlight w:val="none"/>
                <w:lang w:val="en-US" w:eastAsia="zh-CN"/>
              </w:rPr>
              <w:t>超过</w:t>
            </w:r>
            <w:r>
              <w:rPr>
                <w:rFonts w:hint="default" w:ascii="Times New Roman" w:hAnsi="Times New Roman" w:cs="Times New Roman"/>
                <w:sz w:val="18"/>
                <w:szCs w:val="18"/>
                <w:highlight w:val="none"/>
              </w:rPr>
              <w:t>数据集有效期的4年</w:t>
            </w:r>
          </w:p>
        </w:tc>
        <w:tc>
          <w:tcPr>
            <w:tcW w:w="1534" w:type="pct"/>
            <w:vAlign w:val="center"/>
          </w:tcPr>
          <w:p w14:paraId="46F4518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lang w:val="en-US" w:eastAsia="zh-CN"/>
              </w:rPr>
              <w:t>环境足迹数据</w:t>
            </w:r>
            <w:r>
              <w:rPr>
                <w:rFonts w:hint="default" w:ascii="Times New Roman" w:hAnsi="Times New Roman" w:cs="Times New Roman"/>
                <w:sz w:val="18"/>
                <w:szCs w:val="18"/>
                <w:highlight w:val="none"/>
              </w:rPr>
              <w:t>使用的技术只有部分包括在数据集的范围内的技术组合中</w:t>
            </w:r>
          </w:p>
        </w:tc>
        <w:tc>
          <w:tcPr>
            <w:tcW w:w="1574" w:type="pct"/>
            <w:vAlign w:val="center"/>
          </w:tcPr>
          <w:p w14:paraId="692FFE7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lang w:val="en-US" w:eastAsia="zh-CN"/>
              </w:rPr>
              <w:t>环境足迹数据</w:t>
            </w:r>
            <w:r>
              <w:rPr>
                <w:rFonts w:hint="default" w:ascii="Times New Roman" w:hAnsi="Times New Roman" w:cs="Times New Roman"/>
                <w:sz w:val="18"/>
                <w:szCs w:val="18"/>
                <w:highlight w:val="none"/>
              </w:rPr>
              <w:t>模拟的工序在数据集有效的其中一个地区有应用</w:t>
            </w:r>
          </w:p>
        </w:tc>
        <w:tc>
          <w:tcPr>
            <w:tcW w:w="473" w:type="pct"/>
            <w:vAlign w:val="center"/>
          </w:tcPr>
          <w:p w14:paraId="339CEA6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3</w:t>
            </w:r>
          </w:p>
        </w:tc>
      </w:tr>
      <w:tr w14:paraId="57EF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pct"/>
            <w:vAlign w:val="center"/>
          </w:tcPr>
          <w:p w14:paraId="37DDF76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lang w:val="en-US" w:eastAsia="zh-CN"/>
              </w:rPr>
              <w:t>环境足迹数据</w:t>
            </w:r>
            <w:r>
              <w:rPr>
                <w:rFonts w:hint="default" w:ascii="Times New Roman" w:hAnsi="Times New Roman" w:cs="Times New Roman"/>
                <w:sz w:val="18"/>
                <w:szCs w:val="18"/>
                <w:highlight w:val="none"/>
              </w:rPr>
              <w:t>发布的日期</w:t>
            </w:r>
            <w:r>
              <w:rPr>
                <w:rFonts w:hint="default" w:ascii="Times New Roman" w:hAnsi="Times New Roman" w:cs="Times New Roman"/>
                <w:sz w:val="18"/>
                <w:szCs w:val="18"/>
                <w:highlight w:val="none"/>
                <w:lang w:val="en-US" w:eastAsia="zh-CN"/>
              </w:rPr>
              <w:t>不超过</w:t>
            </w:r>
            <w:r>
              <w:rPr>
                <w:rFonts w:hint="default" w:ascii="Times New Roman" w:hAnsi="Times New Roman" w:cs="Times New Roman"/>
                <w:sz w:val="18"/>
                <w:szCs w:val="18"/>
                <w:highlight w:val="none"/>
              </w:rPr>
              <w:t>数据集有效期的6年</w:t>
            </w:r>
          </w:p>
        </w:tc>
        <w:tc>
          <w:tcPr>
            <w:tcW w:w="1534" w:type="pct"/>
            <w:vAlign w:val="center"/>
          </w:tcPr>
          <w:p w14:paraId="3297E9D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lang w:val="en-US" w:eastAsia="zh-CN"/>
              </w:rPr>
              <w:t>环境足迹数据</w:t>
            </w:r>
            <w:r>
              <w:rPr>
                <w:rFonts w:hint="default" w:ascii="Times New Roman" w:hAnsi="Times New Roman" w:cs="Times New Roman"/>
                <w:sz w:val="18"/>
                <w:szCs w:val="18"/>
                <w:highlight w:val="none"/>
              </w:rPr>
              <w:t>使用的技术与数据集范围内的技术类似</w:t>
            </w:r>
          </w:p>
        </w:tc>
        <w:tc>
          <w:tcPr>
            <w:tcW w:w="1574" w:type="pct"/>
            <w:vAlign w:val="center"/>
          </w:tcPr>
          <w:p w14:paraId="7958E31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lang w:val="en-US" w:eastAsia="zh-CN"/>
              </w:rPr>
              <w:t>环境足迹数据</w:t>
            </w:r>
            <w:r>
              <w:rPr>
                <w:rFonts w:hint="default" w:ascii="Times New Roman" w:hAnsi="Times New Roman" w:cs="Times New Roman"/>
                <w:sz w:val="18"/>
                <w:szCs w:val="18"/>
                <w:highlight w:val="none"/>
              </w:rPr>
              <w:t>模拟的工序应用的国家不属于数据集有效的地区，但是地区间的相似性基于专家的判断进行了充分的评估</w:t>
            </w:r>
          </w:p>
        </w:tc>
        <w:tc>
          <w:tcPr>
            <w:tcW w:w="473" w:type="pct"/>
            <w:vAlign w:val="center"/>
          </w:tcPr>
          <w:p w14:paraId="5D77B4D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4</w:t>
            </w:r>
          </w:p>
        </w:tc>
      </w:tr>
      <w:tr w14:paraId="3427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pct"/>
            <w:vAlign w:val="center"/>
          </w:tcPr>
          <w:p w14:paraId="67F754A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环境足迹数据</w:t>
            </w:r>
            <w:r>
              <w:rPr>
                <w:rFonts w:hint="default" w:ascii="Times New Roman" w:hAnsi="Times New Roman" w:cs="Times New Roman"/>
                <w:sz w:val="18"/>
                <w:szCs w:val="18"/>
                <w:highlight w:val="none"/>
              </w:rPr>
              <w:t>发布的日期超过数据集有效期的6年，或是数据集的有效期不明确</w:t>
            </w:r>
          </w:p>
        </w:tc>
        <w:tc>
          <w:tcPr>
            <w:tcW w:w="1534" w:type="pct"/>
            <w:vAlign w:val="center"/>
          </w:tcPr>
          <w:p w14:paraId="3EDA936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lang w:val="en-US" w:eastAsia="zh-CN"/>
              </w:rPr>
              <w:t>环境足迹数据</w:t>
            </w:r>
            <w:r>
              <w:rPr>
                <w:rFonts w:hint="default" w:ascii="Times New Roman" w:hAnsi="Times New Roman" w:cs="Times New Roman"/>
                <w:sz w:val="18"/>
                <w:szCs w:val="18"/>
                <w:highlight w:val="none"/>
              </w:rPr>
              <w:t>使用的技术和数据集范围内的技术不同</w:t>
            </w:r>
          </w:p>
        </w:tc>
        <w:tc>
          <w:tcPr>
            <w:tcW w:w="1574" w:type="pct"/>
            <w:vAlign w:val="center"/>
          </w:tcPr>
          <w:p w14:paraId="75C5BB8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环境足迹数据</w:t>
            </w:r>
            <w:r>
              <w:rPr>
                <w:rFonts w:hint="default" w:ascii="Times New Roman" w:hAnsi="Times New Roman" w:cs="Times New Roman"/>
                <w:sz w:val="18"/>
                <w:szCs w:val="18"/>
                <w:highlight w:val="none"/>
              </w:rPr>
              <w:t>模拟的工序在数据集有效的国家中没有应用</w:t>
            </w:r>
          </w:p>
        </w:tc>
        <w:tc>
          <w:tcPr>
            <w:tcW w:w="473" w:type="pct"/>
            <w:vAlign w:val="center"/>
          </w:tcPr>
          <w:p w14:paraId="7A53022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5</w:t>
            </w:r>
          </w:p>
        </w:tc>
      </w:tr>
    </w:tbl>
    <w:p w14:paraId="773D12A2">
      <w:pPr>
        <w:outlineLvl w:val="3"/>
        <w:rPr>
          <w:rFonts w:hint="default" w:ascii="Times New Roman" w:hAnsi="Times New Roman" w:eastAsia="黑体" w:cs="Times New Roman"/>
          <w:sz w:val="21"/>
          <w:szCs w:val="21"/>
          <w:highlight w:val="none"/>
          <w:lang w:val="en-US" w:eastAsia="zh-CN"/>
        </w:rPr>
      </w:pPr>
      <w:r>
        <w:rPr>
          <w:rFonts w:hint="eastAsia" w:eastAsia="黑体" w:cs="Times New Roman"/>
          <w:sz w:val="21"/>
          <w:szCs w:val="21"/>
          <w:highlight w:val="none"/>
          <w:lang w:val="en-US" w:eastAsia="zh-CN"/>
        </w:rPr>
        <w:t>A</w:t>
      </w:r>
      <w:r>
        <w:rPr>
          <w:rFonts w:hint="default" w:ascii="Times New Roman" w:hAnsi="Times New Roman" w:eastAsia="黑体" w:cs="Times New Roman"/>
          <w:sz w:val="21"/>
          <w:szCs w:val="21"/>
          <w:highlight w:val="none"/>
          <w:lang w:val="en-US" w:eastAsia="zh-CN"/>
        </w:rPr>
        <w:t>.3 数据质量综合评估</w:t>
      </w:r>
    </w:p>
    <w:p w14:paraId="2062E8C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产品碳足迹量化过程中数据质量综合评估应按以下步骤执行：</w:t>
      </w:r>
    </w:p>
    <w:p w14:paraId="194B62AD">
      <w:pPr>
        <w:keepNext w:val="0"/>
        <w:keepLines w:val="0"/>
        <w:pageBreakBefore w:val="0"/>
        <w:widowControl w:val="0"/>
        <w:numPr>
          <w:ilvl w:val="0"/>
          <w:numId w:val="33"/>
        </w:numPr>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计算每个数据在总碳足迹影响中的贡献占比。</w:t>
      </w:r>
    </w:p>
    <w:p w14:paraId="781520D0">
      <w:pPr>
        <w:keepNext w:val="0"/>
        <w:keepLines w:val="0"/>
        <w:pageBreakBefore w:val="0"/>
        <w:widowControl w:val="0"/>
        <w:numPr>
          <w:ilvl w:val="0"/>
          <w:numId w:val="33"/>
        </w:numPr>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筛选出碳足迹影响相关性较高的数据项，其碳足迹影响之和应占</w:t>
      </w:r>
      <w:r>
        <w:rPr>
          <w:rFonts w:hint="eastAsia" w:cs="Times New Roman"/>
          <w:sz w:val="21"/>
          <w:szCs w:val="21"/>
          <w:highlight w:val="none"/>
          <w:lang w:val="en-US" w:eastAsia="zh-CN"/>
        </w:rPr>
        <w:t>变压器</w:t>
      </w:r>
      <w:r>
        <w:rPr>
          <w:rFonts w:hint="default" w:ascii="Times New Roman" w:hAnsi="Times New Roman" w:cs="Times New Roman"/>
          <w:sz w:val="21"/>
          <w:szCs w:val="21"/>
          <w:highlight w:val="none"/>
          <w:lang w:val="en-US" w:eastAsia="zh-CN"/>
        </w:rPr>
        <w:t>总碳足迹影响的80%以上。</w:t>
      </w:r>
    </w:p>
    <w:p w14:paraId="3CF3B2EE">
      <w:pPr>
        <w:keepNext w:val="0"/>
        <w:keepLines w:val="0"/>
        <w:pageBreakBefore w:val="0"/>
        <w:widowControl w:val="0"/>
        <w:numPr>
          <w:ilvl w:val="0"/>
          <w:numId w:val="33"/>
        </w:numPr>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在筛选后的数据集中，重新计算各数据项的贡献占比，作为该数据项的碳足迹影响权重。</w:t>
      </w:r>
    </w:p>
    <w:p w14:paraId="43731249">
      <w:pPr>
        <w:keepNext w:val="0"/>
        <w:keepLines w:val="0"/>
        <w:pageBreakBefore w:val="0"/>
        <w:widowControl w:val="0"/>
        <w:numPr>
          <w:ilvl w:val="0"/>
          <w:numId w:val="33"/>
        </w:numPr>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按公式（</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3）计算初级数据的数据准确性（P）加权平均值。</w:t>
      </w:r>
    </w:p>
    <w:p w14:paraId="4AC8C13D">
      <w:pPr>
        <w:keepNext w:val="0"/>
        <w:keepLines w:val="0"/>
        <w:pageBreakBefore w:val="0"/>
        <w:widowControl w:val="0"/>
        <w:numPr>
          <w:ilvl w:val="0"/>
          <w:numId w:val="33"/>
        </w:numPr>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按公式（</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4）计算初级数据和次级数据的时间代表性（TiR）加权平均值。</w:t>
      </w:r>
    </w:p>
    <w:p w14:paraId="0C234A4E">
      <w:pPr>
        <w:keepNext w:val="0"/>
        <w:keepLines w:val="0"/>
        <w:pageBreakBefore w:val="0"/>
        <w:widowControl w:val="0"/>
        <w:numPr>
          <w:ilvl w:val="0"/>
          <w:numId w:val="33"/>
        </w:numPr>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按公式（</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5）计算初级数据和次级数据的技术代表性（TeR）加权平均值。</w:t>
      </w:r>
    </w:p>
    <w:p w14:paraId="0CD05711">
      <w:pPr>
        <w:keepNext w:val="0"/>
        <w:keepLines w:val="0"/>
        <w:pageBreakBefore w:val="0"/>
        <w:widowControl w:val="0"/>
        <w:numPr>
          <w:ilvl w:val="0"/>
          <w:numId w:val="33"/>
        </w:numPr>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按公式（</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6）计算初级数据和次级数据的地理代表性（GeR）加权平均值。</w:t>
      </w:r>
    </w:p>
    <w:p w14:paraId="5ABA3B94">
      <w:pPr>
        <w:keepNext w:val="0"/>
        <w:keepLines w:val="0"/>
        <w:pageBreakBefore w:val="0"/>
        <w:widowControl w:val="0"/>
        <w:numPr>
          <w:ilvl w:val="0"/>
          <w:numId w:val="33"/>
        </w:numPr>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将按d）~g）计算得到的初级数据的TiR、TeR、GeR和P加权平均值代入式（</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1）计算初级数据的质量综合评估分值。</w:t>
      </w:r>
    </w:p>
    <w:p w14:paraId="7AB35C99">
      <w:pPr>
        <w:keepNext w:val="0"/>
        <w:keepLines w:val="0"/>
        <w:pageBreakBefore w:val="0"/>
        <w:widowControl w:val="0"/>
        <w:numPr>
          <w:ilvl w:val="0"/>
          <w:numId w:val="33"/>
        </w:numPr>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将按e）~g）计算得到的次级数据TiR、TeR、GeR加权平均值代入式（</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2）计算次级数据的质量综合评估分值。</w:t>
      </w:r>
    </w:p>
    <w:tbl>
      <w:tblPr>
        <w:tblStyle w:val="8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34B1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186677C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2841" w:type="dxa"/>
            <w:vAlign w:val="center"/>
          </w:tcPr>
          <w:p w14:paraId="789ECA3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14"/>
                <w:sz w:val="21"/>
                <w:szCs w:val="21"/>
                <w:highlight w:val="none"/>
                <w:lang w:val="en-US" w:eastAsia="zh-CN"/>
              </w:rPr>
              <w:object>
                <v:shape id="_x0000_i1035" o:spt="75" type="#_x0000_t75" style="height:20pt;width:60.95pt;" o:ole="t" filled="f" o:preferrelative="t" stroked="f" coordsize="21600,21600">
                  <v:path/>
                  <v:fill on="f" focussize="0,0"/>
                  <v:stroke on="f"/>
                  <v:imagedata r:id="rId45" o:title=""/>
                  <o:lock v:ext="edit" aspectratio="t"/>
                  <w10:wrap type="none"/>
                  <w10:anchorlock/>
                </v:shape>
                <o:OLEObject Type="Embed" ProgID="Equation.KSEE3" ShapeID="_x0000_i1035" DrawAspect="Content" ObjectID="_1468075735" r:id="rId44">
                  <o:LockedField>false</o:LockedField>
                </o:OLEObject>
              </w:object>
            </w:r>
          </w:p>
        </w:tc>
        <w:tc>
          <w:tcPr>
            <w:tcW w:w="2841" w:type="dxa"/>
            <w:vAlign w:val="center"/>
          </w:tcPr>
          <w:p w14:paraId="419EB4F2">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3）</w:t>
            </w:r>
          </w:p>
        </w:tc>
      </w:tr>
    </w:tbl>
    <w:p w14:paraId="775A5CC8">
      <w:pPr>
        <w:snapToGrid/>
        <w:spacing w:after="0" w:line="240" w:lineRule="auto"/>
        <w:ind w:firstLine="420" w:firstLineChars="20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4E27661C">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position w:val="-4"/>
          <w:sz w:val="21"/>
          <w:szCs w:val="21"/>
          <w:highlight w:val="none"/>
          <w:lang w:val="en-US" w:eastAsia="zh-CN"/>
        </w:rPr>
        <w:object>
          <v:shape id="_x0000_i1036" o:spt="75" type="#_x0000_t75" style="height:15pt;width:13pt;" o:ole="t" filled="f" o:preferrelative="t" stroked="f" coordsize="21600,21600">
            <v:path/>
            <v:fill on="f" focussize="0,0"/>
            <v:stroke on="f"/>
            <v:imagedata r:id="rId47" o:title=""/>
            <o:lock v:ext="edit" aspectratio="t"/>
            <w10:wrap type="none"/>
            <w10:anchorlock/>
          </v:shape>
          <o:OLEObject Type="Embed" ProgID="Equation.KSEE3" ShapeID="_x0000_i1036" DrawAspect="Content" ObjectID="_1468075736" r:id="rId46">
            <o:LockedField>false</o:LockedField>
          </o:OLEObject>
        </w:object>
      </w:r>
      <w:r>
        <w:rPr>
          <w:rFonts w:hint="default" w:ascii="Times New Roman" w:hAnsi="Times New Roman" w:cs="Times New Roman"/>
          <w:sz w:val="21"/>
          <w:szCs w:val="21"/>
          <w:highlight w:val="none"/>
          <w:lang w:val="en-US" w:eastAsia="zh-CN"/>
        </w:rPr>
        <w:t>——初级数据的数据准确性评估加权平均值；</w:t>
      </w:r>
    </w:p>
    <w:p w14:paraId="68AA6179">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lang w:val="en-US" w:eastAsia="zh-CN"/>
        </w:rPr>
        <w:t>P——单个初级数据的数据准确性评估值；</w:t>
      </w:r>
    </w:p>
    <w:p w14:paraId="13899D58">
      <w:pPr>
        <w:snapToGrid/>
        <w:spacing w:after="0" w:line="240" w:lineRule="auto"/>
        <w:ind w:left="840" w:leftChars="400" w:firstLine="0" w:firstLineChars="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r——单个初级数据的碳足迹影响权重。</w:t>
      </w:r>
    </w:p>
    <w:tbl>
      <w:tblPr>
        <w:tblStyle w:val="8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0B43F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7A44DB3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2841" w:type="dxa"/>
            <w:vAlign w:val="center"/>
          </w:tcPr>
          <w:p w14:paraId="2F6D807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14"/>
                <w:sz w:val="21"/>
                <w:szCs w:val="21"/>
                <w:highlight w:val="none"/>
                <w:lang w:val="en-US" w:eastAsia="zh-CN"/>
              </w:rPr>
              <w:object>
                <v:shape id="_x0000_i1037" o:spt="75" type="#_x0000_t75" style="height:21pt;width:78pt;" o:ole="t" filled="f" o:preferrelative="t" stroked="f" coordsize="21600,21600">
                  <v:path/>
                  <v:fill on="f" focussize="0,0"/>
                  <v:stroke on="f"/>
                  <v:imagedata r:id="rId49" o:title=""/>
                  <o:lock v:ext="edit" aspectratio="t"/>
                  <w10:wrap type="none"/>
                  <w10:anchorlock/>
                </v:shape>
                <o:OLEObject Type="Embed" ProgID="Equation.KSEE3" ShapeID="_x0000_i1037" DrawAspect="Content" ObjectID="_1468075737" r:id="rId48">
                  <o:LockedField>false</o:LockedField>
                </o:OLEObject>
              </w:object>
            </w:r>
          </w:p>
        </w:tc>
        <w:tc>
          <w:tcPr>
            <w:tcW w:w="2841" w:type="dxa"/>
            <w:vAlign w:val="center"/>
          </w:tcPr>
          <w:p w14:paraId="53268F9A">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4）</w:t>
            </w:r>
          </w:p>
        </w:tc>
      </w:tr>
    </w:tbl>
    <w:p w14:paraId="783F4CB3">
      <w:pPr>
        <w:snapToGrid/>
        <w:spacing w:after="0" w:line="240" w:lineRule="auto"/>
        <w:ind w:firstLine="420" w:firstLineChars="20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01CAD5D7">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position w:val="-4"/>
          <w:sz w:val="21"/>
          <w:szCs w:val="21"/>
          <w:highlight w:val="none"/>
          <w:lang w:val="en-US" w:eastAsia="zh-CN"/>
        </w:rPr>
        <w:object>
          <v:shape id="_x0000_i1038" o:spt="75" type="#_x0000_t75" style="height:16pt;width:21pt;" o:ole="t" filled="f" o:preferrelative="t" stroked="f" coordsize="21600,21600">
            <v:path/>
            <v:fill on="f" focussize="0,0"/>
            <v:stroke on="f"/>
            <v:imagedata r:id="rId51" o:title=""/>
            <o:lock v:ext="edit" aspectratio="t"/>
            <w10:wrap type="none"/>
            <w10:anchorlock/>
          </v:shape>
          <o:OLEObject Type="Embed" ProgID="Equation.KSEE3" ShapeID="_x0000_i1038" DrawAspect="Content" ObjectID="_1468075738" r:id="rId50">
            <o:LockedField>false</o:LockedField>
          </o:OLEObject>
        </w:object>
      </w:r>
      <w:r>
        <w:rPr>
          <w:rFonts w:hint="default" w:ascii="Times New Roman" w:hAnsi="Times New Roman" w:cs="Times New Roman"/>
          <w:sz w:val="21"/>
          <w:szCs w:val="21"/>
          <w:highlight w:val="none"/>
          <w:lang w:val="en-US" w:eastAsia="zh-CN"/>
        </w:rPr>
        <w:t>——初级数据或次级数据的时间代表性评估加权平均值；</w:t>
      </w:r>
    </w:p>
    <w:p w14:paraId="13954E7F">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lang w:val="en-US" w:eastAsia="zh-CN"/>
        </w:rPr>
        <w:t>TiR——单个初级数据或次级数据的时间代表性评估值；</w:t>
      </w:r>
    </w:p>
    <w:p w14:paraId="48A29B91">
      <w:pPr>
        <w:snapToGrid/>
        <w:spacing w:after="0" w:line="240" w:lineRule="auto"/>
        <w:ind w:left="840" w:leftChars="400" w:firstLine="0" w:firstLineChars="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r——单个初级数据或次级数据的碳足迹影响权重。</w:t>
      </w:r>
    </w:p>
    <w:tbl>
      <w:tblPr>
        <w:tblStyle w:val="8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47A1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3671D78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2841" w:type="dxa"/>
            <w:vAlign w:val="center"/>
          </w:tcPr>
          <w:p w14:paraId="445DEA3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14"/>
                <w:sz w:val="21"/>
                <w:szCs w:val="21"/>
                <w:highlight w:val="none"/>
                <w:lang w:val="en-US" w:eastAsia="zh-CN"/>
              </w:rPr>
              <w:object>
                <v:shape id="_x0000_i1039" o:spt="75" type="#_x0000_t75" style="height:21pt;width:82pt;" o:ole="t" filled="f" o:preferrelative="t" stroked="f" coordsize="21600,21600">
                  <v:path/>
                  <v:fill on="f" focussize="0,0"/>
                  <v:stroke on="f"/>
                  <v:imagedata r:id="rId53" o:title=""/>
                  <o:lock v:ext="edit" aspectratio="t"/>
                  <w10:wrap type="none"/>
                  <w10:anchorlock/>
                </v:shape>
                <o:OLEObject Type="Embed" ProgID="Equation.KSEE3" ShapeID="_x0000_i1039" DrawAspect="Content" ObjectID="_1468075739" r:id="rId52">
                  <o:LockedField>false</o:LockedField>
                </o:OLEObject>
              </w:object>
            </w:r>
          </w:p>
        </w:tc>
        <w:tc>
          <w:tcPr>
            <w:tcW w:w="2841" w:type="dxa"/>
            <w:vAlign w:val="center"/>
          </w:tcPr>
          <w:p w14:paraId="04231624">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5）</w:t>
            </w:r>
          </w:p>
        </w:tc>
      </w:tr>
    </w:tbl>
    <w:p w14:paraId="00AFDDFC">
      <w:pPr>
        <w:snapToGrid/>
        <w:spacing w:after="0" w:line="240" w:lineRule="auto"/>
        <w:ind w:firstLine="420" w:firstLineChars="20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303990CD">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position w:val="-6"/>
          <w:sz w:val="21"/>
          <w:szCs w:val="21"/>
          <w:highlight w:val="none"/>
          <w:lang w:val="en-US" w:eastAsia="zh-CN"/>
        </w:rPr>
        <w:object>
          <v:shape id="_x0000_i1040" o:spt="75" type="#_x0000_t75" style="height:17pt;width:23pt;" o:ole="t" filled="f" o:preferrelative="t" stroked="f" coordsize="21600,21600">
            <v:path/>
            <v:fill on="f" focussize="0,0"/>
            <v:stroke on="f"/>
            <v:imagedata r:id="rId55" o:title=""/>
            <o:lock v:ext="edit" aspectratio="t"/>
            <w10:wrap type="none"/>
            <w10:anchorlock/>
          </v:shape>
          <o:OLEObject Type="Embed" ProgID="Equation.KSEE3" ShapeID="_x0000_i1040" DrawAspect="Content" ObjectID="_1468075740" r:id="rId54">
            <o:LockedField>false</o:LockedField>
          </o:OLEObject>
        </w:object>
      </w:r>
      <w:r>
        <w:rPr>
          <w:rFonts w:hint="default" w:ascii="Times New Roman" w:hAnsi="Times New Roman" w:cs="Times New Roman"/>
          <w:sz w:val="21"/>
          <w:szCs w:val="21"/>
          <w:highlight w:val="none"/>
          <w:lang w:val="en-US" w:eastAsia="zh-CN"/>
        </w:rPr>
        <w:t>——初级数据或次级数据的技术代表性评估加权平均值；</w:t>
      </w:r>
    </w:p>
    <w:p w14:paraId="6BB25585">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lang w:val="en-US" w:eastAsia="zh-CN"/>
        </w:rPr>
        <w:t>TeR——单个初级数据或次级数据的技术代表性评估值；</w:t>
      </w:r>
    </w:p>
    <w:p w14:paraId="4B12A118">
      <w:pPr>
        <w:snapToGrid/>
        <w:spacing w:after="0" w:line="240" w:lineRule="auto"/>
        <w:ind w:left="840" w:leftChars="400" w:firstLine="0" w:firstLineChars="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r——单个初级数据或次级数据的碳足迹影响权重。</w:t>
      </w:r>
    </w:p>
    <w:tbl>
      <w:tblPr>
        <w:tblStyle w:val="8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747F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69F0A3E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2841" w:type="dxa"/>
            <w:vAlign w:val="center"/>
          </w:tcPr>
          <w:p w14:paraId="6C80B62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14"/>
                <w:sz w:val="21"/>
                <w:szCs w:val="21"/>
                <w:highlight w:val="none"/>
                <w:lang w:val="en-US" w:eastAsia="zh-CN"/>
              </w:rPr>
              <w:object>
                <v:shape id="_x0000_i1041" o:spt="75" type="#_x0000_t75" style="height:21pt;width:85.95pt;" o:ole="t" filled="f" o:preferrelative="t" stroked="f" coordsize="21600,21600">
                  <v:path/>
                  <v:fill on="f" focussize="0,0"/>
                  <v:stroke on="f"/>
                  <v:imagedata r:id="rId57" o:title=""/>
                  <o:lock v:ext="edit" aspectratio="t"/>
                  <w10:wrap type="none"/>
                  <w10:anchorlock/>
                </v:shape>
                <o:OLEObject Type="Embed" ProgID="Equation.KSEE3" ShapeID="_x0000_i1041" DrawAspect="Content" ObjectID="_1468075741" r:id="rId56">
                  <o:LockedField>false</o:LockedField>
                </o:OLEObject>
              </w:object>
            </w:r>
          </w:p>
        </w:tc>
        <w:tc>
          <w:tcPr>
            <w:tcW w:w="2841" w:type="dxa"/>
            <w:vAlign w:val="center"/>
          </w:tcPr>
          <w:p w14:paraId="4EF807A6">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6）</w:t>
            </w:r>
          </w:p>
        </w:tc>
      </w:tr>
    </w:tbl>
    <w:p w14:paraId="0AFD4689">
      <w:pPr>
        <w:snapToGrid/>
        <w:spacing w:after="0" w:line="240" w:lineRule="auto"/>
        <w:ind w:firstLine="420" w:firstLineChars="20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6DAF8674">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position w:val="-6"/>
          <w:sz w:val="21"/>
          <w:szCs w:val="21"/>
          <w:highlight w:val="none"/>
          <w:lang w:val="en-US" w:eastAsia="zh-CN"/>
        </w:rPr>
        <w:object>
          <v:shape id="_x0000_i1042" o:spt="75" type="#_x0000_t75" style="height:17pt;width:24.95pt;" o:ole="t" filled="f" o:preferrelative="t" stroked="f" coordsize="21600,21600">
            <v:path/>
            <v:fill on="f" focussize="0,0"/>
            <v:stroke on="f"/>
            <v:imagedata r:id="rId59" o:title=""/>
            <o:lock v:ext="edit" aspectratio="t"/>
            <w10:wrap type="none"/>
            <w10:anchorlock/>
          </v:shape>
          <o:OLEObject Type="Embed" ProgID="Equation.KSEE3" ShapeID="_x0000_i1042" DrawAspect="Content" ObjectID="_1468075742" r:id="rId58">
            <o:LockedField>false</o:LockedField>
          </o:OLEObject>
        </w:object>
      </w:r>
      <w:r>
        <w:rPr>
          <w:rFonts w:hint="default" w:ascii="Times New Roman" w:hAnsi="Times New Roman" w:cs="Times New Roman"/>
          <w:sz w:val="21"/>
          <w:szCs w:val="21"/>
          <w:highlight w:val="none"/>
          <w:lang w:val="en-US" w:eastAsia="zh-CN"/>
        </w:rPr>
        <w:t>——初级数据或次级数据的地理代表性评估加权平均值；</w:t>
      </w:r>
    </w:p>
    <w:p w14:paraId="455AE5DD">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lang w:val="en-US" w:eastAsia="zh-CN"/>
        </w:rPr>
        <w:t>GeR——单个初级数据或次级数据的地理代表性评估值；</w:t>
      </w:r>
    </w:p>
    <w:p w14:paraId="6DEB9A3A">
      <w:pPr>
        <w:snapToGrid/>
        <w:spacing w:after="0" w:line="240" w:lineRule="auto"/>
        <w:ind w:left="840" w:leftChars="400" w:firstLine="0" w:firstLineChars="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r——单个初级数据或次级数据的碳足迹影响权重。</w:t>
      </w:r>
    </w:p>
    <w:p w14:paraId="0A8378C5">
      <w:pPr>
        <w:outlineLvl w:val="3"/>
        <w:rPr>
          <w:rFonts w:hint="default" w:ascii="Times New Roman" w:hAnsi="Times New Roman" w:eastAsia="黑体" w:cs="Times New Roman"/>
          <w:sz w:val="21"/>
          <w:szCs w:val="21"/>
          <w:highlight w:val="none"/>
          <w:lang w:val="en-US" w:eastAsia="zh-CN"/>
        </w:rPr>
      </w:pPr>
      <w:bookmarkStart w:id="447" w:name="_Toc28890"/>
      <w:bookmarkStart w:id="448" w:name="_Toc24467"/>
      <w:r>
        <w:rPr>
          <w:rFonts w:hint="eastAsia" w:eastAsia="黑体" w:cs="Times New Roman"/>
          <w:sz w:val="21"/>
          <w:szCs w:val="21"/>
          <w:highlight w:val="none"/>
          <w:lang w:val="en-US" w:eastAsia="zh-CN"/>
        </w:rPr>
        <w:t>A</w:t>
      </w:r>
      <w:r>
        <w:rPr>
          <w:rFonts w:hint="default" w:ascii="Times New Roman" w:hAnsi="Times New Roman" w:eastAsia="黑体" w:cs="Times New Roman"/>
          <w:sz w:val="21"/>
          <w:szCs w:val="21"/>
          <w:highlight w:val="none"/>
          <w:lang w:val="en-US" w:eastAsia="zh-CN"/>
        </w:rPr>
        <w:t>.4 数据质量评级</w:t>
      </w:r>
      <w:bookmarkEnd w:id="447"/>
      <w:bookmarkEnd w:id="448"/>
    </w:p>
    <w:p w14:paraId="6547BAD3">
      <w:pPr>
        <w:ind w:firstLine="420" w:firstLineChars="200"/>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依据数据质量评估得分，按表</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3对数据进行数据质量评级。</w:t>
      </w:r>
    </w:p>
    <w:p w14:paraId="05E9A8FE">
      <w:pPr>
        <w:jc w:val="center"/>
        <w:outlineLvl w:val="9"/>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表</w:t>
      </w:r>
      <w:r>
        <w:rPr>
          <w:rFonts w:hint="eastAsia" w:eastAsia="黑体" w:cs="Times New Roman"/>
          <w:sz w:val="21"/>
          <w:szCs w:val="21"/>
          <w:highlight w:val="none"/>
          <w:lang w:val="en-US" w:eastAsia="zh-CN"/>
        </w:rPr>
        <w:t>A.</w:t>
      </w:r>
      <w:r>
        <w:rPr>
          <w:rFonts w:hint="default" w:ascii="Times New Roman" w:hAnsi="Times New Roman" w:eastAsia="黑体" w:cs="Times New Roman"/>
          <w:sz w:val="21"/>
          <w:szCs w:val="21"/>
          <w:highlight w:val="none"/>
          <w:lang w:val="en-US" w:eastAsia="zh-CN"/>
        </w:rPr>
        <w:t>3 数据质量评级要求</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1CEE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33F735C7">
            <w:pPr>
              <w:snapToGrid/>
              <w:spacing w:after="0" w:line="240" w:lineRule="auto"/>
              <w:jc w:val="center"/>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eastAsiaTheme="minorEastAsia"/>
                <w:sz w:val="18"/>
                <w:szCs w:val="18"/>
                <w:highlight w:val="none"/>
              </w:rPr>
              <w:t>数据质量</w:t>
            </w:r>
            <w:r>
              <w:rPr>
                <w:rFonts w:hint="default" w:ascii="Times New Roman" w:hAnsi="Times New Roman" w:cs="Times New Roman"/>
                <w:sz w:val="18"/>
                <w:szCs w:val="18"/>
                <w:highlight w:val="none"/>
                <w:lang w:val="en-US" w:eastAsia="zh-CN"/>
              </w:rPr>
              <w:t>评估</w:t>
            </w:r>
            <w:r>
              <w:rPr>
                <w:rFonts w:hint="default" w:ascii="Times New Roman" w:hAnsi="Times New Roman" w:cs="Times New Roman" w:eastAsiaTheme="minorEastAsia"/>
                <w:sz w:val="18"/>
                <w:szCs w:val="18"/>
                <w:highlight w:val="none"/>
              </w:rPr>
              <w:t>（DQR）</w:t>
            </w:r>
            <w:r>
              <w:rPr>
                <w:rFonts w:hint="default" w:ascii="Times New Roman" w:hAnsi="Times New Roman" w:cs="Times New Roman"/>
                <w:sz w:val="18"/>
                <w:szCs w:val="18"/>
                <w:highlight w:val="none"/>
                <w:lang w:val="en-US" w:eastAsia="zh-CN"/>
              </w:rPr>
              <w:t>得分</w:t>
            </w:r>
          </w:p>
        </w:tc>
        <w:tc>
          <w:tcPr>
            <w:tcW w:w="4148" w:type="dxa"/>
          </w:tcPr>
          <w:p w14:paraId="679D4F0A">
            <w:pPr>
              <w:snapToGrid/>
              <w:spacing w:after="0" w:line="240" w:lineRule="auto"/>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数据质量水平</w:t>
            </w:r>
          </w:p>
        </w:tc>
      </w:tr>
      <w:tr w14:paraId="660F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31BDCD8C">
            <w:pPr>
              <w:snapToGrid/>
              <w:spacing w:after="0" w:line="240" w:lineRule="auto"/>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DQR≤1.5</w:t>
            </w:r>
          </w:p>
        </w:tc>
        <w:tc>
          <w:tcPr>
            <w:tcW w:w="4148" w:type="dxa"/>
          </w:tcPr>
          <w:p w14:paraId="1B6FF20E">
            <w:pPr>
              <w:snapToGrid/>
              <w:spacing w:after="0" w:line="240" w:lineRule="auto"/>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非常好</w:t>
            </w:r>
          </w:p>
        </w:tc>
      </w:tr>
      <w:tr w14:paraId="716D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5F4C319F">
            <w:pPr>
              <w:snapToGrid/>
              <w:spacing w:after="0" w:line="240" w:lineRule="auto"/>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1.5＜DQR≤2.0</w:t>
            </w:r>
          </w:p>
        </w:tc>
        <w:tc>
          <w:tcPr>
            <w:tcW w:w="4148" w:type="dxa"/>
          </w:tcPr>
          <w:p w14:paraId="0657DA88">
            <w:pPr>
              <w:snapToGrid/>
              <w:spacing w:after="0" w:line="240" w:lineRule="auto"/>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好</w:t>
            </w:r>
          </w:p>
        </w:tc>
      </w:tr>
      <w:tr w14:paraId="09E2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70D1A168">
            <w:pPr>
              <w:snapToGrid/>
              <w:spacing w:after="0" w:line="240" w:lineRule="auto"/>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2.0＜DQR≤3.0</w:t>
            </w:r>
          </w:p>
        </w:tc>
        <w:tc>
          <w:tcPr>
            <w:tcW w:w="4148" w:type="dxa"/>
          </w:tcPr>
          <w:p w14:paraId="1718E10E">
            <w:pPr>
              <w:snapToGrid/>
              <w:spacing w:after="0" w:line="240" w:lineRule="auto"/>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良好</w:t>
            </w:r>
          </w:p>
        </w:tc>
      </w:tr>
      <w:tr w14:paraId="2D77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6692FDB6">
            <w:pPr>
              <w:snapToGrid/>
              <w:spacing w:after="0" w:line="240" w:lineRule="auto"/>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3.0＜DQR≤4.0</w:t>
            </w:r>
          </w:p>
        </w:tc>
        <w:tc>
          <w:tcPr>
            <w:tcW w:w="4148" w:type="dxa"/>
          </w:tcPr>
          <w:p w14:paraId="784A694E">
            <w:pPr>
              <w:snapToGrid/>
              <w:spacing w:after="0" w:line="240" w:lineRule="auto"/>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一般</w:t>
            </w:r>
          </w:p>
        </w:tc>
      </w:tr>
      <w:tr w14:paraId="20E3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53D693AB">
            <w:pPr>
              <w:snapToGrid/>
              <w:spacing w:after="0" w:line="240" w:lineRule="auto"/>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DQR大于4</w:t>
            </w:r>
          </w:p>
        </w:tc>
        <w:tc>
          <w:tcPr>
            <w:tcW w:w="4148" w:type="dxa"/>
          </w:tcPr>
          <w:p w14:paraId="0CD5FA6E">
            <w:pPr>
              <w:snapToGrid/>
              <w:spacing w:after="0" w:line="240" w:lineRule="auto"/>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差</w:t>
            </w:r>
          </w:p>
        </w:tc>
      </w:tr>
    </w:tbl>
    <w:p w14:paraId="04B28881">
      <w:pPr>
        <w:jc w:val="both"/>
        <w:outlineLvl w:val="9"/>
        <w:rPr>
          <w:rFonts w:hint="default" w:ascii="Times New Roman" w:hAnsi="Times New Roman" w:eastAsia="黑体" w:cs="Times New Roman"/>
          <w:sz w:val="21"/>
          <w:szCs w:val="21"/>
          <w:highlight w:val="none"/>
          <w:lang w:val="en-US" w:eastAsia="zh-CN"/>
        </w:rPr>
      </w:pPr>
    </w:p>
    <w:p w14:paraId="2EABF880">
      <w:pPr>
        <w:pStyle w:val="2"/>
        <w:outlineLvl w:val="9"/>
        <w:rPr>
          <w:rFonts w:hint="default" w:ascii="Times New Roman" w:hAnsi="Times New Roman" w:eastAsia="黑体" w:cs="Times New Roman"/>
          <w:sz w:val="21"/>
          <w:szCs w:val="21"/>
          <w:highlight w:val="none"/>
          <w:lang w:val="en-US" w:eastAsia="zh-CN"/>
        </w:rPr>
      </w:pPr>
    </w:p>
    <w:p w14:paraId="446812C9">
      <w:pPr>
        <w:pStyle w:val="2"/>
        <w:rPr>
          <w:rFonts w:hint="default" w:ascii="Times New Roman" w:hAnsi="Times New Roman" w:eastAsia="黑体" w:cs="Times New Roman"/>
          <w:sz w:val="21"/>
          <w:szCs w:val="21"/>
          <w:highlight w:val="none"/>
          <w:lang w:val="en-US" w:eastAsia="zh-CN"/>
        </w:rPr>
      </w:pPr>
    </w:p>
    <w:p w14:paraId="1DE3C5AE">
      <w:pPr>
        <w:pStyle w:val="2"/>
        <w:rPr>
          <w:rFonts w:hint="default" w:ascii="Times New Roman" w:hAnsi="Times New Roman" w:eastAsia="黑体" w:cs="Times New Roman"/>
          <w:sz w:val="21"/>
          <w:szCs w:val="21"/>
          <w:highlight w:val="none"/>
          <w:lang w:val="en-US" w:eastAsia="zh-CN"/>
        </w:rPr>
        <w:sectPr>
          <w:footerReference r:id="rId14" w:type="default"/>
          <w:footerReference r:id="rId15" w:type="even"/>
          <w:pgSz w:w="11906" w:h="16838"/>
          <w:pgMar w:top="1417" w:right="1134" w:bottom="1134" w:left="1417" w:header="1417" w:footer="850" w:gutter="0"/>
          <w:pgBorders>
            <w:top w:val="none" w:sz="0" w:space="0"/>
            <w:left w:val="none" w:sz="0" w:space="0"/>
            <w:bottom w:val="none" w:sz="0" w:space="0"/>
            <w:right w:val="none" w:sz="0" w:space="0"/>
          </w:pgBorders>
          <w:pgNumType w:fmt="decimal"/>
          <w:cols w:space="425" w:num="1"/>
          <w:docGrid w:type="lines" w:linePitch="312" w:charSpace="0"/>
        </w:sectPr>
      </w:pPr>
    </w:p>
    <w:p w14:paraId="2A31E082">
      <w:pPr>
        <w:jc w:val="center"/>
        <w:outlineLvl w:val="0"/>
        <w:rPr>
          <w:rFonts w:hint="default" w:ascii="Times New Roman" w:hAnsi="Times New Roman" w:eastAsia="黑体" w:cs="Times New Roman"/>
          <w:sz w:val="21"/>
          <w:szCs w:val="21"/>
          <w:highlight w:val="none"/>
          <w:lang w:val="en-US" w:eastAsia="zh-CN"/>
        </w:rPr>
      </w:pPr>
      <w:bookmarkStart w:id="449" w:name="_Toc30806"/>
      <w:bookmarkStart w:id="450" w:name="_Toc3088"/>
      <w:r>
        <w:rPr>
          <w:rFonts w:hint="default" w:ascii="Times New Roman" w:hAnsi="Times New Roman" w:eastAsia="黑体" w:cs="Times New Roman"/>
          <w:sz w:val="21"/>
          <w:szCs w:val="21"/>
          <w:highlight w:val="none"/>
          <w:lang w:val="en-US" w:eastAsia="zh-CN"/>
        </w:rPr>
        <w:t>附录</w:t>
      </w:r>
      <w:bookmarkEnd w:id="433"/>
      <w:r>
        <w:rPr>
          <w:rFonts w:hint="eastAsia" w:eastAsia="黑体" w:cs="Times New Roman"/>
          <w:sz w:val="21"/>
          <w:szCs w:val="21"/>
          <w:highlight w:val="none"/>
          <w:lang w:val="en-US" w:eastAsia="zh-CN"/>
        </w:rPr>
        <w:t>B</w:t>
      </w:r>
      <w:bookmarkEnd w:id="449"/>
      <w:r>
        <w:rPr>
          <w:rFonts w:ascii="黑体" w:eastAsia="黑体"/>
        </w:rPr>
        <w:br w:type="textWrapping"/>
      </w:r>
      <w:r>
        <w:rPr>
          <w:rFonts w:hint="default" w:ascii="Times New Roman" w:hAnsi="Times New Roman" w:eastAsia="黑体" w:cs="Times New Roman"/>
          <w:sz w:val="21"/>
          <w:szCs w:val="21"/>
          <w:highlight w:val="none"/>
          <w:lang w:val="en-US" w:eastAsia="zh-CN"/>
        </w:rPr>
        <w:t>（资料性）</w:t>
      </w:r>
      <w:r>
        <w:rPr>
          <w:rFonts w:ascii="黑体" w:eastAsia="黑体"/>
        </w:rPr>
        <w:br w:type="textWrapping"/>
      </w:r>
      <w:r>
        <w:rPr>
          <w:rFonts w:hint="eastAsia" w:eastAsia="黑体" w:cs="Times New Roman"/>
          <w:sz w:val="21"/>
          <w:szCs w:val="21"/>
          <w:highlight w:val="none"/>
          <w:lang w:val="en-US" w:eastAsia="zh-CN"/>
        </w:rPr>
        <w:t>变压器</w:t>
      </w:r>
      <w:r>
        <w:rPr>
          <w:rFonts w:hint="default" w:ascii="Times New Roman" w:hAnsi="Times New Roman" w:eastAsia="黑体" w:cs="Times New Roman"/>
          <w:sz w:val="21"/>
          <w:szCs w:val="21"/>
          <w:highlight w:val="none"/>
          <w:lang w:val="en-US" w:eastAsia="zh-CN"/>
        </w:rPr>
        <w:t>产品碳足迹量化数据收集表</w:t>
      </w:r>
      <w:bookmarkEnd w:id="450"/>
    </w:p>
    <w:p w14:paraId="1730CB8F">
      <w:pPr>
        <w:outlineLvl w:val="3"/>
        <w:rPr>
          <w:rFonts w:hint="default" w:eastAsia="黑体" w:cs="Times New Roman"/>
          <w:sz w:val="21"/>
          <w:szCs w:val="21"/>
          <w:highlight w:val="none"/>
          <w:lang w:val="en-US" w:eastAsia="zh-CN"/>
        </w:rPr>
      </w:pPr>
      <w:r>
        <w:rPr>
          <w:rFonts w:hint="eastAsia" w:eastAsia="黑体" w:cs="Times New Roman"/>
          <w:sz w:val="21"/>
          <w:szCs w:val="21"/>
          <w:highlight w:val="none"/>
          <w:lang w:val="en-US" w:eastAsia="zh-CN"/>
        </w:rPr>
        <w:t>B</w:t>
      </w:r>
      <w:r>
        <w:rPr>
          <w:rFonts w:hint="default" w:eastAsia="黑体" w:cs="Times New Roman"/>
          <w:sz w:val="21"/>
          <w:szCs w:val="21"/>
          <w:highlight w:val="none"/>
          <w:lang w:val="en-US" w:eastAsia="zh-CN"/>
        </w:rPr>
        <w:t>.1 产品基本信息</w:t>
      </w:r>
    </w:p>
    <w:p w14:paraId="0099BE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表</w:t>
      </w:r>
      <w:r>
        <w:rPr>
          <w:rFonts w:hint="eastAsia" w:eastAsia="黑体" w:cs="Times New Roman"/>
          <w:sz w:val="21"/>
          <w:szCs w:val="21"/>
          <w:highlight w:val="none"/>
          <w:lang w:val="en-US" w:eastAsia="zh-CN"/>
        </w:rPr>
        <w:t>B</w:t>
      </w:r>
      <w:r>
        <w:rPr>
          <w:rFonts w:hint="default" w:ascii="Times New Roman" w:hAnsi="Times New Roman" w:eastAsia="黑体" w:cs="Times New Roman"/>
          <w:sz w:val="21"/>
          <w:szCs w:val="21"/>
          <w:highlight w:val="none"/>
          <w:lang w:val="en-US" w:eastAsia="zh-CN"/>
        </w:rPr>
        <w:t>.1 产品基本信息表</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2789"/>
        <w:gridCol w:w="4476"/>
      </w:tblGrid>
      <w:tr w14:paraId="6BFD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restart"/>
            <w:vAlign w:val="center"/>
          </w:tcPr>
          <w:p w14:paraId="34B4C94D">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产品基本信息</w:t>
            </w:r>
          </w:p>
        </w:tc>
        <w:tc>
          <w:tcPr>
            <w:tcW w:w="2789" w:type="dxa"/>
          </w:tcPr>
          <w:p w14:paraId="6995DC36">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产品名称及型号</w:t>
            </w:r>
          </w:p>
        </w:tc>
        <w:tc>
          <w:tcPr>
            <w:tcW w:w="4476" w:type="dxa"/>
          </w:tcPr>
          <w:p w14:paraId="49338BEE">
            <w:pPr>
              <w:pStyle w:val="2"/>
              <w:rPr>
                <w:rFonts w:hint="default" w:ascii="Times New Roman" w:hAnsi="Times New Roman" w:eastAsia="宋体" w:cs="Times New Roman"/>
                <w:sz w:val="18"/>
                <w:szCs w:val="18"/>
                <w:highlight w:val="none"/>
                <w:vertAlign w:val="baseline"/>
                <w:lang w:val="en-US" w:eastAsia="zh-CN"/>
              </w:rPr>
            </w:pPr>
          </w:p>
        </w:tc>
      </w:tr>
      <w:tr w14:paraId="6A6E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0DE05C62">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0067710F">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产品所属类别</w:t>
            </w:r>
          </w:p>
        </w:tc>
        <w:tc>
          <w:tcPr>
            <w:tcW w:w="4476" w:type="dxa"/>
          </w:tcPr>
          <w:p w14:paraId="7555A219">
            <w:pPr>
              <w:pStyle w:val="2"/>
              <w:rPr>
                <w:rFonts w:hint="default" w:ascii="Times New Roman" w:hAnsi="Times New Roman" w:eastAsia="宋体" w:cs="Times New Roman"/>
                <w:sz w:val="18"/>
                <w:szCs w:val="18"/>
                <w:highlight w:val="none"/>
                <w:vertAlign w:val="baseline"/>
                <w:lang w:val="en-US" w:eastAsia="zh-CN"/>
              </w:rPr>
            </w:pPr>
          </w:p>
        </w:tc>
      </w:tr>
      <w:tr w14:paraId="75EE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70F6F6CA">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5E5CC0E1">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功能及应用场景描述</w:t>
            </w:r>
          </w:p>
        </w:tc>
        <w:tc>
          <w:tcPr>
            <w:tcW w:w="4476" w:type="dxa"/>
          </w:tcPr>
          <w:p w14:paraId="74DA079F">
            <w:pPr>
              <w:pStyle w:val="2"/>
              <w:rPr>
                <w:rFonts w:hint="default" w:ascii="Times New Roman" w:hAnsi="Times New Roman" w:eastAsia="宋体" w:cs="Times New Roman"/>
                <w:sz w:val="18"/>
                <w:szCs w:val="18"/>
                <w:highlight w:val="none"/>
                <w:vertAlign w:val="baseline"/>
                <w:lang w:val="en-US" w:eastAsia="zh-CN"/>
              </w:rPr>
            </w:pPr>
          </w:p>
        </w:tc>
      </w:tr>
      <w:tr w14:paraId="39E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3BDE8E94">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541392B2">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产品制造工艺</w:t>
            </w:r>
            <w:r>
              <w:rPr>
                <w:rFonts w:hint="default" w:ascii="Times New Roman" w:hAnsi="Times New Roman" w:eastAsia="宋体" w:cs="Times New Roman"/>
                <w:sz w:val="18"/>
                <w:szCs w:val="18"/>
                <w:highlight w:val="none"/>
                <w:vertAlign w:val="superscript"/>
                <w:lang w:val="en-US" w:eastAsia="zh-CN"/>
              </w:rPr>
              <w:t>a</w:t>
            </w:r>
          </w:p>
        </w:tc>
        <w:tc>
          <w:tcPr>
            <w:tcW w:w="4476" w:type="dxa"/>
          </w:tcPr>
          <w:p w14:paraId="2B1F733D">
            <w:pPr>
              <w:pStyle w:val="2"/>
              <w:rPr>
                <w:rFonts w:hint="default" w:ascii="Times New Roman" w:hAnsi="Times New Roman" w:eastAsia="宋体" w:cs="Times New Roman"/>
                <w:sz w:val="18"/>
                <w:szCs w:val="18"/>
                <w:highlight w:val="none"/>
                <w:vertAlign w:val="baseline"/>
                <w:lang w:val="en-US" w:eastAsia="zh-CN"/>
              </w:rPr>
            </w:pPr>
          </w:p>
        </w:tc>
      </w:tr>
      <w:tr w14:paraId="5C78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48A0653D">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14A9F8A4">
            <w:pPr>
              <w:pStyle w:val="2"/>
              <w:jc w:val="center"/>
              <w:rPr>
                <w:rFonts w:hint="default" w:ascii="Times New Roman" w:hAnsi="Times New Roman" w:eastAsia="宋体"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额定容量（kVA）</w:t>
            </w:r>
          </w:p>
        </w:tc>
        <w:tc>
          <w:tcPr>
            <w:tcW w:w="4476" w:type="dxa"/>
          </w:tcPr>
          <w:p w14:paraId="6ACEA4F8">
            <w:pPr>
              <w:pStyle w:val="2"/>
              <w:rPr>
                <w:rFonts w:hint="default" w:ascii="Times New Roman" w:hAnsi="Times New Roman" w:eastAsia="宋体" w:cs="Times New Roman"/>
                <w:sz w:val="18"/>
                <w:szCs w:val="18"/>
                <w:highlight w:val="none"/>
                <w:vertAlign w:val="baseline"/>
                <w:lang w:val="en-US" w:eastAsia="zh-CN"/>
              </w:rPr>
            </w:pPr>
          </w:p>
        </w:tc>
      </w:tr>
      <w:tr w14:paraId="26A6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153E82EA">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3B529883">
            <w:pPr>
              <w:pStyle w:val="2"/>
              <w:jc w:val="center"/>
              <w:rPr>
                <w:rFonts w:hint="eastAsia"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额定电压（kV）</w:t>
            </w:r>
          </w:p>
        </w:tc>
        <w:tc>
          <w:tcPr>
            <w:tcW w:w="4476" w:type="dxa"/>
          </w:tcPr>
          <w:p w14:paraId="5CAF49AC">
            <w:pPr>
              <w:pStyle w:val="2"/>
              <w:rPr>
                <w:rFonts w:hint="default" w:ascii="Times New Roman" w:hAnsi="Times New Roman" w:eastAsia="宋体" w:cs="Times New Roman"/>
                <w:sz w:val="18"/>
                <w:szCs w:val="18"/>
                <w:highlight w:val="none"/>
                <w:vertAlign w:val="baseline"/>
                <w:lang w:val="en-US" w:eastAsia="zh-CN"/>
              </w:rPr>
            </w:pPr>
          </w:p>
        </w:tc>
      </w:tr>
      <w:tr w14:paraId="2F8A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2D5B967F">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40F961BA">
            <w:pPr>
              <w:pStyle w:val="2"/>
              <w:jc w:val="center"/>
              <w:rPr>
                <w:rFonts w:hint="eastAsia"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额定频率（Hz）</w:t>
            </w:r>
          </w:p>
        </w:tc>
        <w:tc>
          <w:tcPr>
            <w:tcW w:w="4476" w:type="dxa"/>
          </w:tcPr>
          <w:p w14:paraId="26A7B0D2">
            <w:pPr>
              <w:pStyle w:val="2"/>
              <w:rPr>
                <w:rFonts w:hint="default" w:ascii="Times New Roman" w:hAnsi="Times New Roman" w:eastAsia="宋体" w:cs="Times New Roman"/>
                <w:sz w:val="18"/>
                <w:szCs w:val="18"/>
                <w:highlight w:val="none"/>
                <w:vertAlign w:val="baseline"/>
                <w:lang w:val="en-US" w:eastAsia="zh-CN"/>
              </w:rPr>
            </w:pPr>
          </w:p>
        </w:tc>
      </w:tr>
      <w:tr w14:paraId="72D4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57639111">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6E4FA351">
            <w:pPr>
              <w:pStyle w:val="2"/>
              <w:jc w:val="center"/>
              <w:rPr>
                <w:rFonts w:hint="eastAsia"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负载损耗（W）</w:t>
            </w:r>
          </w:p>
        </w:tc>
        <w:tc>
          <w:tcPr>
            <w:tcW w:w="4476" w:type="dxa"/>
          </w:tcPr>
          <w:p w14:paraId="42D9ACE9">
            <w:pPr>
              <w:pStyle w:val="2"/>
              <w:rPr>
                <w:rFonts w:hint="default" w:ascii="Times New Roman" w:hAnsi="Times New Roman" w:eastAsia="宋体" w:cs="Times New Roman"/>
                <w:sz w:val="18"/>
                <w:szCs w:val="18"/>
                <w:highlight w:val="none"/>
                <w:vertAlign w:val="baseline"/>
                <w:lang w:val="en-US" w:eastAsia="zh-CN"/>
              </w:rPr>
            </w:pPr>
          </w:p>
        </w:tc>
      </w:tr>
      <w:tr w14:paraId="09A9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74B6D189">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4408094C">
            <w:pPr>
              <w:pStyle w:val="2"/>
              <w:jc w:val="center"/>
              <w:rPr>
                <w:rFonts w:hint="eastAsia"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空载损耗（W）</w:t>
            </w:r>
          </w:p>
        </w:tc>
        <w:tc>
          <w:tcPr>
            <w:tcW w:w="4476" w:type="dxa"/>
          </w:tcPr>
          <w:p w14:paraId="70AB5CEC">
            <w:pPr>
              <w:pStyle w:val="2"/>
              <w:rPr>
                <w:rFonts w:hint="default" w:ascii="Times New Roman" w:hAnsi="Times New Roman" w:eastAsia="宋体" w:cs="Times New Roman"/>
                <w:sz w:val="18"/>
                <w:szCs w:val="18"/>
                <w:highlight w:val="none"/>
                <w:vertAlign w:val="baseline"/>
                <w:lang w:val="en-US" w:eastAsia="zh-CN"/>
              </w:rPr>
            </w:pPr>
          </w:p>
        </w:tc>
      </w:tr>
      <w:tr w14:paraId="30DF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5A9969A8">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0E25179C">
            <w:pPr>
              <w:pStyle w:val="2"/>
              <w:jc w:val="center"/>
              <w:rPr>
                <w:rFonts w:hint="eastAsia"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冷却方式</w:t>
            </w:r>
          </w:p>
        </w:tc>
        <w:tc>
          <w:tcPr>
            <w:tcW w:w="4476" w:type="dxa"/>
          </w:tcPr>
          <w:p w14:paraId="2A912CFD">
            <w:pPr>
              <w:pStyle w:val="2"/>
              <w:rPr>
                <w:rFonts w:hint="default" w:ascii="Times New Roman" w:hAnsi="Times New Roman" w:eastAsia="宋体" w:cs="Times New Roman"/>
                <w:sz w:val="18"/>
                <w:szCs w:val="18"/>
                <w:highlight w:val="none"/>
                <w:vertAlign w:val="baseline"/>
                <w:lang w:val="en-US" w:eastAsia="zh-CN"/>
              </w:rPr>
            </w:pPr>
          </w:p>
        </w:tc>
      </w:tr>
      <w:tr w14:paraId="4B72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48D20E74">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1058C3CF">
            <w:pPr>
              <w:pStyle w:val="2"/>
              <w:jc w:val="center"/>
              <w:rPr>
                <w:rFonts w:hint="default"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其他技术参数</w:t>
            </w:r>
            <w:r>
              <w:rPr>
                <w:rFonts w:hint="default" w:ascii="Times New Roman" w:hAnsi="Times New Roman" w:eastAsia="宋体" w:cs="Times New Roman"/>
                <w:sz w:val="18"/>
                <w:szCs w:val="18"/>
                <w:highlight w:val="none"/>
                <w:vertAlign w:val="superscript"/>
                <w:lang w:val="en-US" w:eastAsia="zh-CN"/>
              </w:rPr>
              <w:t>b</w:t>
            </w:r>
          </w:p>
        </w:tc>
        <w:tc>
          <w:tcPr>
            <w:tcW w:w="4476" w:type="dxa"/>
          </w:tcPr>
          <w:p w14:paraId="12588FB0">
            <w:pPr>
              <w:pStyle w:val="2"/>
              <w:rPr>
                <w:rFonts w:hint="default" w:ascii="Times New Roman" w:hAnsi="Times New Roman" w:eastAsia="宋体" w:cs="Times New Roman"/>
                <w:sz w:val="18"/>
                <w:szCs w:val="18"/>
                <w:highlight w:val="none"/>
                <w:vertAlign w:val="baseline"/>
                <w:lang w:val="en-US" w:eastAsia="zh-CN"/>
              </w:rPr>
            </w:pPr>
          </w:p>
        </w:tc>
      </w:tr>
      <w:tr w14:paraId="3418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50773490">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49BD6D20">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生产地点</w:t>
            </w:r>
            <w:r>
              <w:rPr>
                <w:rFonts w:hint="default" w:ascii="Times New Roman" w:hAnsi="Times New Roman" w:eastAsia="宋体" w:cs="Times New Roman"/>
                <w:sz w:val="18"/>
                <w:szCs w:val="18"/>
                <w:highlight w:val="none"/>
                <w:vertAlign w:val="superscript"/>
                <w:lang w:val="en-US" w:eastAsia="zh-CN"/>
              </w:rPr>
              <w:t>c</w:t>
            </w:r>
          </w:p>
        </w:tc>
        <w:tc>
          <w:tcPr>
            <w:tcW w:w="4476" w:type="dxa"/>
          </w:tcPr>
          <w:p w14:paraId="10643BEB">
            <w:pPr>
              <w:pStyle w:val="2"/>
              <w:rPr>
                <w:rFonts w:hint="default" w:ascii="Times New Roman" w:hAnsi="Times New Roman" w:eastAsia="宋体" w:cs="Times New Roman"/>
                <w:sz w:val="18"/>
                <w:szCs w:val="18"/>
                <w:highlight w:val="none"/>
                <w:vertAlign w:val="baseline"/>
                <w:lang w:val="en-US" w:eastAsia="zh-CN"/>
              </w:rPr>
            </w:pPr>
          </w:p>
        </w:tc>
      </w:tr>
      <w:tr w14:paraId="7D69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1C83A390">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48E1C976">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销售及使用地点</w:t>
            </w:r>
            <w:r>
              <w:rPr>
                <w:rFonts w:hint="default" w:ascii="Times New Roman" w:hAnsi="Times New Roman" w:eastAsia="宋体" w:cs="Times New Roman"/>
                <w:sz w:val="18"/>
                <w:szCs w:val="18"/>
                <w:highlight w:val="none"/>
                <w:vertAlign w:val="superscript"/>
                <w:lang w:val="en-US" w:eastAsia="zh-CN"/>
              </w:rPr>
              <w:t>c</w:t>
            </w:r>
          </w:p>
        </w:tc>
        <w:tc>
          <w:tcPr>
            <w:tcW w:w="4476" w:type="dxa"/>
          </w:tcPr>
          <w:p w14:paraId="49A90A25">
            <w:pPr>
              <w:pStyle w:val="2"/>
              <w:rPr>
                <w:rFonts w:hint="default" w:ascii="Times New Roman" w:hAnsi="Times New Roman" w:eastAsia="宋体" w:cs="Times New Roman"/>
                <w:sz w:val="18"/>
                <w:szCs w:val="18"/>
                <w:highlight w:val="none"/>
                <w:vertAlign w:val="baseline"/>
                <w:lang w:val="en-US" w:eastAsia="zh-CN"/>
              </w:rPr>
            </w:pPr>
          </w:p>
        </w:tc>
      </w:tr>
      <w:tr w14:paraId="51D1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0FA6A5F2">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7F7516B6">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产品分销的主要运输方式</w:t>
            </w:r>
            <w:r>
              <w:rPr>
                <w:rFonts w:hint="default" w:ascii="Times New Roman" w:hAnsi="Times New Roman" w:eastAsia="宋体" w:cs="Times New Roman"/>
                <w:sz w:val="18"/>
                <w:szCs w:val="18"/>
                <w:highlight w:val="none"/>
                <w:vertAlign w:val="superscript"/>
                <w:lang w:val="en-US" w:eastAsia="zh-CN"/>
              </w:rPr>
              <w:t>c</w:t>
            </w:r>
          </w:p>
        </w:tc>
        <w:tc>
          <w:tcPr>
            <w:tcW w:w="4476" w:type="dxa"/>
          </w:tcPr>
          <w:p w14:paraId="6F8F3F1C">
            <w:pPr>
              <w:pStyle w:val="2"/>
              <w:rPr>
                <w:rFonts w:hint="default" w:ascii="Times New Roman" w:hAnsi="Times New Roman" w:eastAsia="宋体" w:cs="Times New Roman"/>
                <w:sz w:val="18"/>
                <w:szCs w:val="18"/>
                <w:highlight w:val="none"/>
                <w:vertAlign w:val="baseline"/>
                <w:lang w:val="en-US" w:eastAsia="zh-CN"/>
              </w:rPr>
            </w:pPr>
          </w:p>
        </w:tc>
      </w:tr>
      <w:tr w14:paraId="7641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28F341E2">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5FF764DB">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产品寿命和使用年限</w:t>
            </w:r>
            <w:r>
              <w:rPr>
                <w:rFonts w:hint="default" w:ascii="Times New Roman" w:hAnsi="Times New Roman" w:eastAsia="宋体" w:cs="Times New Roman"/>
                <w:sz w:val="18"/>
                <w:szCs w:val="18"/>
                <w:highlight w:val="none"/>
                <w:vertAlign w:val="superscript"/>
                <w:lang w:val="en-US" w:eastAsia="zh-CN"/>
              </w:rPr>
              <w:t>d</w:t>
            </w:r>
          </w:p>
        </w:tc>
        <w:tc>
          <w:tcPr>
            <w:tcW w:w="4476" w:type="dxa"/>
          </w:tcPr>
          <w:p w14:paraId="6095F1F6">
            <w:pPr>
              <w:pStyle w:val="2"/>
              <w:rPr>
                <w:rFonts w:hint="default" w:ascii="Times New Roman" w:hAnsi="Times New Roman" w:eastAsia="宋体" w:cs="Times New Roman"/>
                <w:sz w:val="18"/>
                <w:szCs w:val="18"/>
                <w:highlight w:val="none"/>
                <w:vertAlign w:val="baseline"/>
                <w:lang w:val="en-US" w:eastAsia="zh-CN"/>
              </w:rPr>
            </w:pPr>
          </w:p>
        </w:tc>
      </w:tr>
      <w:tr w14:paraId="6CC8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70F776F1">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77EC7BB7">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数据统计周期</w:t>
            </w:r>
          </w:p>
        </w:tc>
        <w:tc>
          <w:tcPr>
            <w:tcW w:w="4476" w:type="dxa"/>
          </w:tcPr>
          <w:p w14:paraId="78453E32">
            <w:pPr>
              <w:pStyle w:val="2"/>
              <w:rPr>
                <w:rFonts w:hint="default" w:ascii="Times New Roman" w:hAnsi="Times New Roman" w:eastAsia="宋体" w:cs="Times New Roman"/>
                <w:sz w:val="18"/>
                <w:szCs w:val="18"/>
                <w:highlight w:val="none"/>
                <w:vertAlign w:val="baseline"/>
                <w:lang w:val="en-US" w:eastAsia="zh-CN"/>
              </w:rPr>
            </w:pPr>
          </w:p>
        </w:tc>
      </w:tr>
      <w:tr w14:paraId="0987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6EE6F75D">
            <w:pPr>
              <w:pStyle w:val="2"/>
              <w:ind w:firstLine="360" w:firstLineChars="200"/>
              <w:jc w:val="both"/>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superscript"/>
                <w:lang w:val="en-US" w:eastAsia="zh-CN"/>
              </w:rPr>
              <w:t>a</w:t>
            </w:r>
            <w:r>
              <w:rPr>
                <w:rFonts w:hint="default" w:ascii="Times New Roman" w:hAnsi="Times New Roman" w:eastAsia="宋体" w:cs="Times New Roman"/>
                <w:sz w:val="18"/>
                <w:szCs w:val="18"/>
                <w:highlight w:val="none"/>
                <w:vertAlign w:val="baseline"/>
                <w:lang w:val="en-US" w:eastAsia="zh-CN"/>
              </w:rPr>
              <w:t>绘制工艺流程示意图，涵盖企业所有生产环节，并对重点工艺进行描述。</w:t>
            </w:r>
          </w:p>
          <w:p w14:paraId="4DC233BE">
            <w:pPr>
              <w:pStyle w:val="2"/>
              <w:ind w:firstLine="360" w:firstLineChars="200"/>
              <w:jc w:val="both"/>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superscript"/>
                <w:lang w:val="en-US" w:eastAsia="zh-CN"/>
              </w:rPr>
              <w:t>b</w:t>
            </w:r>
            <w:r>
              <w:rPr>
                <w:rFonts w:hint="default" w:ascii="Times New Roman" w:hAnsi="Times New Roman" w:eastAsia="宋体" w:cs="Times New Roman"/>
                <w:sz w:val="18"/>
                <w:szCs w:val="18"/>
                <w:highlight w:val="none"/>
                <w:vertAlign w:val="baseline"/>
                <w:lang w:val="en-US" w:eastAsia="zh-CN"/>
              </w:rPr>
              <w:t>收集</w:t>
            </w:r>
            <w:r>
              <w:rPr>
                <w:rFonts w:hint="eastAsia" w:cs="Times New Roman"/>
                <w:sz w:val="18"/>
                <w:szCs w:val="18"/>
                <w:highlight w:val="none"/>
                <w:vertAlign w:val="baseline"/>
                <w:lang w:val="en-US" w:eastAsia="zh-CN"/>
              </w:rPr>
              <w:t>变压器的绝缘系统耐热等级、短路阻抗（%）、温升限值（K）、绝缘水平</w:t>
            </w:r>
            <w:r>
              <w:rPr>
                <w:rFonts w:hint="default" w:ascii="Times New Roman" w:hAnsi="Times New Roman" w:eastAsia="宋体" w:cs="Times New Roman"/>
                <w:sz w:val="18"/>
                <w:szCs w:val="18"/>
                <w:highlight w:val="none"/>
                <w:vertAlign w:val="baseline"/>
                <w:lang w:val="en-US" w:eastAsia="zh-CN"/>
              </w:rPr>
              <w:t>等技术参数，并提供相关佐证材料。</w:t>
            </w:r>
          </w:p>
          <w:p w14:paraId="7E791E8B">
            <w:pPr>
              <w:pStyle w:val="2"/>
              <w:ind w:firstLine="360" w:firstLineChars="200"/>
              <w:jc w:val="both"/>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superscript"/>
                <w:lang w:val="en-US" w:eastAsia="zh-CN"/>
              </w:rPr>
              <w:t>c</w:t>
            </w:r>
            <w:r>
              <w:rPr>
                <w:rFonts w:hint="default" w:ascii="Times New Roman" w:hAnsi="Times New Roman" w:eastAsia="宋体" w:cs="Times New Roman"/>
                <w:sz w:val="18"/>
                <w:szCs w:val="18"/>
                <w:highlight w:val="none"/>
                <w:vertAlign w:val="baseline"/>
                <w:lang w:val="en-US" w:eastAsia="zh-CN"/>
              </w:rPr>
              <w:t>若存在多个生产和销售使用地点，应提供各地产量或销售比例，并分别说明运输方式。</w:t>
            </w:r>
          </w:p>
          <w:p w14:paraId="1ABDB9DA">
            <w:pPr>
              <w:pStyle w:val="2"/>
              <w:ind w:firstLine="360" w:firstLineChars="200"/>
              <w:jc w:val="both"/>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superscript"/>
                <w:lang w:val="en-US" w:eastAsia="zh-CN"/>
              </w:rPr>
              <w:t>d</w:t>
            </w:r>
            <w:r>
              <w:rPr>
                <w:rFonts w:hint="default" w:ascii="Times New Roman" w:hAnsi="Times New Roman" w:eastAsia="宋体" w:cs="Times New Roman"/>
                <w:sz w:val="18"/>
                <w:szCs w:val="18"/>
                <w:highlight w:val="none"/>
                <w:vertAlign w:val="baseline"/>
                <w:lang w:val="en-US" w:eastAsia="zh-CN"/>
              </w:rPr>
              <w:t>若进行整个生命周期阶段的产品碳足迹评价，应对产品寿命和使用年限进行估计，并提供相关假设依据说明。</w:t>
            </w:r>
          </w:p>
        </w:tc>
      </w:tr>
    </w:tbl>
    <w:p w14:paraId="14A58951">
      <w:pPr>
        <w:pStyle w:val="2"/>
        <w:rPr>
          <w:rFonts w:hint="default" w:ascii="Times New Roman" w:hAnsi="Times New Roman" w:eastAsia="宋体" w:cs="Times New Roman"/>
          <w:sz w:val="18"/>
          <w:szCs w:val="18"/>
          <w:highlight w:val="none"/>
          <w:lang w:val="en-US" w:eastAsia="zh-CN"/>
        </w:rPr>
      </w:pPr>
    </w:p>
    <w:p w14:paraId="4C1EB478">
      <w:pPr>
        <w:outlineLvl w:val="3"/>
        <w:rPr>
          <w:rFonts w:hint="default" w:eastAsia="黑体" w:cs="Times New Roman"/>
          <w:sz w:val="21"/>
          <w:szCs w:val="21"/>
          <w:highlight w:val="none"/>
          <w:lang w:val="en-US" w:eastAsia="zh-CN"/>
        </w:rPr>
      </w:pPr>
      <w:r>
        <w:rPr>
          <w:rFonts w:hint="eastAsia" w:eastAsia="黑体" w:cs="Times New Roman"/>
          <w:sz w:val="21"/>
          <w:szCs w:val="21"/>
          <w:highlight w:val="none"/>
          <w:lang w:val="en-US" w:eastAsia="zh-CN"/>
        </w:rPr>
        <w:t>B</w:t>
      </w:r>
      <w:r>
        <w:rPr>
          <w:rFonts w:hint="default" w:eastAsia="黑体" w:cs="Times New Roman"/>
          <w:sz w:val="21"/>
          <w:szCs w:val="21"/>
          <w:highlight w:val="none"/>
          <w:lang w:val="en-US" w:eastAsia="zh-CN"/>
        </w:rPr>
        <w:t>.2 碳足迹量化现场数据收集表</w:t>
      </w:r>
    </w:p>
    <w:p w14:paraId="7841B2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表</w:t>
      </w:r>
      <w:r>
        <w:rPr>
          <w:rFonts w:hint="eastAsia" w:eastAsia="黑体" w:cs="Times New Roman"/>
          <w:sz w:val="21"/>
          <w:szCs w:val="21"/>
          <w:highlight w:val="none"/>
          <w:lang w:val="en-US" w:eastAsia="zh-CN"/>
        </w:rPr>
        <w:t>B</w:t>
      </w:r>
      <w:r>
        <w:rPr>
          <w:rFonts w:hint="default" w:ascii="Times New Roman" w:hAnsi="Times New Roman" w:eastAsia="黑体" w:cs="Times New Roman"/>
          <w:sz w:val="21"/>
          <w:szCs w:val="21"/>
          <w:highlight w:val="none"/>
          <w:lang w:val="en-US" w:eastAsia="zh-CN"/>
        </w:rPr>
        <w:t xml:space="preserve">.2 </w:t>
      </w:r>
      <w:r>
        <w:rPr>
          <w:rFonts w:hint="eastAsia" w:eastAsia="黑体" w:cs="Times New Roman"/>
          <w:sz w:val="21"/>
          <w:szCs w:val="21"/>
          <w:highlight w:val="none"/>
          <w:lang w:val="en-US" w:eastAsia="zh-CN"/>
        </w:rPr>
        <w:t>现场</w:t>
      </w:r>
      <w:r>
        <w:rPr>
          <w:rFonts w:hint="default" w:ascii="Times New Roman" w:hAnsi="Times New Roman" w:eastAsia="黑体" w:cs="Times New Roman"/>
          <w:sz w:val="21"/>
          <w:szCs w:val="21"/>
          <w:highlight w:val="none"/>
          <w:lang w:val="en-US" w:eastAsia="zh-CN"/>
        </w:rPr>
        <w:t>数据收集表</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052"/>
        <w:gridCol w:w="674"/>
        <w:gridCol w:w="618"/>
        <w:gridCol w:w="997"/>
        <w:gridCol w:w="1025"/>
        <w:gridCol w:w="1080"/>
        <w:gridCol w:w="2284"/>
      </w:tblGrid>
      <w:tr w14:paraId="3CE0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2" w:type="dxa"/>
            <w:gridSpan w:val="3"/>
            <w:vAlign w:val="center"/>
          </w:tcPr>
          <w:p w14:paraId="1DD5B191">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数据收集时间段</w:t>
            </w:r>
          </w:p>
        </w:tc>
        <w:tc>
          <w:tcPr>
            <w:tcW w:w="6004" w:type="dxa"/>
            <w:gridSpan w:val="5"/>
            <w:vAlign w:val="center"/>
          </w:tcPr>
          <w:p w14:paraId="0FEFEFCC">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xx年xx月xx日~xx年xx月xx日</w:t>
            </w:r>
          </w:p>
        </w:tc>
      </w:tr>
      <w:tr w14:paraId="61E7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8"/>
            <w:vAlign w:val="center"/>
          </w:tcPr>
          <w:p w14:paraId="0A3198CA">
            <w:pPr>
              <w:pStyle w:val="2"/>
              <w:jc w:val="left"/>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bCs/>
                <w:sz w:val="18"/>
                <w:szCs w:val="18"/>
                <w:highlight w:val="none"/>
                <w:vertAlign w:val="baseline"/>
                <w:lang w:val="en-US" w:eastAsia="zh-CN"/>
              </w:rPr>
              <w:t>1 产品产出</w:t>
            </w:r>
          </w:p>
        </w:tc>
      </w:tr>
      <w:tr w14:paraId="16C3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14:paraId="7A97FD03">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产品类型</w:t>
            </w:r>
          </w:p>
        </w:tc>
        <w:tc>
          <w:tcPr>
            <w:tcW w:w="674" w:type="dxa"/>
            <w:vAlign w:val="center"/>
          </w:tcPr>
          <w:p w14:paraId="463CF4B8">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单位</w:t>
            </w:r>
          </w:p>
        </w:tc>
        <w:tc>
          <w:tcPr>
            <w:tcW w:w="618" w:type="dxa"/>
            <w:vAlign w:val="center"/>
          </w:tcPr>
          <w:p w14:paraId="267EC1CC">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数量</w:t>
            </w:r>
          </w:p>
        </w:tc>
        <w:tc>
          <w:tcPr>
            <w:tcW w:w="997" w:type="dxa"/>
            <w:vAlign w:val="center"/>
          </w:tcPr>
          <w:p w14:paraId="21216378">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数据来源</w:t>
            </w:r>
          </w:p>
        </w:tc>
        <w:tc>
          <w:tcPr>
            <w:tcW w:w="1025" w:type="dxa"/>
            <w:vAlign w:val="center"/>
          </w:tcPr>
          <w:p w14:paraId="5B08C968">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运输方式</w:t>
            </w:r>
          </w:p>
        </w:tc>
        <w:tc>
          <w:tcPr>
            <w:tcW w:w="1080" w:type="dxa"/>
            <w:vAlign w:val="center"/>
          </w:tcPr>
          <w:p w14:paraId="3A50A3A0">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运输距离</w:t>
            </w:r>
          </w:p>
        </w:tc>
        <w:tc>
          <w:tcPr>
            <w:tcW w:w="2284" w:type="dxa"/>
            <w:vAlign w:val="center"/>
          </w:tcPr>
          <w:p w14:paraId="32955EBE">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备注</w:t>
            </w:r>
          </w:p>
        </w:tc>
      </w:tr>
      <w:tr w14:paraId="61EA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14:paraId="27238EEB">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变压器</w:t>
            </w:r>
          </w:p>
        </w:tc>
        <w:tc>
          <w:tcPr>
            <w:tcW w:w="674" w:type="dxa"/>
            <w:vAlign w:val="center"/>
          </w:tcPr>
          <w:p w14:paraId="3206B04E">
            <w:pPr>
              <w:pStyle w:val="2"/>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台</w:t>
            </w:r>
          </w:p>
        </w:tc>
        <w:tc>
          <w:tcPr>
            <w:tcW w:w="618" w:type="dxa"/>
            <w:vAlign w:val="center"/>
          </w:tcPr>
          <w:p w14:paraId="4B470924">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10499265">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475DC4CD">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6A4BA61E">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01712B0E">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6F01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8"/>
            <w:vAlign w:val="center"/>
          </w:tcPr>
          <w:p w14:paraId="57A0E847">
            <w:pPr>
              <w:pStyle w:val="2"/>
              <w:jc w:val="left"/>
              <w:rPr>
                <w:rFonts w:hint="default" w:ascii="Times New Roman" w:hAnsi="Times New Roman" w:cs="Times New Roman"/>
                <w:b/>
                <w:bCs/>
                <w:sz w:val="18"/>
                <w:szCs w:val="18"/>
                <w:highlight w:val="none"/>
                <w:vertAlign w:val="baseline"/>
                <w:lang w:val="en-US" w:eastAsia="zh-CN"/>
              </w:rPr>
            </w:pPr>
            <w:r>
              <w:rPr>
                <w:rFonts w:hint="default" w:ascii="Times New Roman" w:hAnsi="Times New Roman" w:cs="Times New Roman"/>
                <w:b/>
                <w:bCs/>
                <w:sz w:val="18"/>
                <w:szCs w:val="18"/>
                <w:highlight w:val="none"/>
                <w:vertAlign w:val="baseline"/>
                <w:lang w:val="en-US" w:eastAsia="zh-CN"/>
              </w:rPr>
              <w:t>2 材料消耗</w:t>
            </w:r>
          </w:p>
        </w:tc>
      </w:tr>
      <w:tr w14:paraId="7B61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2249B32B">
            <w:pPr>
              <w:pStyle w:val="2"/>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零部件</w:t>
            </w:r>
          </w:p>
        </w:tc>
        <w:tc>
          <w:tcPr>
            <w:tcW w:w="1052" w:type="dxa"/>
            <w:vAlign w:val="center"/>
          </w:tcPr>
          <w:p w14:paraId="5D51919C">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材料类型</w:t>
            </w:r>
          </w:p>
        </w:tc>
        <w:tc>
          <w:tcPr>
            <w:tcW w:w="674" w:type="dxa"/>
            <w:shd w:val="clear" w:color="auto" w:fill="auto"/>
            <w:vAlign w:val="center"/>
          </w:tcPr>
          <w:p w14:paraId="1DB4A233">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单位</w:t>
            </w:r>
          </w:p>
        </w:tc>
        <w:tc>
          <w:tcPr>
            <w:tcW w:w="618" w:type="dxa"/>
            <w:shd w:val="clear" w:color="auto" w:fill="auto"/>
            <w:vAlign w:val="center"/>
          </w:tcPr>
          <w:p w14:paraId="3F61B66F">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数量</w:t>
            </w:r>
          </w:p>
        </w:tc>
        <w:tc>
          <w:tcPr>
            <w:tcW w:w="997" w:type="dxa"/>
            <w:shd w:val="clear" w:color="auto" w:fill="auto"/>
            <w:vAlign w:val="center"/>
          </w:tcPr>
          <w:p w14:paraId="47C22568">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数据来源</w:t>
            </w:r>
          </w:p>
        </w:tc>
        <w:tc>
          <w:tcPr>
            <w:tcW w:w="1025" w:type="dxa"/>
            <w:shd w:val="clear" w:color="auto" w:fill="auto"/>
            <w:vAlign w:val="center"/>
          </w:tcPr>
          <w:p w14:paraId="0C9D1187">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运输方式</w:t>
            </w:r>
          </w:p>
        </w:tc>
        <w:tc>
          <w:tcPr>
            <w:tcW w:w="1080" w:type="dxa"/>
            <w:shd w:val="clear" w:color="auto" w:fill="auto"/>
            <w:vAlign w:val="center"/>
          </w:tcPr>
          <w:p w14:paraId="355C58D4">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运输距离</w:t>
            </w:r>
          </w:p>
        </w:tc>
        <w:tc>
          <w:tcPr>
            <w:tcW w:w="2284" w:type="dxa"/>
            <w:shd w:val="clear" w:color="auto" w:fill="auto"/>
            <w:vAlign w:val="center"/>
          </w:tcPr>
          <w:p w14:paraId="6A85B1E7">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备注</w:t>
            </w:r>
          </w:p>
        </w:tc>
      </w:tr>
      <w:tr w14:paraId="6B3C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restart"/>
            <w:vAlign w:val="center"/>
          </w:tcPr>
          <w:p w14:paraId="2FB0446C">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铁芯</w:t>
            </w:r>
          </w:p>
        </w:tc>
        <w:tc>
          <w:tcPr>
            <w:tcW w:w="1052" w:type="dxa"/>
            <w:vAlign w:val="center"/>
          </w:tcPr>
          <w:p w14:paraId="1960DCC5">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硅钢片</w:t>
            </w:r>
          </w:p>
        </w:tc>
        <w:tc>
          <w:tcPr>
            <w:tcW w:w="674" w:type="dxa"/>
            <w:vAlign w:val="center"/>
          </w:tcPr>
          <w:p w14:paraId="3044C2BE">
            <w:pPr>
              <w:pStyle w:val="2"/>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13C718F9">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4B819513">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00ED303B">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64B02609">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5D967BAC">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036D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377D4D96">
            <w:pPr>
              <w:pStyle w:val="2"/>
              <w:jc w:val="center"/>
              <w:rPr>
                <w:rFonts w:hint="eastAsia" w:cs="Times New Roman"/>
                <w:b w:val="0"/>
                <w:bCs w:val="0"/>
                <w:sz w:val="18"/>
                <w:szCs w:val="18"/>
                <w:highlight w:val="none"/>
                <w:vertAlign w:val="baseline"/>
                <w:lang w:val="en-US" w:eastAsia="zh-CN"/>
              </w:rPr>
            </w:pPr>
          </w:p>
        </w:tc>
        <w:tc>
          <w:tcPr>
            <w:tcW w:w="1052" w:type="dxa"/>
            <w:vAlign w:val="center"/>
          </w:tcPr>
          <w:p w14:paraId="6CC04B4A">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非晶合金</w:t>
            </w:r>
          </w:p>
        </w:tc>
        <w:tc>
          <w:tcPr>
            <w:tcW w:w="674" w:type="dxa"/>
            <w:vAlign w:val="center"/>
          </w:tcPr>
          <w:p w14:paraId="2F986D93">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0093C722">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20CD6EC7">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665AFB95">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6BBC534A">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40B9627F">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79F3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restart"/>
            <w:vAlign w:val="center"/>
          </w:tcPr>
          <w:p w14:paraId="2C1CF708">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线圈</w:t>
            </w:r>
          </w:p>
        </w:tc>
        <w:tc>
          <w:tcPr>
            <w:tcW w:w="1052" w:type="dxa"/>
            <w:shd w:val="clear" w:color="auto" w:fill="auto"/>
            <w:vAlign w:val="center"/>
          </w:tcPr>
          <w:p w14:paraId="462B72B7">
            <w:pPr>
              <w:pStyle w:val="2"/>
              <w:jc w:val="center"/>
              <w:rPr>
                <w:rFonts w:hint="eastAsia" w:ascii="Times New Roman" w:hAnsi="Times New Roman" w:eastAsia="宋体" w:cs="Times New Roman"/>
                <w:b w:val="0"/>
                <w:bCs w:val="0"/>
                <w:kern w:val="2"/>
                <w:sz w:val="18"/>
                <w:szCs w:val="18"/>
                <w:highlight w:val="none"/>
                <w:vertAlign w:val="baseline"/>
                <w:lang w:val="en-US" w:eastAsia="zh-CN" w:bidi="ar-SA"/>
              </w:rPr>
            </w:pPr>
            <w:r>
              <w:rPr>
                <w:rFonts w:hint="eastAsia" w:cs="Times New Roman"/>
                <w:b w:val="0"/>
                <w:bCs w:val="0"/>
                <w:sz w:val="18"/>
                <w:szCs w:val="18"/>
                <w:highlight w:val="none"/>
                <w:vertAlign w:val="baseline"/>
                <w:lang w:val="en-US" w:eastAsia="zh-CN"/>
              </w:rPr>
              <w:t>铜导线</w:t>
            </w:r>
          </w:p>
        </w:tc>
        <w:tc>
          <w:tcPr>
            <w:tcW w:w="674" w:type="dxa"/>
            <w:vAlign w:val="center"/>
          </w:tcPr>
          <w:p w14:paraId="118135E7">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58A0E83F">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2DA98A42">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08EC21E2">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5905CD2F">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40967810">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2940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25E81131">
            <w:pPr>
              <w:pStyle w:val="2"/>
              <w:jc w:val="center"/>
              <w:rPr>
                <w:rFonts w:hint="eastAsia" w:cs="Times New Roman"/>
                <w:b w:val="0"/>
                <w:bCs w:val="0"/>
                <w:sz w:val="18"/>
                <w:szCs w:val="18"/>
                <w:highlight w:val="none"/>
                <w:vertAlign w:val="baseline"/>
                <w:lang w:val="en-US" w:eastAsia="zh-CN"/>
              </w:rPr>
            </w:pPr>
          </w:p>
        </w:tc>
        <w:tc>
          <w:tcPr>
            <w:tcW w:w="1052" w:type="dxa"/>
            <w:shd w:val="clear" w:color="auto" w:fill="auto"/>
            <w:vAlign w:val="center"/>
          </w:tcPr>
          <w:p w14:paraId="49AD2763">
            <w:pPr>
              <w:pStyle w:val="2"/>
              <w:jc w:val="center"/>
              <w:rPr>
                <w:rFonts w:hint="eastAsia" w:ascii="Times New Roman" w:hAnsi="Times New Roman" w:eastAsia="宋体" w:cs="Times New Roman"/>
                <w:b w:val="0"/>
                <w:bCs w:val="0"/>
                <w:kern w:val="2"/>
                <w:sz w:val="18"/>
                <w:szCs w:val="18"/>
                <w:highlight w:val="none"/>
                <w:vertAlign w:val="baseline"/>
                <w:lang w:val="en-US" w:eastAsia="zh-CN" w:bidi="ar-SA"/>
              </w:rPr>
            </w:pPr>
            <w:r>
              <w:rPr>
                <w:rFonts w:hint="eastAsia" w:cs="Times New Roman"/>
                <w:b w:val="0"/>
                <w:bCs w:val="0"/>
                <w:sz w:val="18"/>
                <w:szCs w:val="18"/>
                <w:highlight w:val="none"/>
                <w:vertAlign w:val="baseline"/>
                <w:lang w:val="en-US" w:eastAsia="zh-CN"/>
              </w:rPr>
              <w:t>铝导线</w:t>
            </w:r>
          </w:p>
        </w:tc>
        <w:tc>
          <w:tcPr>
            <w:tcW w:w="674" w:type="dxa"/>
            <w:vAlign w:val="center"/>
          </w:tcPr>
          <w:p w14:paraId="47780DD8">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7016C2A6">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06E110F5">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1A53FAB8">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02562205">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503697C2">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05F5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51799397">
            <w:pPr>
              <w:pStyle w:val="2"/>
              <w:jc w:val="center"/>
              <w:rPr>
                <w:rFonts w:hint="eastAsia" w:cs="Times New Roman"/>
                <w:b w:val="0"/>
                <w:bCs w:val="0"/>
                <w:sz w:val="18"/>
                <w:szCs w:val="18"/>
                <w:highlight w:val="none"/>
                <w:vertAlign w:val="baseline"/>
                <w:lang w:val="en-US" w:eastAsia="zh-CN"/>
              </w:rPr>
            </w:pPr>
          </w:p>
        </w:tc>
        <w:tc>
          <w:tcPr>
            <w:tcW w:w="1052" w:type="dxa"/>
            <w:shd w:val="clear" w:color="auto" w:fill="auto"/>
            <w:vAlign w:val="center"/>
          </w:tcPr>
          <w:p w14:paraId="5F85B76C">
            <w:pPr>
              <w:pStyle w:val="2"/>
              <w:jc w:val="center"/>
              <w:rPr>
                <w:rFonts w:hint="eastAsia" w:ascii="Times New Roman" w:hAnsi="Times New Roman" w:eastAsia="宋体" w:cs="Times New Roman"/>
                <w:b w:val="0"/>
                <w:bCs w:val="0"/>
                <w:kern w:val="2"/>
                <w:sz w:val="18"/>
                <w:szCs w:val="18"/>
                <w:highlight w:val="none"/>
                <w:vertAlign w:val="baseline"/>
                <w:lang w:val="en-US" w:eastAsia="zh-CN" w:bidi="ar-SA"/>
              </w:rPr>
            </w:pPr>
            <w:r>
              <w:rPr>
                <w:rFonts w:hint="eastAsia" w:cs="Times New Roman"/>
                <w:b w:val="0"/>
                <w:bCs w:val="0"/>
                <w:sz w:val="18"/>
                <w:szCs w:val="18"/>
                <w:highlight w:val="none"/>
                <w:vertAlign w:val="baseline"/>
                <w:lang w:val="en-US" w:eastAsia="zh-CN"/>
              </w:rPr>
              <w:t>铝箔</w:t>
            </w:r>
          </w:p>
        </w:tc>
        <w:tc>
          <w:tcPr>
            <w:tcW w:w="674" w:type="dxa"/>
            <w:vAlign w:val="center"/>
          </w:tcPr>
          <w:p w14:paraId="4B377CC2">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1CB13B5C">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514B407C">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1D6BDD88">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06133E06">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4E0F895B">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206F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5A046F72">
            <w:pPr>
              <w:pStyle w:val="2"/>
              <w:jc w:val="center"/>
              <w:rPr>
                <w:rFonts w:hint="eastAsia" w:cs="Times New Roman"/>
                <w:b w:val="0"/>
                <w:bCs w:val="0"/>
                <w:sz w:val="18"/>
                <w:szCs w:val="18"/>
                <w:highlight w:val="none"/>
                <w:vertAlign w:val="baseline"/>
                <w:lang w:val="en-US" w:eastAsia="zh-CN"/>
              </w:rPr>
            </w:pPr>
          </w:p>
        </w:tc>
        <w:tc>
          <w:tcPr>
            <w:tcW w:w="1052" w:type="dxa"/>
            <w:shd w:val="clear" w:color="auto" w:fill="auto"/>
            <w:vAlign w:val="center"/>
          </w:tcPr>
          <w:p w14:paraId="2B00F3EF">
            <w:pPr>
              <w:pStyle w:val="2"/>
              <w:jc w:val="center"/>
              <w:rPr>
                <w:rFonts w:hint="eastAsia" w:ascii="Times New Roman" w:hAnsi="Times New Roman" w:eastAsia="宋体" w:cs="Times New Roman"/>
                <w:b w:val="0"/>
                <w:bCs w:val="0"/>
                <w:kern w:val="2"/>
                <w:sz w:val="18"/>
                <w:szCs w:val="18"/>
                <w:highlight w:val="none"/>
                <w:vertAlign w:val="baseline"/>
                <w:lang w:val="en-US" w:eastAsia="zh-CN" w:bidi="ar-SA"/>
              </w:rPr>
            </w:pPr>
            <w:r>
              <w:rPr>
                <w:rFonts w:hint="eastAsia" w:cs="Times New Roman"/>
                <w:b w:val="0"/>
                <w:bCs w:val="0"/>
                <w:sz w:val="18"/>
                <w:szCs w:val="18"/>
                <w:highlight w:val="none"/>
                <w:vertAlign w:val="baseline"/>
                <w:lang w:val="en-US" w:eastAsia="zh-CN"/>
              </w:rPr>
              <w:t>铜箔</w:t>
            </w:r>
          </w:p>
        </w:tc>
        <w:tc>
          <w:tcPr>
            <w:tcW w:w="674" w:type="dxa"/>
            <w:vAlign w:val="center"/>
          </w:tcPr>
          <w:p w14:paraId="1FBA60CD">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082F9592">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256CDA36">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6C9E2F5F">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6686049E">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5A0CF50E">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1B70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restart"/>
            <w:vAlign w:val="center"/>
          </w:tcPr>
          <w:p w14:paraId="4071552A">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绝缘液/气</w:t>
            </w:r>
          </w:p>
        </w:tc>
        <w:tc>
          <w:tcPr>
            <w:tcW w:w="1052" w:type="dxa"/>
            <w:vAlign w:val="center"/>
          </w:tcPr>
          <w:p w14:paraId="164B970D">
            <w:pPr>
              <w:pStyle w:val="2"/>
              <w:jc w:val="center"/>
              <w:rPr>
                <w:rFonts w:hint="eastAsia"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矿物油</w:t>
            </w:r>
          </w:p>
        </w:tc>
        <w:tc>
          <w:tcPr>
            <w:tcW w:w="674" w:type="dxa"/>
            <w:vAlign w:val="center"/>
          </w:tcPr>
          <w:p w14:paraId="550326BD">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6AB37CFD">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21C2666C">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7BEF177D">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62DF0B9A">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3FEBD87D">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7050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5319EF94">
            <w:pPr>
              <w:pStyle w:val="2"/>
              <w:jc w:val="center"/>
              <w:rPr>
                <w:rFonts w:hint="eastAsia" w:cs="Times New Roman"/>
                <w:b w:val="0"/>
                <w:bCs w:val="0"/>
                <w:sz w:val="18"/>
                <w:szCs w:val="18"/>
                <w:highlight w:val="none"/>
                <w:vertAlign w:val="baseline"/>
                <w:lang w:val="en-US" w:eastAsia="zh-CN"/>
              </w:rPr>
            </w:pPr>
          </w:p>
        </w:tc>
        <w:tc>
          <w:tcPr>
            <w:tcW w:w="1052" w:type="dxa"/>
            <w:vAlign w:val="center"/>
          </w:tcPr>
          <w:p w14:paraId="1963281A">
            <w:pPr>
              <w:pStyle w:val="2"/>
              <w:jc w:val="center"/>
              <w:rPr>
                <w:rFonts w:hint="eastAsia"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天然酯绝缘油</w:t>
            </w:r>
          </w:p>
        </w:tc>
        <w:tc>
          <w:tcPr>
            <w:tcW w:w="674" w:type="dxa"/>
            <w:vAlign w:val="center"/>
          </w:tcPr>
          <w:p w14:paraId="3589273F">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3CDE7299">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1A821780">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5A64C262">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4A7A33B4">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5D14C2ED">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0BA0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77DA4BAE">
            <w:pPr>
              <w:pStyle w:val="2"/>
              <w:jc w:val="center"/>
              <w:rPr>
                <w:rFonts w:hint="eastAsia" w:cs="Times New Roman"/>
                <w:b w:val="0"/>
                <w:bCs w:val="0"/>
                <w:sz w:val="18"/>
                <w:szCs w:val="18"/>
                <w:highlight w:val="none"/>
                <w:vertAlign w:val="baseline"/>
                <w:lang w:val="en-US" w:eastAsia="zh-CN"/>
              </w:rPr>
            </w:pPr>
          </w:p>
        </w:tc>
        <w:tc>
          <w:tcPr>
            <w:tcW w:w="1052" w:type="dxa"/>
            <w:vAlign w:val="center"/>
          </w:tcPr>
          <w:p w14:paraId="1ECAC34C">
            <w:pPr>
              <w:pStyle w:val="2"/>
              <w:jc w:val="center"/>
              <w:rPr>
                <w:rFonts w:hint="eastAsia"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合成酯绝缘油</w:t>
            </w:r>
          </w:p>
        </w:tc>
        <w:tc>
          <w:tcPr>
            <w:tcW w:w="674" w:type="dxa"/>
            <w:vAlign w:val="center"/>
          </w:tcPr>
          <w:p w14:paraId="5087ECB4">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3EDDA4DC">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2CD01032">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5ABE49C4">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457A8B40">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74D0B0F4">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75BD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5B6E962C">
            <w:pPr>
              <w:pStyle w:val="2"/>
              <w:jc w:val="center"/>
              <w:rPr>
                <w:rFonts w:hint="eastAsia" w:cs="Times New Roman"/>
                <w:b w:val="0"/>
                <w:bCs w:val="0"/>
                <w:sz w:val="18"/>
                <w:szCs w:val="18"/>
                <w:highlight w:val="none"/>
                <w:vertAlign w:val="baseline"/>
                <w:lang w:val="en-US" w:eastAsia="zh-CN"/>
              </w:rPr>
            </w:pPr>
          </w:p>
        </w:tc>
        <w:tc>
          <w:tcPr>
            <w:tcW w:w="1052" w:type="dxa"/>
            <w:vAlign w:val="center"/>
          </w:tcPr>
          <w:p w14:paraId="4EF454C8">
            <w:pPr>
              <w:pStyle w:val="2"/>
              <w:jc w:val="center"/>
              <w:rPr>
                <w:rFonts w:hint="eastAsia"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SF6</w:t>
            </w:r>
          </w:p>
        </w:tc>
        <w:tc>
          <w:tcPr>
            <w:tcW w:w="674" w:type="dxa"/>
            <w:vAlign w:val="center"/>
          </w:tcPr>
          <w:p w14:paraId="05A09156">
            <w:pPr>
              <w:pStyle w:val="2"/>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m</w:t>
            </w:r>
            <w:r>
              <w:rPr>
                <w:rFonts w:hint="eastAsia" w:cs="Times New Roman"/>
                <w:b w:val="0"/>
                <w:bCs w:val="0"/>
                <w:sz w:val="18"/>
                <w:szCs w:val="18"/>
                <w:highlight w:val="none"/>
                <w:vertAlign w:val="superscript"/>
                <w:lang w:val="en-US" w:eastAsia="zh-CN"/>
              </w:rPr>
              <w:t>3</w:t>
            </w:r>
          </w:p>
        </w:tc>
        <w:tc>
          <w:tcPr>
            <w:tcW w:w="618" w:type="dxa"/>
            <w:vAlign w:val="center"/>
          </w:tcPr>
          <w:p w14:paraId="28A8AEC2">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170748AB">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5A29366D">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3F4B5FA8">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72B0518C">
            <w:pPr>
              <w:pStyle w:val="2"/>
              <w:jc w:val="center"/>
              <w:rPr>
                <w:rFonts w:hint="default" w:ascii="Times New Roman" w:hAnsi="Times New Roman" w:cs="Times New Roman"/>
                <w:b w:val="0"/>
                <w:bCs w:val="0"/>
                <w:sz w:val="18"/>
                <w:szCs w:val="18"/>
                <w:highlight w:val="none"/>
                <w:vertAlign w:val="baseline"/>
                <w:lang w:val="en-US" w:eastAsia="zh-CN"/>
              </w:rPr>
            </w:pPr>
          </w:p>
        </w:tc>
      </w:tr>
      <w:tr w14:paraId="53C2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restart"/>
            <w:vAlign w:val="center"/>
          </w:tcPr>
          <w:p w14:paraId="1CB848AF">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绝缘材料</w:t>
            </w:r>
          </w:p>
        </w:tc>
        <w:tc>
          <w:tcPr>
            <w:tcW w:w="1052" w:type="dxa"/>
            <w:vAlign w:val="center"/>
          </w:tcPr>
          <w:p w14:paraId="0055EC0C">
            <w:pPr>
              <w:pStyle w:val="2"/>
              <w:jc w:val="center"/>
              <w:rPr>
                <w:rFonts w:hint="eastAsia"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环氧树脂</w:t>
            </w:r>
          </w:p>
        </w:tc>
        <w:tc>
          <w:tcPr>
            <w:tcW w:w="674" w:type="dxa"/>
            <w:vAlign w:val="center"/>
          </w:tcPr>
          <w:p w14:paraId="3370A9C8">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7B3C440A">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75E4B2C4">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5F3B4BCC">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0C7907FB">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348B01C4">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5492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5C68FA38">
            <w:pPr>
              <w:pStyle w:val="2"/>
              <w:jc w:val="center"/>
              <w:rPr>
                <w:rFonts w:hint="eastAsia" w:cs="Times New Roman"/>
                <w:b w:val="0"/>
                <w:bCs w:val="0"/>
                <w:sz w:val="18"/>
                <w:szCs w:val="18"/>
                <w:highlight w:val="none"/>
                <w:vertAlign w:val="baseline"/>
                <w:lang w:val="en-US" w:eastAsia="zh-CN"/>
              </w:rPr>
            </w:pPr>
          </w:p>
        </w:tc>
        <w:tc>
          <w:tcPr>
            <w:tcW w:w="1052" w:type="dxa"/>
            <w:vAlign w:val="center"/>
          </w:tcPr>
          <w:p w14:paraId="59A24888">
            <w:pPr>
              <w:pStyle w:val="2"/>
              <w:jc w:val="center"/>
              <w:rPr>
                <w:rFonts w:hint="eastAsia"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绝缘纸</w:t>
            </w:r>
          </w:p>
        </w:tc>
        <w:tc>
          <w:tcPr>
            <w:tcW w:w="674" w:type="dxa"/>
            <w:vAlign w:val="center"/>
          </w:tcPr>
          <w:p w14:paraId="64DA8C36">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2A8207EB">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2F45C35F">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19FC75E1">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30C7F3FB">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6F493A4C">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19A9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4DDCAB71">
            <w:pPr>
              <w:pStyle w:val="2"/>
              <w:jc w:val="center"/>
              <w:rPr>
                <w:rFonts w:hint="eastAsia" w:cs="Times New Roman"/>
                <w:b w:val="0"/>
                <w:bCs w:val="0"/>
                <w:sz w:val="18"/>
                <w:szCs w:val="18"/>
                <w:highlight w:val="none"/>
                <w:vertAlign w:val="baseline"/>
                <w:lang w:val="en-US" w:eastAsia="zh-CN"/>
              </w:rPr>
            </w:pPr>
          </w:p>
        </w:tc>
        <w:tc>
          <w:tcPr>
            <w:tcW w:w="1052" w:type="dxa"/>
            <w:vAlign w:val="center"/>
          </w:tcPr>
          <w:p w14:paraId="4752D1E0">
            <w:pPr>
              <w:pStyle w:val="2"/>
              <w:jc w:val="center"/>
              <w:rPr>
                <w:rFonts w:hint="eastAsia"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绝缘纸板</w:t>
            </w:r>
          </w:p>
        </w:tc>
        <w:tc>
          <w:tcPr>
            <w:tcW w:w="674" w:type="dxa"/>
            <w:vAlign w:val="center"/>
          </w:tcPr>
          <w:p w14:paraId="2F56F0C4">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271033F8">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4757288C">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274E4171">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1716540D">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22EE5B5D">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7E14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2BE0D918">
            <w:pPr>
              <w:pStyle w:val="2"/>
              <w:jc w:val="center"/>
              <w:rPr>
                <w:rFonts w:hint="eastAsia" w:cs="Times New Roman"/>
                <w:b w:val="0"/>
                <w:bCs w:val="0"/>
                <w:sz w:val="18"/>
                <w:szCs w:val="18"/>
                <w:highlight w:val="none"/>
                <w:vertAlign w:val="baseline"/>
                <w:lang w:val="en-US" w:eastAsia="zh-CN"/>
              </w:rPr>
            </w:pPr>
          </w:p>
        </w:tc>
        <w:tc>
          <w:tcPr>
            <w:tcW w:w="1052" w:type="dxa"/>
            <w:vAlign w:val="center"/>
          </w:tcPr>
          <w:p w14:paraId="1C802B96">
            <w:pPr>
              <w:pStyle w:val="2"/>
              <w:jc w:val="center"/>
              <w:rPr>
                <w:rFonts w:hint="eastAsia"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层压木</w:t>
            </w:r>
          </w:p>
        </w:tc>
        <w:tc>
          <w:tcPr>
            <w:tcW w:w="674" w:type="dxa"/>
            <w:vAlign w:val="center"/>
          </w:tcPr>
          <w:p w14:paraId="05EC85D1">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6DC0BDE2">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7E07C6AA">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11FDA88E">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52200689">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42FAE172">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148C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0A2C41A3">
            <w:pPr>
              <w:pStyle w:val="2"/>
              <w:jc w:val="center"/>
              <w:rPr>
                <w:rFonts w:hint="eastAsia" w:cs="Times New Roman"/>
                <w:b w:val="0"/>
                <w:bCs w:val="0"/>
                <w:sz w:val="18"/>
                <w:szCs w:val="18"/>
                <w:highlight w:val="none"/>
                <w:vertAlign w:val="baseline"/>
                <w:lang w:val="en-US" w:eastAsia="zh-CN"/>
              </w:rPr>
            </w:pPr>
          </w:p>
        </w:tc>
        <w:tc>
          <w:tcPr>
            <w:tcW w:w="1052" w:type="dxa"/>
            <w:vAlign w:val="center"/>
          </w:tcPr>
          <w:p w14:paraId="04E7807C">
            <w:pPr>
              <w:pStyle w:val="2"/>
              <w:jc w:val="center"/>
              <w:rPr>
                <w:rFonts w:hint="eastAsia"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玻璃纤维</w:t>
            </w:r>
          </w:p>
        </w:tc>
        <w:tc>
          <w:tcPr>
            <w:tcW w:w="674" w:type="dxa"/>
            <w:vAlign w:val="center"/>
          </w:tcPr>
          <w:p w14:paraId="2B6B25BC">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22A3D064">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23AA0195">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5C214D97">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4394D099">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288107B0">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0746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vMerge w:val="restart"/>
            <w:vAlign w:val="center"/>
          </w:tcPr>
          <w:p w14:paraId="38DFA22F">
            <w:pPr>
              <w:pStyle w:val="2"/>
              <w:jc w:val="center"/>
              <w:rPr>
                <w:rFonts w:hint="eastAsia"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钢材</w:t>
            </w:r>
          </w:p>
        </w:tc>
        <w:tc>
          <w:tcPr>
            <w:tcW w:w="1052" w:type="dxa"/>
            <w:vAlign w:val="center"/>
          </w:tcPr>
          <w:p w14:paraId="3DDF3110">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碳钢</w:t>
            </w:r>
          </w:p>
        </w:tc>
        <w:tc>
          <w:tcPr>
            <w:tcW w:w="674" w:type="dxa"/>
            <w:vAlign w:val="center"/>
          </w:tcPr>
          <w:p w14:paraId="29473022">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57BEA7B1">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3040340B">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24670912">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6EABAFA3">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07F5C590">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0441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32A8CBCE">
            <w:pPr>
              <w:pStyle w:val="2"/>
              <w:jc w:val="center"/>
              <w:rPr>
                <w:rFonts w:hint="eastAsia" w:cs="Times New Roman"/>
                <w:b w:val="0"/>
                <w:bCs w:val="0"/>
                <w:sz w:val="18"/>
                <w:szCs w:val="18"/>
                <w:highlight w:val="none"/>
                <w:vertAlign w:val="baseline"/>
                <w:lang w:val="en-US" w:eastAsia="zh-CN"/>
              </w:rPr>
            </w:pPr>
          </w:p>
        </w:tc>
        <w:tc>
          <w:tcPr>
            <w:tcW w:w="1052" w:type="dxa"/>
            <w:vAlign w:val="center"/>
          </w:tcPr>
          <w:p w14:paraId="47D2D18E">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不锈钢</w:t>
            </w:r>
          </w:p>
        </w:tc>
        <w:tc>
          <w:tcPr>
            <w:tcW w:w="674" w:type="dxa"/>
            <w:vAlign w:val="center"/>
          </w:tcPr>
          <w:p w14:paraId="0E783772">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41DE26D1">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13F9F410">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618B6859">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18F492E5">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466D932B">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7D6E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14:paraId="59363D04">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其他原材料</w:t>
            </w:r>
          </w:p>
        </w:tc>
        <w:tc>
          <w:tcPr>
            <w:tcW w:w="674" w:type="dxa"/>
            <w:vAlign w:val="center"/>
          </w:tcPr>
          <w:p w14:paraId="05A4696A">
            <w:pPr>
              <w:pStyle w:val="2"/>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6CE9DD56">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0C04E92E">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7735BC71">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1DC3BA07">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40D0EBD3">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6C5D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8"/>
            <w:vAlign w:val="center"/>
          </w:tcPr>
          <w:p w14:paraId="75BF310B">
            <w:pPr>
              <w:pStyle w:val="2"/>
              <w:jc w:val="left"/>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bCs/>
                <w:sz w:val="18"/>
                <w:szCs w:val="18"/>
                <w:highlight w:val="none"/>
                <w:vertAlign w:val="baseline"/>
                <w:lang w:val="en-US" w:eastAsia="zh-CN"/>
              </w:rPr>
              <w:t>3 能源消耗</w:t>
            </w:r>
          </w:p>
        </w:tc>
      </w:tr>
      <w:tr w14:paraId="5443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shd w:val="clear" w:color="auto" w:fill="auto"/>
            <w:vAlign w:val="center"/>
          </w:tcPr>
          <w:p w14:paraId="25DC2924">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能源类型</w:t>
            </w:r>
          </w:p>
        </w:tc>
        <w:tc>
          <w:tcPr>
            <w:tcW w:w="674" w:type="dxa"/>
            <w:shd w:val="clear" w:color="auto" w:fill="auto"/>
            <w:vAlign w:val="center"/>
          </w:tcPr>
          <w:p w14:paraId="77481766">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单位</w:t>
            </w:r>
          </w:p>
        </w:tc>
        <w:tc>
          <w:tcPr>
            <w:tcW w:w="618" w:type="dxa"/>
            <w:shd w:val="clear" w:color="auto" w:fill="auto"/>
            <w:vAlign w:val="center"/>
          </w:tcPr>
          <w:p w14:paraId="0B63770E">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数量</w:t>
            </w:r>
          </w:p>
        </w:tc>
        <w:tc>
          <w:tcPr>
            <w:tcW w:w="997" w:type="dxa"/>
            <w:shd w:val="clear" w:color="auto" w:fill="auto"/>
            <w:vAlign w:val="center"/>
          </w:tcPr>
          <w:p w14:paraId="241478CA">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数据来源</w:t>
            </w:r>
          </w:p>
        </w:tc>
        <w:tc>
          <w:tcPr>
            <w:tcW w:w="1025" w:type="dxa"/>
            <w:shd w:val="clear" w:color="auto" w:fill="auto"/>
            <w:vAlign w:val="center"/>
          </w:tcPr>
          <w:p w14:paraId="49E7E509">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运输方式</w:t>
            </w:r>
          </w:p>
        </w:tc>
        <w:tc>
          <w:tcPr>
            <w:tcW w:w="1080" w:type="dxa"/>
            <w:shd w:val="clear" w:color="auto" w:fill="auto"/>
            <w:vAlign w:val="center"/>
          </w:tcPr>
          <w:p w14:paraId="7AECFEC1">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运输距离</w:t>
            </w:r>
          </w:p>
        </w:tc>
        <w:tc>
          <w:tcPr>
            <w:tcW w:w="2284" w:type="dxa"/>
            <w:shd w:val="clear" w:color="auto" w:fill="auto"/>
            <w:vAlign w:val="center"/>
          </w:tcPr>
          <w:p w14:paraId="48CF6E77">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备注</w:t>
            </w:r>
          </w:p>
        </w:tc>
      </w:tr>
      <w:tr w14:paraId="3B19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shd w:val="clear" w:color="auto" w:fill="auto"/>
            <w:vAlign w:val="center"/>
          </w:tcPr>
          <w:p w14:paraId="21039989">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厂内自发电力</w:t>
            </w:r>
          </w:p>
        </w:tc>
        <w:tc>
          <w:tcPr>
            <w:tcW w:w="674" w:type="dxa"/>
            <w:shd w:val="clear" w:color="auto" w:fill="auto"/>
            <w:vAlign w:val="center"/>
          </w:tcPr>
          <w:p w14:paraId="0CAEF6B1">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kWh</w:t>
            </w:r>
          </w:p>
        </w:tc>
        <w:tc>
          <w:tcPr>
            <w:tcW w:w="618" w:type="dxa"/>
            <w:shd w:val="clear" w:color="auto" w:fill="auto"/>
            <w:vAlign w:val="center"/>
          </w:tcPr>
          <w:p w14:paraId="6D807554">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997" w:type="dxa"/>
            <w:shd w:val="clear" w:color="auto" w:fill="auto"/>
            <w:vAlign w:val="center"/>
          </w:tcPr>
          <w:p w14:paraId="296615A5">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1025" w:type="dxa"/>
            <w:shd w:val="clear" w:color="auto" w:fill="auto"/>
            <w:vAlign w:val="center"/>
          </w:tcPr>
          <w:p w14:paraId="43F1F666">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1080" w:type="dxa"/>
            <w:shd w:val="clear" w:color="auto" w:fill="auto"/>
            <w:vAlign w:val="center"/>
          </w:tcPr>
          <w:p w14:paraId="479BF292">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2284" w:type="dxa"/>
            <w:shd w:val="clear" w:color="auto" w:fill="auto"/>
            <w:vAlign w:val="center"/>
          </w:tcPr>
          <w:p w14:paraId="1421BD6D">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发电方式</w:t>
            </w:r>
          </w:p>
        </w:tc>
      </w:tr>
      <w:tr w14:paraId="0BB2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shd w:val="clear" w:color="auto" w:fill="auto"/>
            <w:vAlign w:val="center"/>
          </w:tcPr>
          <w:p w14:paraId="48428329">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平均电力消费组合</w:t>
            </w:r>
          </w:p>
        </w:tc>
        <w:tc>
          <w:tcPr>
            <w:tcW w:w="674" w:type="dxa"/>
            <w:shd w:val="clear" w:color="auto" w:fill="auto"/>
            <w:vAlign w:val="center"/>
          </w:tcPr>
          <w:p w14:paraId="4606B0E1">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kWh</w:t>
            </w:r>
          </w:p>
        </w:tc>
        <w:tc>
          <w:tcPr>
            <w:tcW w:w="618" w:type="dxa"/>
            <w:shd w:val="clear" w:color="auto" w:fill="auto"/>
            <w:vAlign w:val="center"/>
          </w:tcPr>
          <w:p w14:paraId="01C0BD7B">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997" w:type="dxa"/>
            <w:shd w:val="clear" w:color="auto" w:fill="auto"/>
            <w:vAlign w:val="center"/>
          </w:tcPr>
          <w:p w14:paraId="1665E405">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1025" w:type="dxa"/>
            <w:shd w:val="clear" w:color="auto" w:fill="auto"/>
            <w:vAlign w:val="center"/>
          </w:tcPr>
          <w:p w14:paraId="0230D99E">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1080" w:type="dxa"/>
            <w:shd w:val="clear" w:color="auto" w:fill="auto"/>
            <w:vAlign w:val="center"/>
          </w:tcPr>
          <w:p w14:paraId="2648FE14">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2284" w:type="dxa"/>
            <w:shd w:val="clear" w:color="auto" w:fill="auto"/>
            <w:vAlign w:val="center"/>
          </w:tcPr>
          <w:p w14:paraId="16AB10AE">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发电方式</w:t>
            </w:r>
          </w:p>
        </w:tc>
      </w:tr>
      <w:tr w14:paraId="2634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shd w:val="clear" w:color="auto" w:fill="auto"/>
            <w:vAlign w:val="center"/>
          </w:tcPr>
          <w:p w14:paraId="2D0C68EE">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sz w:val="18"/>
                <w:szCs w:val="18"/>
                <w:highlight w:val="none"/>
              </w:rPr>
              <w:t>特定供应商直供电力</w:t>
            </w:r>
          </w:p>
        </w:tc>
        <w:tc>
          <w:tcPr>
            <w:tcW w:w="674" w:type="dxa"/>
            <w:shd w:val="clear" w:color="auto" w:fill="auto"/>
            <w:vAlign w:val="center"/>
          </w:tcPr>
          <w:p w14:paraId="2E2CF773">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kWh</w:t>
            </w:r>
          </w:p>
        </w:tc>
        <w:tc>
          <w:tcPr>
            <w:tcW w:w="618" w:type="dxa"/>
            <w:shd w:val="clear" w:color="auto" w:fill="auto"/>
            <w:vAlign w:val="center"/>
          </w:tcPr>
          <w:p w14:paraId="21AB99AF">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997" w:type="dxa"/>
            <w:shd w:val="clear" w:color="auto" w:fill="auto"/>
            <w:vAlign w:val="center"/>
          </w:tcPr>
          <w:p w14:paraId="1E8F99EA">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1025" w:type="dxa"/>
            <w:shd w:val="clear" w:color="auto" w:fill="auto"/>
            <w:vAlign w:val="center"/>
          </w:tcPr>
          <w:p w14:paraId="1C317B8B">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1080" w:type="dxa"/>
            <w:shd w:val="clear" w:color="auto" w:fill="auto"/>
            <w:vAlign w:val="center"/>
          </w:tcPr>
          <w:p w14:paraId="6AE4AE34">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2284" w:type="dxa"/>
            <w:shd w:val="clear" w:color="auto" w:fill="auto"/>
            <w:vAlign w:val="center"/>
          </w:tcPr>
          <w:p w14:paraId="44D7B73C">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发电方式</w:t>
            </w:r>
          </w:p>
        </w:tc>
      </w:tr>
      <w:tr w14:paraId="6E2A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shd w:val="clear" w:color="auto" w:fill="auto"/>
            <w:vAlign w:val="center"/>
          </w:tcPr>
          <w:p w14:paraId="64E9B162">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剩余电力消费组合</w:t>
            </w:r>
          </w:p>
        </w:tc>
        <w:tc>
          <w:tcPr>
            <w:tcW w:w="674" w:type="dxa"/>
            <w:shd w:val="clear" w:color="auto" w:fill="auto"/>
            <w:vAlign w:val="center"/>
          </w:tcPr>
          <w:p w14:paraId="5AE5F7BE">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kWh</w:t>
            </w:r>
          </w:p>
        </w:tc>
        <w:tc>
          <w:tcPr>
            <w:tcW w:w="618" w:type="dxa"/>
            <w:shd w:val="clear" w:color="auto" w:fill="auto"/>
            <w:vAlign w:val="center"/>
          </w:tcPr>
          <w:p w14:paraId="63DCA4FC">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997" w:type="dxa"/>
            <w:shd w:val="clear" w:color="auto" w:fill="auto"/>
            <w:vAlign w:val="center"/>
          </w:tcPr>
          <w:p w14:paraId="1B7D99AC">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1025" w:type="dxa"/>
            <w:shd w:val="clear" w:color="auto" w:fill="auto"/>
            <w:vAlign w:val="center"/>
          </w:tcPr>
          <w:p w14:paraId="0FF642C1">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1080" w:type="dxa"/>
            <w:shd w:val="clear" w:color="auto" w:fill="auto"/>
            <w:vAlign w:val="center"/>
          </w:tcPr>
          <w:p w14:paraId="65C4C916">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2284" w:type="dxa"/>
            <w:shd w:val="clear" w:color="auto" w:fill="auto"/>
            <w:vAlign w:val="center"/>
          </w:tcPr>
          <w:p w14:paraId="1CB22883">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发电方式及占比</w:t>
            </w:r>
          </w:p>
        </w:tc>
      </w:tr>
      <w:tr w14:paraId="2617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shd w:val="clear" w:color="auto" w:fill="auto"/>
            <w:vAlign w:val="center"/>
          </w:tcPr>
          <w:p w14:paraId="03940CB9">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天然气</w:t>
            </w:r>
          </w:p>
        </w:tc>
        <w:tc>
          <w:tcPr>
            <w:tcW w:w="674" w:type="dxa"/>
            <w:shd w:val="clear" w:color="auto" w:fill="auto"/>
            <w:vAlign w:val="center"/>
          </w:tcPr>
          <w:p w14:paraId="761DC005">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m³</w:t>
            </w:r>
          </w:p>
        </w:tc>
        <w:tc>
          <w:tcPr>
            <w:tcW w:w="618" w:type="dxa"/>
            <w:shd w:val="clear" w:color="auto" w:fill="auto"/>
            <w:vAlign w:val="center"/>
          </w:tcPr>
          <w:p w14:paraId="52A6E438">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997" w:type="dxa"/>
            <w:shd w:val="clear" w:color="auto" w:fill="auto"/>
            <w:vAlign w:val="center"/>
          </w:tcPr>
          <w:p w14:paraId="0F2C5984">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1025" w:type="dxa"/>
            <w:shd w:val="clear" w:color="auto" w:fill="auto"/>
            <w:vAlign w:val="center"/>
          </w:tcPr>
          <w:p w14:paraId="67652E3F">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1080" w:type="dxa"/>
            <w:shd w:val="clear" w:color="auto" w:fill="auto"/>
            <w:vAlign w:val="center"/>
          </w:tcPr>
          <w:p w14:paraId="33377C59">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2284" w:type="dxa"/>
            <w:shd w:val="clear" w:color="auto" w:fill="auto"/>
            <w:vAlign w:val="center"/>
          </w:tcPr>
          <w:p w14:paraId="1B737567">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热值</w:t>
            </w:r>
          </w:p>
        </w:tc>
      </w:tr>
      <w:tr w14:paraId="57F2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shd w:val="clear" w:color="auto" w:fill="auto"/>
            <w:vAlign w:val="center"/>
          </w:tcPr>
          <w:p w14:paraId="4911BD8F">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其他能源</w:t>
            </w:r>
          </w:p>
        </w:tc>
        <w:tc>
          <w:tcPr>
            <w:tcW w:w="674" w:type="dxa"/>
            <w:shd w:val="clear" w:color="auto" w:fill="auto"/>
            <w:vAlign w:val="center"/>
          </w:tcPr>
          <w:p w14:paraId="08085327">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618" w:type="dxa"/>
            <w:shd w:val="clear" w:color="auto" w:fill="auto"/>
            <w:vAlign w:val="center"/>
          </w:tcPr>
          <w:p w14:paraId="6E1C0931">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997" w:type="dxa"/>
            <w:shd w:val="clear" w:color="auto" w:fill="auto"/>
            <w:vAlign w:val="center"/>
          </w:tcPr>
          <w:p w14:paraId="03D59A7A">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1025" w:type="dxa"/>
            <w:shd w:val="clear" w:color="auto" w:fill="auto"/>
            <w:vAlign w:val="center"/>
          </w:tcPr>
          <w:p w14:paraId="5E194D8D">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1080" w:type="dxa"/>
            <w:shd w:val="clear" w:color="auto" w:fill="auto"/>
            <w:vAlign w:val="center"/>
          </w:tcPr>
          <w:p w14:paraId="5850051F">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2284" w:type="dxa"/>
            <w:shd w:val="clear" w:color="auto" w:fill="auto"/>
            <w:vAlign w:val="center"/>
          </w:tcPr>
          <w:p w14:paraId="383EB72F">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r>
      <w:tr w14:paraId="5768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8"/>
            <w:vAlign w:val="center"/>
          </w:tcPr>
          <w:p w14:paraId="7C4EB7D3">
            <w:pPr>
              <w:pStyle w:val="2"/>
              <w:jc w:val="left"/>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bCs/>
                <w:sz w:val="18"/>
                <w:szCs w:val="18"/>
                <w:highlight w:val="none"/>
                <w:vertAlign w:val="baseline"/>
                <w:lang w:val="en-US" w:eastAsia="zh-CN"/>
              </w:rPr>
              <w:t>4 温室气体排放</w:t>
            </w:r>
          </w:p>
        </w:tc>
      </w:tr>
      <w:tr w14:paraId="4216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14:paraId="1A93441C">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排放种类</w:t>
            </w:r>
          </w:p>
        </w:tc>
        <w:tc>
          <w:tcPr>
            <w:tcW w:w="674" w:type="dxa"/>
            <w:vAlign w:val="center"/>
          </w:tcPr>
          <w:p w14:paraId="3386AA94">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单位</w:t>
            </w:r>
          </w:p>
        </w:tc>
        <w:tc>
          <w:tcPr>
            <w:tcW w:w="618" w:type="dxa"/>
            <w:vAlign w:val="center"/>
          </w:tcPr>
          <w:p w14:paraId="59022D40">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数量</w:t>
            </w:r>
          </w:p>
        </w:tc>
        <w:tc>
          <w:tcPr>
            <w:tcW w:w="997" w:type="dxa"/>
            <w:vAlign w:val="center"/>
          </w:tcPr>
          <w:p w14:paraId="7B0ABF2B">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数据来源</w:t>
            </w:r>
          </w:p>
        </w:tc>
        <w:tc>
          <w:tcPr>
            <w:tcW w:w="4389" w:type="dxa"/>
            <w:gridSpan w:val="3"/>
            <w:vAlign w:val="center"/>
          </w:tcPr>
          <w:p w14:paraId="48A01C0A">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备注</w:t>
            </w:r>
          </w:p>
        </w:tc>
      </w:tr>
      <w:tr w14:paraId="08A5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14:paraId="5B703A74">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二氧化碳</w:t>
            </w:r>
          </w:p>
        </w:tc>
        <w:tc>
          <w:tcPr>
            <w:tcW w:w="674" w:type="dxa"/>
            <w:shd w:val="clear" w:color="auto" w:fill="auto"/>
            <w:vAlign w:val="center"/>
          </w:tcPr>
          <w:p w14:paraId="661EF22D">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kg</w:t>
            </w:r>
          </w:p>
        </w:tc>
        <w:tc>
          <w:tcPr>
            <w:tcW w:w="618" w:type="dxa"/>
            <w:vAlign w:val="center"/>
          </w:tcPr>
          <w:p w14:paraId="71B49294">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4CC43C54">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40FBB61D">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60F08237">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30D62D45">
            <w:pPr>
              <w:pStyle w:val="2"/>
              <w:jc w:val="center"/>
              <w:rPr>
                <w:rFonts w:hint="default" w:ascii="Times New Roman" w:hAnsi="Times New Roman" w:cs="Times New Roman"/>
                <w:b w:val="0"/>
                <w:bCs w:val="0"/>
                <w:sz w:val="18"/>
                <w:szCs w:val="18"/>
                <w:highlight w:val="none"/>
                <w:vertAlign w:val="baseline"/>
                <w:lang w:val="en-US" w:eastAsia="zh-CN"/>
              </w:rPr>
            </w:pPr>
          </w:p>
        </w:tc>
      </w:tr>
      <w:tr w14:paraId="04D8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14:paraId="38F1B328">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甲烷</w:t>
            </w:r>
          </w:p>
        </w:tc>
        <w:tc>
          <w:tcPr>
            <w:tcW w:w="674" w:type="dxa"/>
            <w:shd w:val="clear" w:color="auto" w:fill="auto"/>
            <w:vAlign w:val="center"/>
          </w:tcPr>
          <w:p w14:paraId="7D597547">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kg</w:t>
            </w:r>
          </w:p>
        </w:tc>
        <w:tc>
          <w:tcPr>
            <w:tcW w:w="618" w:type="dxa"/>
            <w:vAlign w:val="center"/>
          </w:tcPr>
          <w:p w14:paraId="4EF9B9E3">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5097BCE6">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6A14C502">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48D038EE">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6C9F2C18">
            <w:pPr>
              <w:pStyle w:val="2"/>
              <w:jc w:val="center"/>
              <w:rPr>
                <w:rFonts w:hint="default" w:ascii="Times New Roman" w:hAnsi="Times New Roman" w:cs="Times New Roman"/>
                <w:b w:val="0"/>
                <w:bCs w:val="0"/>
                <w:sz w:val="18"/>
                <w:szCs w:val="18"/>
                <w:highlight w:val="none"/>
                <w:vertAlign w:val="baseline"/>
                <w:lang w:val="en-US" w:eastAsia="zh-CN"/>
              </w:rPr>
            </w:pPr>
          </w:p>
        </w:tc>
      </w:tr>
      <w:tr w14:paraId="69BC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14:paraId="0673393A">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氧化亚氮</w:t>
            </w:r>
          </w:p>
        </w:tc>
        <w:tc>
          <w:tcPr>
            <w:tcW w:w="674" w:type="dxa"/>
            <w:shd w:val="clear" w:color="auto" w:fill="auto"/>
            <w:vAlign w:val="center"/>
          </w:tcPr>
          <w:p w14:paraId="19094BAA">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kg</w:t>
            </w:r>
          </w:p>
        </w:tc>
        <w:tc>
          <w:tcPr>
            <w:tcW w:w="618" w:type="dxa"/>
            <w:vAlign w:val="center"/>
          </w:tcPr>
          <w:p w14:paraId="0C74DC20">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749315AC">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3535D325">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7F4C9CEB">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1AEBF791">
            <w:pPr>
              <w:pStyle w:val="2"/>
              <w:jc w:val="center"/>
              <w:rPr>
                <w:rFonts w:hint="default" w:ascii="Times New Roman" w:hAnsi="Times New Roman" w:cs="Times New Roman"/>
                <w:b w:val="0"/>
                <w:bCs w:val="0"/>
                <w:sz w:val="18"/>
                <w:szCs w:val="18"/>
                <w:highlight w:val="none"/>
                <w:vertAlign w:val="baseline"/>
                <w:lang w:val="en-US" w:eastAsia="zh-CN"/>
              </w:rPr>
            </w:pPr>
          </w:p>
        </w:tc>
      </w:tr>
      <w:tr w14:paraId="5647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14:paraId="005910F3">
            <w:pPr>
              <w:pStyle w:val="2"/>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六氟化硫</w:t>
            </w:r>
          </w:p>
        </w:tc>
        <w:tc>
          <w:tcPr>
            <w:tcW w:w="674" w:type="dxa"/>
            <w:vAlign w:val="center"/>
          </w:tcPr>
          <w:p w14:paraId="47F11E59">
            <w:pPr>
              <w:pStyle w:val="2"/>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kg</w:t>
            </w:r>
          </w:p>
        </w:tc>
        <w:tc>
          <w:tcPr>
            <w:tcW w:w="618" w:type="dxa"/>
            <w:vAlign w:val="center"/>
          </w:tcPr>
          <w:p w14:paraId="2E89933D">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6D6A6954">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09C12774">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17506200">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2EE4C6FA">
            <w:pPr>
              <w:pStyle w:val="2"/>
              <w:jc w:val="center"/>
              <w:rPr>
                <w:rFonts w:hint="default" w:ascii="Times New Roman" w:hAnsi="Times New Roman" w:cs="Times New Roman"/>
                <w:b w:val="0"/>
                <w:bCs w:val="0"/>
                <w:sz w:val="18"/>
                <w:szCs w:val="18"/>
                <w:highlight w:val="none"/>
                <w:vertAlign w:val="baseline"/>
                <w:lang w:val="en-US" w:eastAsia="zh-CN"/>
              </w:rPr>
            </w:pPr>
          </w:p>
        </w:tc>
      </w:tr>
      <w:tr w14:paraId="37E7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14:paraId="0F27990E">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其他温室气体</w:t>
            </w:r>
          </w:p>
        </w:tc>
        <w:tc>
          <w:tcPr>
            <w:tcW w:w="674" w:type="dxa"/>
            <w:vAlign w:val="center"/>
          </w:tcPr>
          <w:p w14:paraId="019EC4A3">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kg</w:t>
            </w:r>
          </w:p>
        </w:tc>
        <w:tc>
          <w:tcPr>
            <w:tcW w:w="618" w:type="dxa"/>
            <w:vAlign w:val="center"/>
          </w:tcPr>
          <w:p w14:paraId="728F6672">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7C7772AA">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50C46D7E">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5A65223C">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7F213054">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具体温室气体种类</w:t>
            </w:r>
          </w:p>
        </w:tc>
      </w:tr>
      <w:tr w14:paraId="2BBC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8"/>
            <w:vAlign w:val="center"/>
          </w:tcPr>
          <w:p w14:paraId="4885CD38">
            <w:pPr>
              <w:pStyle w:val="2"/>
              <w:jc w:val="left"/>
              <w:rPr>
                <w:rFonts w:hint="default" w:ascii="Times New Roman" w:hAnsi="Times New Roman" w:cs="Times New Roman"/>
                <w:b/>
                <w:bCs/>
                <w:sz w:val="18"/>
                <w:szCs w:val="18"/>
                <w:highlight w:val="none"/>
                <w:vertAlign w:val="baseline"/>
                <w:lang w:val="en-US" w:eastAsia="zh-CN"/>
              </w:rPr>
            </w:pPr>
            <w:r>
              <w:rPr>
                <w:rFonts w:hint="default" w:ascii="Times New Roman" w:hAnsi="Times New Roman" w:cs="Times New Roman"/>
                <w:b/>
                <w:bCs/>
                <w:sz w:val="18"/>
                <w:szCs w:val="18"/>
                <w:highlight w:val="none"/>
                <w:vertAlign w:val="baseline"/>
                <w:lang w:val="en-US" w:eastAsia="zh-CN"/>
              </w:rPr>
              <w:t>5 固体废弃物</w:t>
            </w:r>
          </w:p>
        </w:tc>
      </w:tr>
      <w:tr w14:paraId="08F3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14:paraId="5DE06313">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排放种类</w:t>
            </w:r>
          </w:p>
        </w:tc>
        <w:tc>
          <w:tcPr>
            <w:tcW w:w="674" w:type="dxa"/>
            <w:vAlign w:val="center"/>
          </w:tcPr>
          <w:p w14:paraId="484EB0B8">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单位</w:t>
            </w:r>
          </w:p>
        </w:tc>
        <w:tc>
          <w:tcPr>
            <w:tcW w:w="618" w:type="dxa"/>
            <w:vAlign w:val="center"/>
          </w:tcPr>
          <w:p w14:paraId="51E927F9">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数量</w:t>
            </w:r>
          </w:p>
        </w:tc>
        <w:tc>
          <w:tcPr>
            <w:tcW w:w="997" w:type="dxa"/>
            <w:vAlign w:val="center"/>
          </w:tcPr>
          <w:p w14:paraId="11C2CBE8">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数据来源</w:t>
            </w:r>
          </w:p>
        </w:tc>
        <w:tc>
          <w:tcPr>
            <w:tcW w:w="1025" w:type="dxa"/>
            <w:vAlign w:val="center"/>
          </w:tcPr>
          <w:p w14:paraId="2B77F1E4">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运输方式</w:t>
            </w:r>
          </w:p>
        </w:tc>
        <w:tc>
          <w:tcPr>
            <w:tcW w:w="1080" w:type="dxa"/>
            <w:vAlign w:val="center"/>
          </w:tcPr>
          <w:p w14:paraId="185C0D6C">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运输距离</w:t>
            </w:r>
          </w:p>
        </w:tc>
        <w:tc>
          <w:tcPr>
            <w:tcW w:w="2284" w:type="dxa"/>
            <w:vAlign w:val="center"/>
          </w:tcPr>
          <w:p w14:paraId="58D97BA2">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备注</w:t>
            </w:r>
          </w:p>
        </w:tc>
      </w:tr>
      <w:tr w14:paraId="30F7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14:paraId="1A79F5BC">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一般固废</w:t>
            </w:r>
          </w:p>
        </w:tc>
        <w:tc>
          <w:tcPr>
            <w:tcW w:w="674" w:type="dxa"/>
            <w:shd w:val="clear" w:color="auto" w:fill="auto"/>
            <w:vAlign w:val="center"/>
          </w:tcPr>
          <w:p w14:paraId="58E9C7C2">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kg</w:t>
            </w:r>
          </w:p>
        </w:tc>
        <w:tc>
          <w:tcPr>
            <w:tcW w:w="618" w:type="dxa"/>
            <w:vAlign w:val="center"/>
          </w:tcPr>
          <w:p w14:paraId="62B11A73">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1D26CB13">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026FC2E8">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3C69BA5D">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601F8749">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说明固废类型和处理方式</w:t>
            </w:r>
          </w:p>
        </w:tc>
      </w:tr>
      <w:tr w14:paraId="5EC5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14:paraId="756638C9">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危险固废</w:t>
            </w:r>
          </w:p>
        </w:tc>
        <w:tc>
          <w:tcPr>
            <w:tcW w:w="674" w:type="dxa"/>
            <w:shd w:val="clear" w:color="auto" w:fill="auto"/>
            <w:vAlign w:val="center"/>
          </w:tcPr>
          <w:p w14:paraId="759DD946">
            <w:pPr>
              <w:pStyle w:val="2"/>
              <w:jc w:val="center"/>
              <w:rPr>
                <w:rFonts w:hint="default" w:ascii="Times New Roman" w:hAnsi="Times New Roman" w:cs="Times New Roman" w:eastAsiaTheme="minorEastAsia"/>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kg</w:t>
            </w:r>
          </w:p>
        </w:tc>
        <w:tc>
          <w:tcPr>
            <w:tcW w:w="618" w:type="dxa"/>
            <w:vAlign w:val="center"/>
          </w:tcPr>
          <w:p w14:paraId="32400ACB">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19B060A2">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79F9A3C9">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086839D9">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47B08965">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说明固废类型和处理方式</w:t>
            </w:r>
          </w:p>
        </w:tc>
      </w:tr>
    </w:tbl>
    <w:p w14:paraId="79305718">
      <w:pPr>
        <w:rPr>
          <w:rFonts w:hint="default" w:ascii="Times New Roman" w:hAnsi="Times New Roman" w:cs="Times New Roman"/>
          <w:sz w:val="21"/>
          <w:szCs w:val="21"/>
          <w:highlight w:val="none"/>
          <w:lang w:val="en-US" w:eastAsia="zh-CN"/>
        </w:rPr>
      </w:pPr>
    </w:p>
    <w:p w14:paraId="60B6C3E2">
      <w:pPr>
        <w:rPr>
          <w:rFonts w:hint="default" w:ascii="Times New Roman" w:hAnsi="Times New Roman" w:cs="Times New Roman"/>
          <w:sz w:val="21"/>
          <w:szCs w:val="21"/>
          <w:highlight w:val="none"/>
          <w:lang w:val="en-US" w:eastAsia="zh-CN"/>
        </w:rPr>
        <w:sectPr>
          <w:footerReference r:id="rId16" w:type="default"/>
          <w:footerReference r:id="rId17" w:type="even"/>
          <w:pgSz w:w="11906" w:h="16838"/>
          <w:pgMar w:top="1417" w:right="1134" w:bottom="1134" w:left="1417" w:header="1417" w:footer="850" w:gutter="0"/>
          <w:pgBorders>
            <w:top w:val="none" w:sz="0" w:space="0"/>
            <w:left w:val="none" w:sz="0" w:space="0"/>
            <w:bottom w:val="none" w:sz="0" w:space="0"/>
            <w:right w:val="none" w:sz="0" w:space="0"/>
          </w:pgBorders>
          <w:pgNumType w:fmt="decimal"/>
          <w:cols w:space="425" w:num="1"/>
          <w:docGrid w:type="lines" w:linePitch="312" w:charSpace="0"/>
        </w:sectPr>
      </w:pPr>
    </w:p>
    <w:bookmarkEnd w:id="434"/>
    <w:bookmarkEnd w:id="435"/>
    <w:bookmarkEnd w:id="436"/>
    <w:bookmarkEnd w:id="437"/>
    <w:bookmarkEnd w:id="438"/>
    <w:bookmarkEnd w:id="439"/>
    <w:bookmarkEnd w:id="440"/>
    <w:bookmarkEnd w:id="441"/>
    <w:bookmarkEnd w:id="442"/>
    <w:bookmarkEnd w:id="443"/>
    <w:bookmarkEnd w:id="444"/>
    <w:bookmarkEnd w:id="445"/>
    <w:bookmarkEnd w:id="446"/>
    <w:p w14:paraId="0A250B15">
      <w:pPr>
        <w:jc w:val="center"/>
        <w:outlineLvl w:val="0"/>
        <w:rPr>
          <w:rFonts w:hint="default" w:ascii="Times New Roman" w:hAnsi="Times New Roman" w:eastAsia="黑体" w:cs="Times New Roman"/>
          <w:sz w:val="21"/>
          <w:szCs w:val="21"/>
          <w:highlight w:val="none"/>
          <w:lang w:val="en-US" w:eastAsia="zh-CN"/>
        </w:rPr>
      </w:pPr>
      <w:bookmarkStart w:id="451" w:name="_Toc5629"/>
      <w:bookmarkStart w:id="452" w:name="_Toc27941"/>
      <w:bookmarkStart w:id="453" w:name="_Toc24148"/>
      <w:bookmarkStart w:id="454" w:name="_Toc6395"/>
      <w:bookmarkStart w:id="455" w:name="_Toc11793"/>
      <w:bookmarkStart w:id="456" w:name="_Toc22875"/>
      <w:bookmarkStart w:id="457" w:name="_Toc13187"/>
      <w:bookmarkStart w:id="458" w:name="_Toc1975"/>
      <w:bookmarkStart w:id="459" w:name="_Toc5459"/>
      <w:bookmarkStart w:id="460" w:name="_Toc3454"/>
      <w:bookmarkStart w:id="461" w:name="_Toc4579"/>
      <w:bookmarkStart w:id="462" w:name="_Toc23720"/>
      <w:bookmarkStart w:id="463" w:name="_Toc26784"/>
      <w:bookmarkStart w:id="464" w:name="_Toc1286"/>
      <w:bookmarkStart w:id="465" w:name="_Toc19505"/>
      <w:r>
        <w:rPr>
          <w:rFonts w:hint="default" w:ascii="Times New Roman" w:hAnsi="Times New Roman" w:eastAsia="黑体" w:cs="Times New Roman"/>
          <w:sz w:val="21"/>
          <w:szCs w:val="21"/>
          <w:highlight w:val="none"/>
          <w:lang w:val="en-US" w:eastAsia="zh-CN"/>
        </w:rPr>
        <w:t>附录</w:t>
      </w:r>
      <w:bookmarkEnd w:id="451"/>
      <w:bookmarkEnd w:id="452"/>
      <w:bookmarkEnd w:id="453"/>
      <w:bookmarkEnd w:id="454"/>
      <w:bookmarkEnd w:id="455"/>
      <w:bookmarkEnd w:id="456"/>
      <w:bookmarkEnd w:id="457"/>
      <w:bookmarkEnd w:id="458"/>
      <w:bookmarkEnd w:id="459"/>
      <w:bookmarkEnd w:id="460"/>
      <w:bookmarkEnd w:id="461"/>
      <w:bookmarkEnd w:id="462"/>
      <w:bookmarkEnd w:id="463"/>
      <w:r>
        <w:rPr>
          <w:rFonts w:hint="eastAsia" w:eastAsia="黑体" w:cs="Times New Roman"/>
          <w:sz w:val="21"/>
          <w:szCs w:val="21"/>
          <w:highlight w:val="none"/>
          <w:lang w:val="en-US" w:eastAsia="zh-CN"/>
        </w:rPr>
        <w:t>C</w:t>
      </w:r>
      <w:bookmarkEnd w:id="464"/>
      <w:r>
        <w:rPr>
          <w:rFonts w:ascii="黑体" w:eastAsia="黑体"/>
        </w:rPr>
        <w:br w:type="textWrapping"/>
      </w:r>
      <w:r>
        <w:rPr>
          <w:rFonts w:hint="default" w:ascii="Times New Roman" w:hAnsi="Times New Roman" w:eastAsia="黑体" w:cs="Times New Roman"/>
          <w:sz w:val="21"/>
          <w:szCs w:val="21"/>
          <w:highlight w:val="none"/>
          <w:lang w:val="en-US" w:eastAsia="zh-CN"/>
        </w:rPr>
        <w:t>（资料性）</w:t>
      </w:r>
      <w:r>
        <w:rPr>
          <w:rFonts w:ascii="黑体" w:eastAsia="黑体"/>
        </w:rPr>
        <w:br w:type="textWrapping"/>
      </w:r>
      <w:r>
        <w:rPr>
          <w:rFonts w:hint="default" w:ascii="Times New Roman" w:hAnsi="Times New Roman" w:eastAsia="黑体" w:cs="Times New Roman"/>
          <w:sz w:val="21"/>
          <w:szCs w:val="21"/>
          <w:highlight w:val="none"/>
          <w:lang w:val="en-US" w:eastAsia="zh-CN"/>
        </w:rPr>
        <w:t>GWP参考值</w:t>
      </w:r>
      <w:bookmarkEnd w:id="465"/>
    </w:p>
    <w:p w14:paraId="712EFA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部分温室气体的GWP值见表</w:t>
      </w:r>
      <w:r>
        <w:rPr>
          <w:rFonts w:hint="eastAsia" w:cs="Times New Roman"/>
          <w:sz w:val="21"/>
          <w:szCs w:val="21"/>
          <w:highlight w:val="none"/>
          <w:lang w:val="en-US" w:eastAsia="zh-CN"/>
        </w:rPr>
        <w:t>C</w:t>
      </w:r>
      <w:r>
        <w:rPr>
          <w:rFonts w:hint="default" w:ascii="Times New Roman" w:hAnsi="Times New Roman" w:cs="Times New Roman"/>
          <w:sz w:val="21"/>
          <w:szCs w:val="21"/>
          <w:highlight w:val="none"/>
          <w:lang w:val="en-US" w:eastAsia="zh-CN"/>
        </w:rPr>
        <w:t>.1。</w:t>
      </w:r>
    </w:p>
    <w:p w14:paraId="08C94CDD">
      <w:pPr>
        <w:jc w:val="center"/>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表</w:t>
      </w:r>
      <w:r>
        <w:rPr>
          <w:rFonts w:hint="eastAsia" w:eastAsia="黑体" w:cs="Times New Roman"/>
          <w:sz w:val="21"/>
          <w:szCs w:val="21"/>
          <w:highlight w:val="none"/>
          <w:lang w:val="en-US" w:eastAsia="zh-CN"/>
        </w:rPr>
        <w:t>C</w:t>
      </w:r>
      <w:r>
        <w:rPr>
          <w:rFonts w:hint="default" w:ascii="Times New Roman" w:hAnsi="Times New Roman" w:eastAsia="黑体" w:cs="Times New Roman"/>
          <w:sz w:val="21"/>
          <w:szCs w:val="21"/>
          <w:highlight w:val="none"/>
          <w:lang w:val="en-US" w:eastAsia="zh-CN"/>
        </w:rPr>
        <w:t>.1 部分温室气体的全球变暖潜势（GWP）</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B37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4BC3D00D">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气体名称</w:t>
            </w:r>
          </w:p>
        </w:tc>
        <w:tc>
          <w:tcPr>
            <w:tcW w:w="2841" w:type="dxa"/>
            <w:vAlign w:val="center"/>
          </w:tcPr>
          <w:p w14:paraId="150B3E90">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化学分子式</w:t>
            </w:r>
          </w:p>
        </w:tc>
        <w:tc>
          <w:tcPr>
            <w:tcW w:w="2841" w:type="dxa"/>
            <w:vAlign w:val="center"/>
          </w:tcPr>
          <w:p w14:paraId="368DFAD6">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GWP100</w:t>
            </w:r>
          </w:p>
        </w:tc>
      </w:tr>
      <w:tr w14:paraId="2BB7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0ECDED6C">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二氧化碳</w:t>
            </w:r>
          </w:p>
        </w:tc>
        <w:tc>
          <w:tcPr>
            <w:tcW w:w="2841" w:type="dxa"/>
            <w:vAlign w:val="center"/>
          </w:tcPr>
          <w:p w14:paraId="61CB4676">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CO</w:t>
            </w:r>
            <w:r>
              <w:rPr>
                <w:rFonts w:hint="default" w:ascii="Times New Roman" w:hAnsi="Times New Roman" w:eastAsia="宋体" w:cs="Times New Roman"/>
                <w:sz w:val="18"/>
                <w:szCs w:val="18"/>
                <w:highlight w:val="none"/>
                <w:vertAlign w:val="subscript"/>
                <w:lang w:val="en-US" w:eastAsia="zh-CN"/>
              </w:rPr>
              <w:t>2</w:t>
            </w:r>
          </w:p>
        </w:tc>
        <w:tc>
          <w:tcPr>
            <w:tcW w:w="2841" w:type="dxa"/>
            <w:vAlign w:val="center"/>
          </w:tcPr>
          <w:p w14:paraId="16E3B232">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w:t>
            </w:r>
          </w:p>
        </w:tc>
      </w:tr>
      <w:tr w14:paraId="59B5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494E9BA9">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甲烷</w:t>
            </w:r>
          </w:p>
        </w:tc>
        <w:tc>
          <w:tcPr>
            <w:tcW w:w="2841" w:type="dxa"/>
            <w:vAlign w:val="center"/>
          </w:tcPr>
          <w:p w14:paraId="4EFA20BC">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CH</w:t>
            </w:r>
            <w:r>
              <w:rPr>
                <w:rFonts w:hint="default" w:ascii="Times New Roman" w:hAnsi="Times New Roman" w:eastAsia="宋体" w:cs="Times New Roman"/>
                <w:sz w:val="18"/>
                <w:szCs w:val="18"/>
                <w:highlight w:val="none"/>
                <w:vertAlign w:val="subscript"/>
              </w:rPr>
              <w:t>4</w:t>
            </w:r>
          </w:p>
        </w:tc>
        <w:tc>
          <w:tcPr>
            <w:tcW w:w="2841" w:type="dxa"/>
            <w:vAlign w:val="center"/>
          </w:tcPr>
          <w:p w14:paraId="0FA5B4DE">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27.9</w:t>
            </w:r>
          </w:p>
        </w:tc>
      </w:tr>
      <w:tr w14:paraId="7A48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35D913D2">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氧化亚氮</w:t>
            </w:r>
          </w:p>
        </w:tc>
        <w:tc>
          <w:tcPr>
            <w:tcW w:w="2841" w:type="dxa"/>
            <w:vAlign w:val="center"/>
          </w:tcPr>
          <w:p w14:paraId="78A49783">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N</w:t>
            </w:r>
            <w:r>
              <w:rPr>
                <w:rFonts w:hint="default" w:ascii="Times New Roman" w:hAnsi="Times New Roman" w:eastAsia="宋体" w:cs="Times New Roman"/>
                <w:sz w:val="18"/>
                <w:szCs w:val="18"/>
                <w:highlight w:val="none"/>
                <w:vertAlign w:val="subscript"/>
              </w:rPr>
              <w:t>2</w:t>
            </w:r>
            <w:r>
              <w:rPr>
                <w:rFonts w:hint="default" w:ascii="Times New Roman" w:hAnsi="Times New Roman" w:eastAsia="宋体" w:cs="Times New Roman"/>
                <w:sz w:val="18"/>
                <w:szCs w:val="18"/>
                <w:highlight w:val="none"/>
              </w:rPr>
              <w:t>O</w:t>
            </w:r>
          </w:p>
        </w:tc>
        <w:tc>
          <w:tcPr>
            <w:tcW w:w="2841" w:type="dxa"/>
            <w:vAlign w:val="center"/>
          </w:tcPr>
          <w:p w14:paraId="3C879CCC">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273</w:t>
            </w:r>
          </w:p>
        </w:tc>
      </w:tr>
      <w:tr w14:paraId="006B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778A0F5C">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三氟化氮</w:t>
            </w:r>
          </w:p>
        </w:tc>
        <w:tc>
          <w:tcPr>
            <w:tcW w:w="2841" w:type="dxa"/>
            <w:vAlign w:val="center"/>
          </w:tcPr>
          <w:p w14:paraId="629EEED4">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NF</w:t>
            </w:r>
            <w:r>
              <w:rPr>
                <w:rFonts w:hint="default" w:ascii="Times New Roman" w:hAnsi="Times New Roman" w:eastAsia="宋体" w:cs="Times New Roman"/>
                <w:sz w:val="18"/>
                <w:szCs w:val="18"/>
                <w:highlight w:val="none"/>
                <w:vertAlign w:val="subscript"/>
              </w:rPr>
              <w:t>3</w:t>
            </w:r>
          </w:p>
        </w:tc>
        <w:tc>
          <w:tcPr>
            <w:tcW w:w="2841" w:type="dxa"/>
            <w:vAlign w:val="center"/>
          </w:tcPr>
          <w:p w14:paraId="2069AA81">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17400</w:t>
            </w:r>
          </w:p>
        </w:tc>
      </w:tr>
      <w:tr w14:paraId="72C0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6D91369F">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六氟化硫</w:t>
            </w:r>
          </w:p>
        </w:tc>
        <w:tc>
          <w:tcPr>
            <w:tcW w:w="2841" w:type="dxa"/>
            <w:vAlign w:val="center"/>
          </w:tcPr>
          <w:p w14:paraId="4B3E2A1D">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SF</w:t>
            </w:r>
            <w:r>
              <w:rPr>
                <w:rFonts w:hint="default" w:ascii="Times New Roman" w:hAnsi="Times New Roman" w:eastAsia="宋体" w:cs="Times New Roman"/>
                <w:sz w:val="18"/>
                <w:szCs w:val="18"/>
                <w:highlight w:val="none"/>
                <w:vertAlign w:val="subscript"/>
              </w:rPr>
              <w:t>6</w:t>
            </w:r>
          </w:p>
        </w:tc>
        <w:tc>
          <w:tcPr>
            <w:tcW w:w="2841" w:type="dxa"/>
            <w:vAlign w:val="center"/>
          </w:tcPr>
          <w:p w14:paraId="6F81D9E2">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24300</w:t>
            </w:r>
          </w:p>
        </w:tc>
      </w:tr>
      <w:tr w14:paraId="2630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5AC5E1E2">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氢氟碳化物（HFCs）</w:t>
            </w:r>
          </w:p>
        </w:tc>
      </w:tr>
      <w:tr w14:paraId="2EA0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1A909585">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HFC-23</w:t>
            </w:r>
          </w:p>
        </w:tc>
        <w:tc>
          <w:tcPr>
            <w:tcW w:w="2841" w:type="dxa"/>
            <w:vAlign w:val="center"/>
          </w:tcPr>
          <w:p w14:paraId="388F2620">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CHF</w:t>
            </w:r>
            <w:r>
              <w:rPr>
                <w:rFonts w:hint="default" w:ascii="Times New Roman" w:hAnsi="Times New Roman" w:eastAsia="宋体" w:cs="Times New Roman"/>
                <w:sz w:val="18"/>
                <w:szCs w:val="18"/>
                <w:highlight w:val="none"/>
                <w:vertAlign w:val="subscript"/>
              </w:rPr>
              <w:t>3</w:t>
            </w:r>
          </w:p>
        </w:tc>
        <w:tc>
          <w:tcPr>
            <w:tcW w:w="2841" w:type="dxa"/>
            <w:vAlign w:val="center"/>
          </w:tcPr>
          <w:p w14:paraId="1F638360">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14600</w:t>
            </w:r>
          </w:p>
        </w:tc>
      </w:tr>
      <w:tr w14:paraId="64CA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79BF5968">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HFC-32</w:t>
            </w:r>
          </w:p>
        </w:tc>
        <w:tc>
          <w:tcPr>
            <w:tcW w:w="2841" w:type="dxa"/>
            <w:vAlign w:val="center"/>
          </w:tcPr>
          <w:p w14:paraId="5AB304F8">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CH</w:t>
            </w:r>
            <w:r>
              <w:rPr>
                <w:rFonts w:hint="default" w:ascii="Times New Roman" w:hAnsi="Times New Roman" w:eastAsia="宋体" w:cs="Times New Roman"/>
                <w:sz w:val="18"/>
                <w:szCs w:val="18"/>
                <w:highlight w:val="none"/>
                <w:vertAlign w:val="subscript"/>
              </w:rPr>
              <w:t>2</w:t>
            </w:r>
            <w:r>
              <w:rPr>
                <w:rFonts w:hint="default" w:ascii="Times New Roman" w:hAnsi="Times New Roman" w:eastAsia="宋体" w:cs="Times New Roman"/>
                <w:sz w:val="18"/>
                <w:szCs w:val="18"/>
                <w:highlight w:val="none"/>
              </w:rPr>
              <w:t>F</w:t>
            </w:r>
            <w:r>
              <w:rPr>
                <w:rFonts w:hint="default" w:ascii="Times New Roman" w:hAnsi="Times New Roman" w:eastAsia="宋体" w:cs="Times New Roman"/>
                <w:sz w:val="18"/>
                <w:szCs w:val="18"/>
                <w:highlight w:val="none"/>
                <w:vertAlign w:val="subscript"/>
              </w:rPr>
              <w:t>2</w:t>
            </w:r>
          </w:p>
        </w:tc>
        <w:tc>
          <w:tcPr>
            <w:tcW w:w="2841" w:type="dxa"/>
            <w:vAlign w:val="center"/>
          </w:tcPr>
          <w:p w14:paraId="290B9824">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771</w:t>
            </w:r>
          </w:p>
        </w:tc>
      </w:tr>
      <w:tr w14:paraId="67EE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3AB9D3AE">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HFC-41</w:t>
            </w:r>
          </w:p>
        </w:tc>
        <w:tc>
          <w:tcPr>
            <w:tcW w:w="2841" w:type="dxa"/>
            <w:vAlign w:val="center"/>
          </w:tcPr>
          <w:p w14:paraId="3063E22A">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cs="Times New Roman"/>
                <w:sz w:val="18"/>
                <w:szCs w:val="18"/>
                <w:highlight w:val="none"/>
              </w:rPr>
              <w:t>CH</w:t>
            </w:r>
            <w:r>
              <w:rPr>
                <w:rFonts w:hint="default" w:ascii="Times New Roman" w:hAnsi="Times New Roman" w:cs="Times New Roman"/>
                <w:sz w:val="18"/>
                <w:szCs w:val="18"/>
                <w:highlight w:val="none"/>
                <w:vertAlign w:val="subscript"/>
              </w:rPr>
              <w:t>3</w:t>
            </w:r>
            <w:r>
              <w:rPr>
                <w:rFonts w:hint="default" w:ascii="Times New Roman" w:hAnsi="Times New Roman" w:cs="Times New Roman"/>
                <w:sz w:val="18"/>
                <w:szCs w:val="18"/>
                <w:highlight w:val="none"/>
              </w:rPr>
              <w:t>F</w:t>
            </w:r>
          </w:p>
        </w:tc>
        <w:tc>
          <w:tcPr>
            <w:tcW w:w="2841" w:type="dxa"/>
            <w:vAlign w:val="center"/>
          </w:tcPr>
          <w:p w14:paraId="7A5FDC6B">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135</w:t>
            </w:r>
          </w:p>
        </w:tc>
      </w:tr>
      <w:tr w14:paraId="20D3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070939F8">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HFC-125</w:t>
            </w:r>
          </w:p>
        </w:tc>
        <w:tc>
          <w:tcPr>
            <w:tcW w:w="2841" w:type="dxa"/>
            <w:vAlign w:val="center"/>
          </w:tcPr>
          <w:p w14:paraId="5D995B6C">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CHF</w:t>
            </w:r>
            <w:r>
              <w:rPr>
                <w:rFonts w:hint="default" w:ascii="Times New Roman" w:hAnsi="Times New Roman" w:eastAsia="宋体" w:cs="Times New Roman"/>
                <w:sz w:val="18"/>
                <w:szCs w:val="18"/>
                <w:highlight w:val="none"/>
                <w:vertAlign w:val="subscript"/>
              </w:rPr>
              <w:t>2</w:t>
            </w:r>
            <w:r>
              <w:rPr>
                <w:rFonts w:hint="default" w:ascii="Times New Roman" w:hAnsi="Times New Roman" w:eastAsia="宋体" w:cs="Times New Roman"/>
                <w:sz w:val="18"/>
                <w:szCs w:val="18"/>
                <w:highlight w:val="none"/>
              </w:rPr>
              <w:t>CF</w:t>
            </w:r>
            <w:r>
              <w:rPr>
                <w:rFonts w:hint="default" w:ascii="Times New Roman" w:hAnsi="Times New Roman" w:eastAsia="宋体" w:cs="Times New Roman"/>
                <w:sz w:val="18"/>
                <w:szCs w:val="18"/>
                <w:highlight w:val="none"/>
                <w:vertAlign w:val="subscript"/>
              </w:rPr>
              <w:t>3</w:t>
            </w:r>
          </w:p>
        </w:tc>
        <w:tc>
          <w:tcPr>
            <w:tcW w:w="2841" w:type="dxa"/>
            <w:vAlign w:val="center"/>
          </w:tcPr>
          <w:p w14:paraId="3A4C4382">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3740</w:t>
            </w:r>
          </w:p>
        </w:tc>
      </w:tr>
      <w:tr w14:paraId="44C7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61DFC404">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HFC-134</w:t>
            </w:r>
          </w:p>
        </w:tc>
        <w:tc>
          <w:tcPr>
            <w:tcW w:w="2841" w:type="dxa"/>
            <w:vAlign w:val="center"/>
          </w:tcPr>
          <w:p w14:paraId="78DC6487">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CHF</w:t>
            </w:r>
            <w:r>
              <w:rPr>
                <w:rFonts w:hint="default" w:ascii="Times New Roman" w:hAnsi="Times New Roman" w:eastAsia="宋体" w:cs="Times New Roman"/>
                <w:sz w:val="18"/>
                <w:szCs w:val="18"/>
                <w:highlight w:val="none"/>
                <w:vertAlign w:val="subscript"/>
              </w:rPr>
              <w:t>2</w:t>
            </w:r>
            <w:r>
              <w:rPr>
                <w:rFonts w:hint="default" w:ascii="Times New Roman" w:hAnsi="Times New Roman" w:eastAsia="宋体" w:cs="Times New Roman"/>
                <w:sz w:val="18"/>
                <w:szCs w:val="18"/>
                <w:highlight w:val="none"/>
              </w:rPr>
              <w:t>CHF</w:t>
            </w:r>
            <w:r>
              <w:rPr>
                <w:rFonts w:hint="default" w:ascii="Times New Roman" w:hAnsi="Times New Roman" w:eastAsia="宋体" w:cs="Times New Roman"/>
                <w:sz w:val="18"/>
                <w:szCs w:val="18"/>
                <w:highlight w:val="none"/>
                <w:vertAlign w:val="subscript"/>
              </w:rPr>
              <w:t>2</w:t>
            </w:r>
          </w:p>
        </w:tc>
        <w:tc>
          <w:tcPr>
            <w:tcW w:w="2841" w:type="dxa"/>
            <w:vAlign w:val="center"/>
          </w:tcPr>
          <w:p w14:paraId="24895B1E">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1260</w:t>
            </w:r>
          </w:p>
        </w:tc>
      </w:tr>
      <w:tr w14:paraId="4F07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1C490D93">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HFC-134a</w:t>
            </w:r>
          </w:p>
        </w:tc>
        <w:tc>
          <w:tcPr>
            <w:tcW w:w="2841" w:type="dxa"/>
            <w:vAlign w:val="center"/>
          </w:tcPr>
          <w:p w14:paraId="47B446A7">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CH</w:t>
            </w:r>
            <w:r>
              <w:rPr>
                <w:rFonts w:hint="default" w:ascii="Times New Roman" w:hAnsi="Times New Roman" w:eastAsia="宋体" w:cs="Times New Roman"/>
                <w:sz w:val="18"/>
                <w:szCs w:val="18"/>
                <w:highlight w:val="none"/>
                <w:vertAlign w:val="subscript"/>
              </w:rPr>
              <w:t>2</w:t>
            </w:r>
            <w:r>
              <w:rPr>
                <w:rFonts w:hint="default" w:ascii="Times New Roman" w:hAnsi="Times New Roman" w:eastAsia="宋体" w:cs="Times New Roman"/>
                <w:sz w:val="18"/>
                <w:szCs w:val="18"/>
                <w:highlight w:val="none"/>
              </w:rPr>
              <w:t>FCF</w:t>
            </w:r>
            <w:r>
              <w:rPr>
                <w:rFonts w:hint="default" w:ascii="Times New Roman" w:hAnsi="Times New Roman" w:eastAsia="宋体" w:cs="Times New Roman"/>
                <w:sz w:val="18"/>
                <w:szCs w:val="18"/>
                <w:highlight w:val="none"/>
                <w:vertAlign w:val="subscript"/>
              </w:rPr>
              <w:t>3</w:t>
            </w:r>
          </w:p>
        </w:tc>
        <w:tc>
          <w:tcPr>
            <w:tcW w:w="2841" w:type="dxa"/>
            <w:vAlign w:val="center"/>
          </w:tcPr>
          <w:p w14:paraId="6912A32F">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1530</w:t>
            </w:r>
          </w:p>
        </w:tc>
      </w:tr>
      <w:tr w14:paraId="1E0B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3F1B9703">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HFC-143</w:t>
            </w:r>
          </w:p>
        </w:tc>
        <w:tc>
          <w:tcPr>
            <w:tcW w:w="2841" w:type="dxa"/>
            <w:vAlign w:val="center"/>
          </w:tcPr>
          <w:p w14:paraId="0B24B41E">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CH</w:t>
            </w:r>
            <w:r>
              <w:rPr>
                <w:rFonts w:hint="default" w:ascii="Times New Roman" w:hAnsi="Times New Roman" w:eastAsia="宋体" w:cs="Times New Roman"/>
                <w:sz w:val="18"/>
                <w:szCs w:val="18"/>
                <w:highlight w:val="none"/>
                <w:vertAlign w:val="subscript"/>
              </w:rPr>
              <w:t>2</w:t>
            </w:r>
            <w:r>
              <w:rPr>
                <w:rFonts w:hint="default" w:ascii="Times New Roman" w:hAnsi="Times New Roman" w:eastAsia="宋体" w:cs="Times New Roman"/>
                <w:sz w:val="18"/>
                <w:szCs w:val="18"/>
                <w:highlight w:val="none"/>
              </w:rPr>
              <w:t>FCHF</w:t>
            </w:r>
            <w:r>
              <w:rPr>
                <w:rFonts w:hint="default" w:ascii="Times New Roman" w:hAnsi="Times New Roman" w:eastAsia="宋体" w:cs="Times New Roman"/>
                <w:sz w:val="18"/>
                <w:szCs w:val="18"/>
                <w:highlight w:val="none"/>
                <w:vertAlign w:val="subscript"/>
              </w:rPr>
              <w:t>2</w:t>
            </w:r>
          </w:p>
        </w:tc>
        <w:tc>
          <w:tcPr>
            <w:tcW w:w="2841" w:type="dxa"/>
            <w:vAlign w:val="center"/>
          </w:tcPr>
          <w:p w14:paraId="36B921F6">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364</w:t>
            </w:r>
          </w:p>
        </w:tc>
      </w:tr>
      <w:tr w14:paraId="0DD3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4724AD57">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HFC-143a</w:t>
            </w:r>
          </w:p>
        </w:tc>
        <w:tc>
          <w:tcPr>
            <w:tcW w:w="2841" w:type="dxa"/>
            <w:vAlign w:val="center"/>
          </w:tcPr>
          <w:p w14:paraId="684A9209">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CH</w:t>
            </w:r>
            <w:r>
              <w:rPr>
                <w:rFonts w:hint="default" w:ascii="Times New Roman" w:hAnsi="Times New Roman" w:eastAsia="宋体" w:cs="Times New Roman"/>
                <w:sz w:val="18"/>
                <w:szCs w:val="18"/>
                <w:highlight w:val="none"/>
                <w:vertAlign w:val="subscript"/>
              </w:rPr>
              <w:t>3</w:t>
            </w:r>
            <w:r>
              <w:rPr>
                <w:rFonts w:hint="default" w:ascii="Times New Roman" w:hAnsi="Times New Roman" w:eastAsia="宋体" w:cs="Times New Roman"/>
                <w:sz w:val="18"/>
                <w:szCs w:val="18"/>
                <w:highlight w:val="none"/>
              </w:rPr>
              <w:t>CF</w:t>
            </w:r>
            <w:r>
              <w:rPr>
                <w:rFonts w:hint="default" w:ascii="Times New Roman" w:hAnsi="Times New Roman" w:eastAsia="宋体" w:cs="Times New Roman"/>
                <w:sz w:val="18"/>
                <w:szCs w:val="18"/>
                <w:highlight w:val="none"/>
                <w:vertAlign w:val="subscript"/>
              </w:rPr>
              <w:t>3</w:t>
            </w:r>
          </w:p>
        </w:tc>
        <w:tc>
          <w:tcPr>
            <w:tcW w:w="2841" w:type="dxa"/>
            <w:vAlign w:val="center"/>
          </w:tcPr>
          <w:p w14:paraId="37577E3B">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5810</w:t>
            </w:r>
          </w:p>
        </w:tc>
      </w:tr>
      <w:tr w14:paraId="7EE2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15342DCF">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HFC-152a</w:t>
            </w:r>
          </w:p>
        </w:tc>
        <w:tc>
          <w:tcPr>
            <w:tcW w:w="2841" w:type="dxa"/>
            <w:vAlign w:val="center"/>
          </w:tcPr>
          <w:p w14:paraId="17EC4604">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CH</w:t>
            </w:r>
            <w:r>
              <w:rPr>
                <w:rFonts w:hint="default" w:ascii="Times New Roman" w:hAnsi="Times New Roman" w:eastAsia="宋体" w:cs="Times New Roman"/>
                <w:sz w:val="18"/>
                <w:szCs w:val="18"/>
                <w:highlight w:val="none"/>
                <w:vertAlign w:val="subscript"/>
                <w:lang w:val="en-US" w:eastAsia="zh-CN"/>
              </w:rPr>
              <w:t>3</w:t>
            </w:r>
            <w:r>
              <w:rPr>
                <w:rFonts w:hint="default" w:ascii="Times New Roman" w:hAnsi="Times New Roman" w:eastAsia="宋体" w:cs="Times New Roman"/>
                <w:sz w:val="18"/>
                <w:szCs w:val="18"/>
                <w:highlight w:val="none"/>
                <w:vertAlign w:val="baseline"/>
                <w:lang w:val="en-US" w:eastAsia="zh-CN"/>
              </w:rPr>
              <w:t>CHF</w:t>
            </w:r>
            <w:r>
              <w:rPr>
                <w:rFonts w:hint="default" w:ascii="Times New Roman" w:hAnsi="Times New Roman" w:eastAsia="宋体" w:cs="Times New Roman"/>
                <w:sz w:val="18"/>
                <w:szCs w:val="18"/>
                <w:highlight w:val="none"/>
                <w:vertAlign w:val="subscript"/>
                <w:lang w:val="en-US" w:eastAsia="zh-CN"/>
              </w:rPr>
              <w:t>2</w:t>
            </w:r>
          </w:p>
        </w:tc>
        <w:tc>
          <w:tcPr>
            <w:tcW w:w="2841" w:type="dxa"/>
            <w:vAlign w:val="center"/>
          </w:tcPr>
          <w:p w14:paraId="5D748BB1">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164</w:t>
            </w:r>
          </w:p>
        </w:tc>
      </w:tr>
      <w:tr w14:paraId="22A1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5A4A1426">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HFC-227ea</w:t>
            </w:r>
          </w:p>
        </w:tc>
        <w:tc>
          <w:tcPr>
            <w:tcW w:w="2841" w:type="dxa"/>
            <w:vAlign w:val="center"/>
          </w:tcPr>
          <w:p w14:paraId="406F15A2">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CF</w:t>
            </w:r>
            <w:r>
              <w:rPr>
                <w:rFonts w:hint="default" w:ascii="Times New Roman" w:hAnsi="Times New Roman" w:eastAsia="宋体" w:cs="Times New Roman"/>
                <w:sz w:val="18"/>
                <w:szCs w:val="18"/>
                <w:highlight w:val="none"/>
                <w:vertAlign w:val="subscript"/>
                <w:lang w:val="en-US" w:eastAsia="zh-CN"/>
              </w:rPr>
              <w:t>3</w:t>
            </w:r>
            <w:r>
              <w:rPr>
                <w:rFonts w:hint="default" w:ascii="Times New Roman" w:hAnsi="Times New Roman" w:eastAsia="宋体" w:cs="Times New Roman"/>
                <w:sz w:val="18"/>
                <w:szCs w:val="18"/>
                <w:highlight w:val="none"/>
                <w:vertAlign w:val="baseline"/>
                <w:lang w:val="en-US" w:eastAsia="zh-CN"/>
              </w:rPr>
              <w:t>CHFCF</w:t>
            </w:r>
            <w:r>
              <w:rPr>
                <w:rFonts w:hint="default" w:ascii="Times New Roman" w:hAnsi="Times New Roman" w:eastAsia="宋体" w:cs="Times New Roman"/>
                <w:sz w:val="18"/>
                <w:szCs w:val="18"/>
                <w:highlight w:val="none"/>
                <w:vertAlign w:val="subscript"/>
                <w:lang w:val="en-US" w:eastAsia="zh-CN"/>
              </w:rPr>
              <w:t>3</w:t>
            </w:r>
          </w:p>
        </w:tc>
        <w:tc>
          <w:tcPr>
            <w:tcW w:w="2841" w:type="dxa"/>
            <w:vAlign w:val="center"/>
          </w:tcPr>
          <w:p w14:paraId="176DFC9B">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3600</w:t>
            </w:r>
          </w:p>
        </w:tc>
      </w:tr>
      <w:tr w14:paraId="7445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23B61973">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HFC-236ea</w:t>
            </w:r>
          </w:p>
        </w:tc>
        <w:tc>
          <w:tcPr>
            <w:tcW w:w="2841" w:type="dxa"/>
            <w:vAlign w:val="center"/>
          </w:tcPr>
          <w:p w14:paraId="08C05763">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CHF</w:t>
            </w:r>
            <w:r>
              <w:rPr>
                <w:rFonts w:hint="default" w:ascii="Times New Roman" w:hAnsi="Times New Roman" w:eastAsia="宋体" w:cs="Times New Roman"/>
                <w:sz w:val="18"/>
                <w:szCs w:val="18"/>
                <w:highlight w:val="none"/>
                <w:vertAlign w:val="subscript"/>
                <w:lang w:val="en-US" w:eastAsia="zh-CN"/>
              </w:rPr>
              <w:t>2</w:t>
            </w:r>
            <w:r>
              <w:rPr>
                <w:rFonts w:hint="default" w:ascii="Times New Roman" w:hAnsi="Times New Roman" w:eastAsia="宋体" w:cs="Times New Roman"/>
                <w:sz w:val="18"/>
                <w:szCs w:val="18"/>
                <w:highlight w:val="none"/>
                <w:vertAlign w:val="baseline"/>
                <w:lang w:val="en-US" w:eastAsia="zh-CN"/>
              </w:rPr>
              <w:t>CHFCF</w:t>
            </w:r>
            <w:r>
              <w:rPr>
                <w:rFonts w:hint="default" w:ascii="Times New Roman" w:hAnsi="Times New Roman" w:eastAsia="宋体" w:cs="Times New Roman"/>
                <w:sz w:val="18"/>
                <w:szCs w:val="18"/>
                <w:highlight w:val="none"/>
                <w:vertAlign w:val="subscript"/>
                <w:lang w:val="en-US" w:eastAsia="zh-CN"/>
              </w:rPr>
              <w:t>3</w:t>
            </w:r>
          </w:p>
        </w:tc>
        <w:tc>
          <w:tcPr>
            <w:tcW w:w="2841" w:type="dxa"/>
            <w:vAlign w:val="center"/>
          </w:tcPr>
          <w:p w14:paraId="6BBE81D3">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1500</w:t>
            </w:r>
          </w:p>
        </w:tc>
      </w:tr>
      <w:tr w14:paraId="4D80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2BE8FB54">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HFC-236fa</w:t>
            </w:r>
          </w:p>
        </w:tc>
        <w:tc>
          <w:tcPr>
            <w:tcW w:w="2841" w:type="dxa"/>
            <w:vAlign w:val="center"/>
          </w:tcPr>
          <w:p w14:paraId="21EEE20E">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CF</w:t>
            </w:r>
            <w:r>
              <w:rPr>
                <w:rFonts w:hint="default" w:ascii="Times New Roman" w:hAnsi="Times New Roman" w:eastAsia="宋体" w:cs="Times New Roman"/>
                <w:sz w:val="18"/>
                <w:szCs w:val="18"/>
                <w:highlight w:val="none"/>
                <w:vertAlign w:val="subscript"/>
                <w:lang w:val="en-US" w:eastAsia="zh-CN"/>
              </w:rPr>
              <w:t>3</w:t>
            </w:r>
            <w:r>
              <w:rPr>
                <w:rFonts w:hint="default" w:ascii="Times New Roman" w:hAnsi="Times New Roman" w:eastAsia="宋体" w:cs="Times New Roman"/>
                <w:sz w:val="18"/>
                <w:szCs w:val="18"/>
                <w:highlight w:val="none"/>
                <w:vertAlign w:val="baseline"/>
                <w:lang w:val="en-US" w:eastAsia="zh-CN"/>
              </w:rPr>
              <w:t>CH</w:t>
            </w:r>
            <w:r>
              <w:rPr>
                <w:rFonts w:hint="default" w:ascii="Times New Roman" w:hAnsi="Times New Roman" w:eastAsia="宋体" w:cs="Times New Roman"/>
                <w:sz w:val="18"/>
                <w:szCs w:val="18"/>
                <w:highlight w:val="none"/>
                <w:vertAlign w:val="subscript"/>
                <w:lang w:val="en-US" w:eastAsia="zh-CN"/>
              </w:rPr>
              <w:t>2</w:t>
            </w:r>
            <w:r>
              <w:rPr>
                <w:rFonts w:hint="default" w:ascii="Times New Roman" w:hAnsi="Times New Roman" w:eastAsia="宋体" w:cs="Times New Roman"/>
                <w:sz w:val="18"/>
                <w:szCs w:val="18"/>
                <w:highlight w:val="none"/>
                <w:vertAlign w:val="baseline"/>
                <w:lang w:val="en-US" w:eastAsia="zh-CN"/>
              </w:rPr>
              <w:t>CF</w:t>
            </w:r>
            <w:r>
              <w:rPr>
                <w:rFonts w:hint="default" w:ascii="Times New Roman" w:hAnsi="Times New Roman" w:eastAsia="宋体" w:cs="Times New Roman"/>
                <w:sz w:val="18"/>
                <w:szCs w:val="18"/>
                <w:highlight w:val="none"/>
                <w:vertAlign w:val="subscript"/>
                <w:lang w:val="en-US" w:eastAsia="zh-CN"/>
              </w:rPr>
              <w:t>3</w:t>
            </w:r>
          </w:p>
        </w:tc>
        <w:tc>
          <w:tcPr>
            <w:tcW w:w="2841" w:type="dxa"/>
            <w:vAlign w:val="center"/>
          </w:tcPr>
          <w:p w14:paraId="063EFE10">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8690</w:t>
            </w:r>
          </w:p>
        </w:tc>
      </w:tr>
      <w:tr w14:paraId="59D8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52BB75E4">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全氟碳化物（PFCs）</w:t>
            </w:r>
          </w:p>
        </w:tc>
      </w:tr>
      <w:tr w14:paraId="01AA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1BE34DDC">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全氟甲烷（四氟甲烷）</w:t>
            </w:r>
          </w:p>
        </w:tc>
        <w:tc>
          <w:tcPr>
            <w:tcW w:w="2841" w:type="dxa"/>
            <w:vAlign w:val="center"/>
          </w:tcPr>
          <w:p w14:paraId="5A39D23D">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CF</w:t>
            </w:r>
            <w:r>
              <w:rPr>
                <w:rFonts w:hint="default" w:ascii="Times New Roman" w:hAnsi="Times New Roman" w:eastAsia="宋体" w:cs="Times New Roman"/>
                <w:sz w:val="18"/>
                <w:szCs w:val="18"/>
                <w:highlight w:val="none"/>
                <w:vertAlign w:val="subscript"/>
                <w:lang w:val="en-US" w:eastAsia="zh-CN"/>
              </w:rPr>
              <w:t>4</w:t>
            </w:r>
          </w:p>
        </w:tc>
        <w:tc>
          <w:tcPr>
            <w:tcW w:w="2841" w:type="dxa"/>
            <w:vAlign w:val="center"/>
          </w:tcPr>
          <w:p w14:paraId="7127B8F6">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7380</w:t>
            </w:r>
          </w:p>
        </w:tc>
      </w:tr>
      <w:tr w14:paraId="4044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720A3C02">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全氟乙烷（六氟乙烷）</w:t>
            </w:r>
          </w:p>
        </w:tc>
        <w:tc>
          <w:tcPr>
            <w:tcW w:w="2841" w:type="dxa"/>
            <w:vAlign w:val="center"/>
          </w:tcPr>
          <w:p w14:paraId="7A6F66A7">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C</w:t>
            </w:r>
            <w:r>
              <w:rPr>
                <w:rFonts w:hint="default" w:ascii="Times New Roman" w:hAnsi="Times New Roman" w:eastAsia="宋体" w:cs="Times New Roman"/>
                <w:sz w:val="18"/>
                <w:szCs w:val="18"/>
                <w:highlight w:val="none"/>
                <w:vertAlign w:val="subscript"/>
                <w:lang w:val="en-US" w:eastAsia="zh-CN"/>
              </w:rPr>
              <w:t>2</w:t>
            </w:r>
            <w:r>
              <w:rPr>
                <w:rFonts w:hint="default" w:ascii="Times New Roman" w:hAnsi="Times New Roman" w:eastAsia="宋体" w:cs="Times New Roman"/>
                <w:sz w:val="18"/>
                <w:szCs w:val="18"/>
                <w:highlight w:val="none"/>
                <w:vertAlign w:val="baseline"/>
                <w:lang w:val="en-US" w:eastAsia="zh-CN"/>
              </w:rPr>
              <w:t>F</w:t>
            </w:r>
            <w:r>
              <w:rPr>
                <w:rFonts w:hint="default" w:ascii="Times New Roman" w:hAnsi="Times New Roman" w:eastAsia="宋体" w:cs="Times New Roman"/>
                <w:sz w:val="18"/>
                <w:szCs w:val="18"/>
                <w:highlight w:val="none"/>
                <w:vertAlign w:val="subscript"/>
                <w:lang w:val="en-US" w:eastAsia="zh-CN"/>
              </w:rPr>
              <w:t>6</w:t>
            </w:r>
          </w:p>
        </w:tc>
        <w:tc>
          <w:tcPr>
            <w:tcW w:w="2841" w:type="dxa"/>
            <w:vAlign w:val="center"/>
          </w:tcPr>
          <w:p w14:paraId="374474CF">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12400</w:t>
            </w:r>
          </w:p>
        </w:tc>
      </w:tr>
      <w:tr w14:paraId="1E34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7FA92D05">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全氟丙烷</w:t>
            </w:r>
          </w:p>
        </w:tc>
        <w:tc>
          <w:tcPr>
            <w:tcW w:w="2841" w:type="dxa"/>
            <w:vAlign w:val="center"/>
          </w:tcPr>
          <w:p w14:paraId="7F885505">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C</w:t>
            </w:r>
            <w:r>
              <w:rPr>
                <w:rFonts w:hint="default" w:ascii="Times New Roman" w:hAnsi="Times New Roman" w:eastAsia="宋体" w:cs="Times New Roman"/>
                <w:sz w:val="18"/>
                <w:szCs w:val="18"/>
                <w:highlight w:val="none"/>
                <w:vertAlign w:val="subscript"/>
                <w:lang w:val="en-US" w:eastAsia="zh-CN"/>
              </w:rPr>
              <w:t>3</w:t>
            </w:r>
            <w:r>
              <w:rPr>
                <w:rFonts w:hint="default" w:ascii="Times New Roman" w:hAnsi="Times New Roman" w:eastAsia="宋体" w:cs="Times New Roman"/>
                <w:sz w:val="18"/>
                <w:szCs w:val="18"/>
                <w:highlight w:val="none"/>
                <w:vertAlign w:val="baseline"/>
                <w:lang w:val="en-US" w:eastAsia="zh-CN"/>
              </w:rPr>
              <w:t>F</w:t>
            </w:r>
            <w:r>
              <w:rPr>
                <w:rFonts w:hint="default" w:ascii="Times New Roman" w:hAnsi="Times New Roman" w:eastAsia="宋体" w:cs="Times New Roman"/>
                <w:sz w:val="18"/>
                <w:szCs w:val="18"/>
                <w:highlight w:val="none"/>
                <w:vertAlign w:val="subscript"/>
                <w:lang w:val="en-US" w:eastAsia="zh-CN"/>
              </w:rPr>
              <w:t>8</w:t>
            </w:r>
          </w:p>
        </w:tc>
        <w:tc>
          <w:tcPr>
            <w:tcW w:w="2841" w:type="dxa"/>
            <w:vAlign w:val="center"/>
          </w:tcPr>
          <w:p w14:paraId="7BBD8EB2">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9290</w:t>
            </w:r>
          </w:p>
        </w:tc>
      </w:tr>
      <w:tr w14:paraId="31F7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59B9A3AF">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全氟丁烷</w:t>
            </w:r>
          </w:p>
        </w:tc>
        <w:tc>
          <w:tcPr>
            <w:tcW w:w="2841" w:type="dxa"/>
            <w:vAlign w:val="center"/>
          </w:tcPr>
          <w:p w14:paraId="72EAC944">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C</w:t>
            </w:r>
            <w:r>
              <w:rPr>
                <w:rFonts w:hint="default" w:ascii="Times New Roman" w:hAnsi="Times New Roman" w:eastAsia="宋体" w:cs="Times New Roman"/>
                <w:sz w:val="18"/>
                <w:szCs w:val="18"/>
                <w:highlight w:val="none"/>
                <w:vertAlign w:val="subscript"/>
                <w:lang w:val="en-US" w:eastAsia="zh-CN"/>
              </w:rPr>
              <w:t>4</w:t>
            </w:r>
            <w:r>
              <w:rPr>
                <w:rFonts w:hint="default" w:ascii="Times New Roman" w:hAnsi="Times New Roman" w:eastAsia="宋体" w:cs="Times New Roman"/>
                <w:sz w:val="18"/>
                <w:szCs w:val="18"/>
                <w:highlight w:val="none"/>
                <w:vertAlign w:val="baseline"/>
                <w:lang w:val="en-US" w:eastAsia="zh-CN"/>
              </w:rPr>
              <w:t>F</w:t>
            </w:r>
            <w:r>
              <w:rPr>
                <w:rFonts w:hint="default" w:ascii="Times New Roman" w:hAnsi="Times New Roman" w:eastAsia="宋体" w:cs="Times New Roman"/>
                <w:sz w:val="18"/>
                <w:szCs w:val="18"/>
                <w:highlight w:val="none"/>
                <w:vertAlign w:val="subscript"/>
                <w:lang w:val="en-US" w:eastAsia="zh-CN"/>
              </w:rPr>
              <w:t>10</w:t>
            </w:r>
          </w:p>
        </w:tc>
        <w:tc>
          <w:tcPr>
            <w:tcW w:w="2841" w:type="dxa"/>
            <w:vAlign w:val="center"/>
          </w:tcPr>
          <w:p w14:paraId="6597ACED">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10000</w:t>
            </w:r>
          </w:p>
        </w:tc>
      </w:tr>
      <w:tr w14:paraId="71D2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4EB832DC">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全氟环丁烷</w:t>
            </w:r>
          </w:p>
        </w:tc>
        <w:tc>
          <w:tcPr>
            <w:tcW w:w="2841" w:type="dxa"/>
            <w:vAlign w:val="center"/>
          </w:tcPr>
          <w:p w14:paraId="5BFDBD49">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C</w:t>
            </w:r>
            <w:r>
              <w:rPr>
                <w:rFonts w:hint="default" w:ascii="Times New Roman" w:hAnsi="Times New Roman" w:eastAsia="宋体" w:cs="Times New Roman"/>
                <w:sz w:val="18"/>
                <w:szCs w:val="18"/>
                <w:highlight w:val="none"/>
                <w:vertAlign w:val="subscript"/>
                <w:lang w:val="en-US" w:eastAsia="zh-CN"/>
              </w:rPr>
              <w:t>4</w:t>
            </w:r>
            <w:r>
              <w:rPr>
                <w:rFonts w:hint="default" w:ascii="Times New Roman" w:hAnsi="Times New Roman" w:eastAsia="宋体" w:cs="Times New Roman"/>
                <w:sz w:val="18"/>
                <w:szCs w:val="18"/>
                <w:highlight w:val="none"/>
                <w:vertAlign w:val="baseline"/>
                <w:lang w:val="en-US" w:eastAsia="zh-CN"/>
              </w:rPr>
              <w:t>F</w:t>
            </w:r>
            <w:r>
              <w:rPr>
                <w:rFonts w:hint="default" w:ascii="Times New Roman" w:hAnsi="Times New Roman" w:eastAsia="宋体" w:cs="Times New Roman"/>
                <w:sz w:val="18"/>
                <w:szCs w:val="18"/>
                <w:highlight w:val="none"/>
                <w:vertAlign w:val="subscript"/>
                <w:lang w:val="en-US" w:eastAsia="zh-CN"/>
              </w:rPr>
              <w:t>8</w:t>
            </w:r>
          </w:p>
        </w:tc>
        <w:tc>
          <w:tcPr>
            <w:tcW w:w="2841" w:type="dxa"/>
            <w:vAlign w:val="center"/>
          </w:tcPr>
          <w:p w14:paraId="051D8A4C">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10200</w:t>
            </w:r>
          </w:p>
        </w:tc>
      </w:tr>
      <w:tr w14:paraId="6086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5627AC8B">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全氟戊烷</w:t>
            </w:r>
          </w:p>
        </w:tc>
        <w:tc>
          <w:tcPr>
            <w:tcW w:w="2841" w:type="dxa"/>
            <w:vAlign w:val="center"/>
          </w:tcPr>
          <w:p w14:paraId="7EFA7CA8">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C</w:t>
            </w:r>
            <w:r>
              <w:rPr>
                <w:rFonts w:hint="default" w:ascii="Times New Roman" w:hAnsi="Times New Roman" w:eastAsia="宋体" w:cs="Times New Roman"/>
                <w:sz w:val="18"/>
                <w:szCs w:val="18"/>
                <w:highlight w:val="none"/>
                <w:vertAlign w:val="subscript"/>
                <w:lang w:val="en-US" w:eastAsia="zh-CN"/>
              </w:rPr>
              <w:t>5</w:t>
            </w:r>
            <w:r>
              <w:rPr>
                <w:rFonts w:hint="default" w:ascii="Times New Roman" w:hAnsi="Times New Roman" w:eastAsia="宋体" w:cs="Times New Roman"/>
                <w:sz w:val="18"/>
                <w:szCs w:val="18"/>
                <w:highlight w:val="none"/>
                <w:vertAlign w:val="baseline"/>
                <w:lang w:val="en-US" w:eastAsia="zh-CN"/>
              </w:rPr>
              <w:t>F</w:t>
            </w:r>
            <w:r>
              <w:rPr>
                <w:rFonts w:hint="default" w:ascii="Times New Roman" w:hAnsi="Times New Roman" w:eastAsia="宋体" w:cs="Times New Roman"/>
                <w:sz w:val="18"/>
                <w:szCs w:val="18"/>
                <w:highlight w:val="none"/>
                <w:vertAlign w:val="subscript"/>
                <w:lang w:val="en-US" w:eastAsia="zh-CN"/>
              </w:rPr>
              <w:t>12</w:t>
            </w:r>
          </w:p>
        </w:tc>
        <w:tc>
          <w:tcPr>
            <w:tcW w:w="2841" w:type="dxa"/>
            <w:vAlign w:val="center"/>
          </w:tcPr>
          <w:p w14:paraId="3A7C372D">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9220</w:t>
            </w:r>
          </w:p>
        </w:tc>
      </w:tr>
      <w:tr w14:paraId="0DEA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7303B4E2">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全氟己烷</w:t>
            </w:r>
          </w:p>
        </w:tc>
        <w:tc>
          <w:tcPr>
            <w:tcW w:w="2841" w:type="dxa"/>
            <w:vAlign w:val="center"/>
          </w:tcPr>
          <w:p w14:paraId="3343706D">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C</w:t>
            </w:r>
            <w:r>
              <w:rPr>
                <w:rFonts w:hint="default" w:ascii="Times New Roman" w:hAnsi="Times New Roman" w:eastAsia="宋体" w:cs="Times New Roman"/>
                <w:sz w:val="18"/>
                <w:szCs w:val="18"/>
                <w:highlight w:val="none"/>
                <w:vertAlign w:val="subscript"/>
                <w:lang w:val="en-US" w:eastAsia="zh-CN"/>
              </w:rPr>
              <w:t>6</w:t>
            </w:r>
            <w:r>
              <w:rPr>
                <w:rFonts w:hint="default" w:ascii="Times New Roman" w:hAnsi="Times New Roman" w:eastAsia="宋体" w:cs="Times New Roman"/>
                <w:sz w:val="18"/>
                <w:szCs w:val="18"/>
                <w:highlight w:val="none"/>
                <w:vertAlign w:val="baseline"/>
                <w:lang w:val="en-US" w:eastAsia="zh-CN"/>
              </w:rPr>
              <w:t>F</w:t>
            </w:r>
            <w:r>
              <w:rPr>
                <w:rFonts w:hint="default" w:ascii="Times New Roman" w:hAnsi="Times New Roman" w:eastAsia="宋体" w:cs="Times New Roman"/>
                <w:sz w:val="18"/>
                <w:szCs w:val="18"/>
                <w:highlight w:val="none"/>
                <w:vertAlign w:val="subscript"/>
                <w:lang w:val="en-US" w:eastAsia="zh-CN"/>
              </w:rPr>
              <w:t>14</w:t>
            </w:r>
          </w:p>
        </w:tc>
        <w:tc>
          <w:tcPr>
            <w:tcW w:w="2841" w:type="dxa"/>
            <w:vAlign w:val="center"/>
          </w:tcPr>
          <w:p w14:paraId="31B5125C">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8620</w:t>
            </w:r>
          </w:p>
        </w:tc>
      </w:tr>
      <w:tr w14:paraId="4E04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0871E1CD">
            <w:pPr>
              <w:pStyle w:val="2"/>
              <w:ind w:firstLine="360" w:firstLineChars="200"/>
              <w:jc w:val="both"/>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注：</w:t>
            </w:r>
            <w:r>
              <w:rPr>
                <w:rFonts w:hint="default" w:ascii="Times New Roman" w:hAnsi="Times New Roman" w:eastAsia="宋体" w:cs="Times New Roman"/>
                <w:sz w:val="18"/>
                <w:szCs w:val="18"/>
                <w:highlight w:val="none"/>
              </w:rPr>
              <w:t>部分温室气体的全球变暖潜势来源于气候变化专门委员会（IPCC）《气候变化报告2021：自然科学基础</w:t>
            </w:r>
            <w:r>
              <w:rPr>
                <w:rFonts w:hint="default" w:ascii="Times New Roman" w:hAnsi="Times New Roman" w:eastAsia="宋体" w:cs="Times New Roman"/>
                <w:sz w:val="18"/>
                <w:szCs w:val="18"/>
                <w:highlight w:val="none"/>
                <w:lang w:val="en-US" w:eastAsia="zh-CN"/>
              </w:rPr>
              <w:t xml:space="preserve"> </w:t>
            </w:r>
            <w:r>
              <w:rPr>
                <w:rFonts w:hint="default" w:ascii="Times New Roman" w:hAnsi="Times New Roman" w:eastAsia="宋体" w:cs="Times New Roman"/>
                <w:sz w:val="18"/>
                <w:szCs w:val="18"/>
                <w:highlight w:val="none"/>
              </w:rPr>
              <w:t>第一工</w:t>
            </w:r>
            <w:r>
              <w:rPr>
                <w:rFonts w:hint="default" w:ascii="Times New Roman" w:hAnsi="Times New Roman" w:eastAsia="宋体" w:cs="Times New Roman"/>
                <w:sz w:val="18"/>
                <w:szCs w:val="18"/>
                <w:highlight w:val="none"/>
                <w:lang w:val="en-US" w:eastAsia="zh-CN"/>
              </w:rPr>
              <w:t>作组对IPCC第六次评估报告的贡献》。</w:t>
            </w:r>
          </w:p>
        </w:tc>
      </w:tr>
    </w:tbl>
    <w:p w14:paraId="13E8790E">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p w14:paraId="28A828B4">
      <w:pPr>
        <w:jc w:val="center"/>
        <w:outlineLvl w:val="0"/>
        <w:rPr>
          <w:rFonts w:hint="default" w:ascii="Times New Roman" w:hAnsi="Times New Roman" w:eastAsia="黑体" w:cs="Times New Roman"/>
          <w:sz w:val="21"/>
          <w:szCs w:val="21"/>
          <w:highlight w:val="none"/>
          <w:lang w:val="en-US" w:eastAsia="zh-CN"/>
        </w:rPr>
      </w:pPr>
      <w:bookmarkStart w:id="466" w:name="_Toc30831"/>
      <w:bookmarkStart w:id="467" w:name="_Toc20949"/>
      <w:bookmarkStart w:id="468" w:name="_Toc19206"/>
      <w:bookmarkStart w:id="469" w:name="_Toc19254"/>
      <w:bookmarkStart w:id="470" w:name="_Toc32682"/>
      <w:bookmarkStart w:id="471" w:name="_Toc26239"/>
      <w:r>
        <w:rPr>
          <w:rFonts w:hint="default" w:ascii="Times New Roman" w:hAnsi="Times New Roman" w:eastAsia="黑体" w:cs="Times New Roman"/>
          <w:sz w:val="21"/>
          <w:szCs w:val="21"/>
          <w:highlight w:val="none"/>
          <w:lang w:val="en-US" w:eastAsia="zh-CN"/>
        </w:rPr>
        <w:t>附录</w:t>
      </w:r>
      <w:bookmarkEnd w:id="466"/>
      <w:bookmarkEnd w:id="467"/>
      <w:bookmarkEnd w:id="468"/>
      <w:bookmarkEnd w:id="469"/>
      <w:r>
        <w:rPr>
          <w:rFonts w:hint="eastAsia" w:eastAsia="黑体" w:cs="Times New Roman"/>
          <w:sz w:val="21"/>
          <w:szCs w:val="21"/>
          <w:highlight w:val="none"/>
          <w:lang w:val="en-US" w:eastAsia="zh-CN"/>
        </w:rPr>
        <w:t>D</w:t>
      </w:r>
      <w:bookmarkEnd w:id="470"/>
      <w:r>
        <w:rPr>
          <w:rFonts w:ascii="黑体" w:eastAsia="黑体"/>
        </w:rPr>
        <w:br w:type="textWrapping"/>
      </w:r>
      <w:r>
        <w:rPr>
          <w:rFonts w:hint="default" w:ascii="Times New Roman" w:hAnsi="Times New Roman" w:eastAsia="黑体" w:cs="Times New Roman"/>
          <w:sz w:val="21"/>
          <w:szCs w:val="21"/>
          <w:highlight w:val="none"/>
          <w:lang w:val="en-US" w:eastAsia="zh-CN"/>
        </w:rPr>
        <w:t>（资料性）</w:t>
      </w:r>
      <w:r>
        <w:rPr>
          <w:rFonts w:ascii="黑体" w:eastAsia="黑体"/>
        </w:rPr>
        <w:br w:type="textWrapping"/>
      </w:r>
      <w:r>
        <w:rPr>
          <w:rFonts w:hint="default" w:ascii="Times New Roman" w:hAnsi="Times New Roman" w:eastAsia="黑体" w:cs="Times New Roman"/>
          <w:sz w:val="21"/>
          <w:szCs w:val="21"/>
          <w:highlight w:val="none"/>
          <w:lang w:val="en-US" w:eastAsia="zh-CN"/>
        </w:rPr>
        <w:t>产品碳足迹报告（模板）</w:t>
      </w:r>
      <w:bookmarkEnd w:id="471"/>
    </w:p>
    <w:p w14:paraId="67A3DA8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产品碳足迹报告格式模板如下。</w:t>
      </w:r>
    </w:p>
    <w:p w14:paraId="6E9375F2">
      <w:pPr>
        <w:pStyle w:val="2"/>
        <w:rPr>
          <w:rFonts w:hint="default" w:ascii="Times New Roman" w:hAnsi="Times New Roman" w:cs="Times New Roman"/>
          <w:highlight w:val="none"/>
          <w:lang w:val="en-US" w:eastAsia="zh-CN"/>
        </w:rPr>
      </w:pPr>
    </w:p>
    <w:p w14:paraId="2668FE05">
      <w:pPr>
        <w:pStyle w:val="2"/>
        <w:rPr>
          <w:rFonts w:hint="default" w:ascii="Times New Roman" w:hAnsi="Times New Roman" w:cs="Times New Roman"/>
          <w:highlight w:val="none"/>
          <w:lang w:val="en-US" w:eastAsia="zh-CN"/>
        </w:rPr>
      </w:pPr>
    </w:p>
    <w:p w14:paraId="01CFBB20">
      <w:pPr>
        <w:pStyle w:val="2"/>
        <w:rPr>
          <w:rFonts w:hint="default" w:ascii="Times New Roman" w:hAnsi="Times New Roman" w:cs="Times New Roman"/>
          <w:highlight w:val="none"/>
          <w:lang w:val="en-US" w:eastAsia="zh-CN"/>
        </w:rPr>
      </w:pPr>
    </w:p>
    <w:p w14:paraId="246280E4">
      <w:pPr>
        <w:pStyle w:val="2"/>
        <w:rPr>
          <w:rFonts w:hint="default" w:ascii="Times New Roman" w:hAnsi="Times New Roman" w:cs="Times New Roman"/>
          <w:highlight w:val="none"/>
          <w:lang w:val="en-US" w:eastAsia="zh-CN"/>
        </w:rPr>
      </w:pPr>
    </w:p>
    <w:p w14:paraId="7737081B">
      <w:pPr>
        <w:pStyle w:val="2"/>
        <w:rPr>
          <w:rFonts w:hint="default" w:ascii="Times New Roman" w:hAnsi="Times New Roman" w:cs="Times New Roman"/>
          <w:highlight w:val="none"/>
          <w:lang w:val="en-US" w:eastAsia="zh-CN"/>
        </w:rPr>
      </w:pPr>
    </w:p>
    <w:p w14:paraId="7E7AF643">
      <w:pPr>
        <w:pStyle w:val="2"/>
        <w:rPr>
          <w:rFonts w:hint="default" w:ascii="Times New Roman" w:hAnsi="Times New Roman" w:cs="Times New Roman"/>
          <w:highlight w:val="none"/>
          <w:lang w:val="en-US" w:eastAsia="zh-CN"/>
        </w:rPr>
      </w:pPr>
    </w:p>
    <w:p w14:paraId="7D35F0BB">
      <w:pPr>
        <w:pStyle w:val="2"/>
        <w:rPr>
          <w:rFonts w:hint="default" w:ascii="Times New Roman" w:hAnsi="Times New Roman" w:cs="Times New Roman"/>
          <w:highlight w:val="none"/>
          <w:lang w:val="en-US" w:eastAsia="zh-CN"/>
        </w:rPr>
      </w:pPr>
    </w:p>
    <w:p w14:paraId="5654E3AC">
      <w:pPr>
        <w:pStyle w:val="2"/>
        <w:rPr>
          <w:rFonts w:hint="default" w:ascii="Times New Roman" w:hAnsi="Times New Roman" w:cs="Times New Roman"/>
          <w:highlight w:val="none"/>
          <w:lang w:val="en-US" w:eastAsia="zh-CN"/>
        </w:rPr>
      </w:pPr>
    </w:p>
    <w:p w14:paraId="10FF10BB">
      <w:pPr>
        <w:pStyle w:val="2"/>
        <w:rPr>
          <w:rFonts w:hint="default" w:ascii="Times New Roman" w:hAnsi="Times New Roman" w:cs="Times New Roman"/>
          <w:highlight w:val="none"/>
          <w:lang w:val="en-US" w:eastAsia="zh-CN"/>
        </w:rPr>
      </w:pPr>
    </w:p>
    <w:p w14:paraId="522D2273">
      <w:pPr>
        <w:pStyle w:val="2"/>
        <w:jc w:val="center"/>
        <w:rPr>
          <w:rFonts w:hint="default" w:ascii="Times New Roman" w:hAnsi="Times New Roman" w:cs="Times New Roman"/>
          <w:sz w:val="36"/>
          <w:szCs w:val="36"/>
          <w:highlight w:val="none"/>
          <w:lang w:val="en-US" w:eastAsia="zh-CN"/>
        </w:rPr>
      </w:pPr>
      <w:r>
        <w:rPr>
          <w:rFonts w:hint="eastAsia" w:cs="Times New Roman"/>
          <w:sz w:val="36"/>
          <w:szCs w:val="36"/>
          <w:highlight w:val="none"/>
          <w:lang w:val="en-US" w:eastAsia="zh-CN"/>
        </w:rPr>
        <w:t>变压器</w:t>
      </w:r>
      <w:r>
        <w:rPr>
          <w:rFonts w:hint="default" w:ascii="Times New Roman" w:hAnsi="Times New Roman" w:cs="Times New Roman"/>
          <w:sz w:val="36"/>
          <w:szCs w:val="36"/>
          <w:highlight w:val="none"/>
          <w:lang w:val="en-US" w:eastAsia="zh-CN"/>
        </w:rPr>
        <w:t>产品碳足迹研究报告（模板）</w:t>
      </w:r>
    </w:p>
    <w:p w14:paraId="7C84FEB1">
      <w:pPr>
        <w:pStyle w:val="2"/>
        <w:rPr>
          <w:rFonts w:hint="default" w:ascii="Times New Roman" w:hAnsi="Times New Roman" w:cs="Times New Roman"/>
          <w:highlight w:val="none"/>
          <w:lang w:val="en-US" w:eastAsia="zh-CN"/>
        </w:rPr>
      </w:pPr>
    </w:p>
    <w:p w14:paraId="787C5EE8">
      <w:pPr>
        <w:pStyle w:val="2"/>
        <w:rPr>
          <w:rFonts w:hint="default" w:ascii="Times New Roman" w:hAnsi="Times New Roman" w:cs="Times New Roman"/>
          <w:highlight w:val="none"/>
          <w:lang w:val="en-US" w:eastAsia="zh-CN"/>
        </w:rPr>
      </w:pPr>
    </w:p>
    <w:p w14:paraId="01551C98">
      <w:pPr>
        <w:pStyle w:val="2"/>
        <w:rPr>
          <w:rFonts w:hint="default" w:ascii="Times New Roman" w:hAnsi="Times New Roman" w:cs="Times New Roman"/>
          <w:highlight w:val="none"/>
          <w:lang w:val="en-US" w:eastAsia="zh-CN"/>
        </w:rPr>
      </w:pPr>
    </w:p>
    <w:p w14:paraId="5C615A6F">
      <w:pPr>
        <w:pStyle w:val="2"/>
        <w:rPr>
          <w:rFonts w:hint="default" w:ascii="Times New Roman" w:hAnsi="Times New Roman" w:cs="Times New Roman"/>
          <w:highlight w:val="none"/>
          <w:lang w:val="en-US" w:eastAsia="zh-CN"/>
        </w:rPr>
      </w:pPr>
    </w:p>
    <w:p w14:paraId="1D95BE54">
      <w:pPr>
        <w:pStyle w:val="2"/>
        <w:rPr>
          <w:rFonts w:hint="default" w:ascii="Times New Roman" w:hAnsi="Times New Roman" w:cs="Times New Roman"/>
          <w:highlight w:val="none"/>
          <w:lang w:val="en-US" w:eastAsia="zh-CN"/>
        </w:rPr>
      </w:pPr>
    </w:p>
    <w:p w14:paraId="04AE8C0C">
      <w:pPr>
        <w:pStyle w:val="2"/>
        <w:rPr>
          <w:rFonts w:hint="default" w:ascii="Times New Roman" w:hAnsi="Times New Roman" w:cs="Times New Roman"/>
          <w:highlight w:val="none"/>
          <w:lang w:val="en-US" w:eastAsia="zh-CN"/>
        </w:rPr>
      </w:pPr>
    </w:p>
    <w:tbl>
      <w:tblPr>
        <w:tblStyle w:val="8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77"/>
        <w:gridCol w:w="4750"/>
      </w:tblGrid>
      <w:tr w14:paraId="5163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7" w:type="dxa"/>
            <w:tcBorders>
              <w:tl2br w:val="nil"/>
              <w:tr2bl w:val="nil"/>
            </w:tcBorders>
            <w:vAlign w:val="center"/>
          </w:tcPr>
          <w:p w14:paraId="135BA24F">
            <w:pPr>
              <w:pStyle w:val="2"/>
              <w:jc w:val="distribute"/>
              <w:rPr>
                <w:rFonts w:hint="default" w:ascii="Times New Roman" w:hAnsi="Times New Roman" w:cs="Times New Roman"/>
                <w:sz w:val="28"/>
                <w:szCs w:val="28"/>
                <w:highlight w:val="none"/>
                <w:vertAlign w:val="baseline"/>
                <w:lang w:val="en-US" w:eastAsia="zh-CN"/>
              </w:rPr>
            </w:pPr>
            <w:r>
              <w:rPr>
                <w:rFonts w:hint="default" w:ascii="Times New Roman" w:hAnsi="Times New Roman" w:cs="Times New Roman"/>
                <w:sz w:val="28"/>
                <w:szCs w:val="28"/>
                <w:highlight w:val="none"/>
                <w:lang w:val="en-US" w:eastAsia="zh-CN"/>
              </w:rPr>
              <w:t>产品名称</w:t>
            </w:r>
          </w:p>
        </w:tc>
        <w:tc>
          <w:tcPr>
            <w:tcW w:w="4750" w:type="dxa"/>
            <w:tcBorders>
              <w:tl2br w:val="nil"/>
              <w:tr2bl w:val="nil"/>
            </w:tcBorders>
            <w:vAlign w:val="center"/>
          </w:tcPr>
          <w:p w14:paraId="09C7B4A6">
            <w:pPr>
              <w:pStyle w:val="2"/>
              <w:rPr>
                <w:rFonts w:hint="default" w:ascii="Times New Roman" w:hAnsi="Times New Roman" w:cs="Times New Roman"/>
                <w:highlight w:val="none"/>
                <w:u w:val="single"/>
                <w:vertAlign w:val="baseline"/>
                <w:lang w:val="en-US" w:eastAsia="zh-CN"/>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r w14:paraId="0418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7" w:type="dxa"/>
            <w:tcBorders>
              <w:tl2br w:val="nil"/>
              <w:tr2bl w:val="nil"/>
            </w:tcBorders>
            <w:vAlign w:val="center"/>
          </w:tcPr>
          <w:p w14:paraId="52B99079">
            <w:pPr>
              <w:pStyle w:val="2"/>
              <w:jc w:val="distribute"/>
              <w:rPr>
                <w:rFonts w:hint="default" w:ascii="Times New Roman" w:hAnsi="Times New Roman" w:cs="Times New Roman"/>
                <w:sz w:val="28"/>
                <w:szCs w:val="28"/>
                <w:highlight w:val="none"/>
                <w:vertAlign w:val="baseline"/>
                <w:lang w:val="en-US" w:eastAsia="zh-CN"/>
              </w:rPr>
            </w:pPr>
            <w:r>
              <w:rPr>
                <w:rFonts w:hint="default" w:ascii="Times New Roman" w:hAnsi="Times New Roman" w:cs="Times New Roman"/>
                <w:sz w:val="28"/>
                <w:szCs w:val="28"/>
                <w:highlight w:val="none"/>
                <w:lang w:val="en-US" w:eastAsia="zh-CN"/>
              </w:rPr>
              <w:t>产品规格型号</w:t>
            </w:r>
          </w:p>
        </w:tc>
        <w:tc>
          <w:tcPr>
            <w:tcW w:w="4750" w:type="dxa"/>
            <w:tcBorders>
              <w:tl2br w:val="nil"/>
              <w:tr2bl w:val="nil"/>
            </w:tcBorders>
            <w:shd w:val="clear" w:color="auto" w:fill="auto"/>
            <w:vAlign w:val="center"/>
          </w:tcPr>
          <w:p w14:paraId="65518B0C">
            <w:pPr>
              <w:pStyle w:val="2"/>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r w14:paraId="75CA5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7" w:type="dxa"/>
            <w:tcBorders>
              <w:tl2br w:val="nil"/>
              <w:tr2bl w:val="nil"/>
            </w:tcBorders>
            <w:vAlign w:val="center"/>
          </w:tcPr>
          <w:p w14:paraId="3E79BB9C">
            <w:pPr>
              <w:pStyle w:val="2"/>
              <w:jc w:val="distribute"/>
              <w:rPr>
                <w:rFonts w:hint="default" w:ascii="Times New Roman" w:hAnsi="Times New Roman" w:cs="Times New Roman"/>
                <w:sz w:val="28"/>
                <w:szCs w:val="28"/>
                <w:highlight w:val="none"/>
                <w:vertAlign w:val="baseline"/>
                <w:lang w:val="en-US" w:eastAsia="zh-CN"/>
              </w:rPr>
            </w:pPr>
            <w:r>
              <w:rPr>
                <w:rFonts w:hint="default" w:ascii="Times New Roman" w:hAnsi="Times New Roman" w:cs="Times New Roman"/>
                <w:sz w:val="28"/>
                <w:szCs w:val="28"/>
                <w:highlight w:val="none"/>
                <w:lang w:val="en-US" w:eastAsia="zh-CN"/>
              </w:rPr>
              <w:t>生产者名称</w:t>
            </w:r>
          </w:p>
        </w:tc>
        <w:tc>
          <w:tcPr>
            <w:tcW w:w="4750" w:type="dxa"/>
            <w:tcBorders>
              <w:tl2br w:val="nil"/>
              <w:tr2bl w:val="nil"/>
            </w:tcBorders>
            <w:shd w:val="clear" w:color="auto" w:fill="auto"/>
            <w:vAlign w:val="center"/>
          </w:tcPr>
          <w:p w14:paraId="7C5421AE">
            <w:pPr>
              <w:pStyle w:val="2"/>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r w14:paraId="2E1B1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7" w:type="dxa"/>
            <w:tcBorders>
              <w:tl2br w:val="nil"/>
              <w:tr2bl w:val="nil"/>
            </w:tcBorders>
            <w:vAlign w:val="center"/>
          </w:tcPr>
          <w:p w14:paraId="724682FD">
            <w:pPr>
              <w:pStyle w:val="2"/>
              <w:jc w:val="distribute"/>
              <w:rPr>
                <w:rFonts w:hint="default" w:ascii="Times New Roman" w:hAnsi="Times New Roman" w:cs="Times New Roman"/>
                <w:sz w:val="28"/>
                <w:szCs w:val="28"/>
                <w:highlight w:val="none"/>
                <w:vertAlign w:val="baseline"/>
                <w:lang w:val="en-US" w:eastAsia="zh-CN"/>
              </w:rPr>
            </w:pPr>
            <w:r>
              <w:rPr>
                <w:rFonts w:hint="default" w:ascii="Times New Roman" w:hAnsi="Times New Roman" w:cs="Times New Roman"/>
                <w:sz w:val="28"/>
                <w:szCs w:val="28"/>
                <w:highlight w:val="none"/>
                <w:lang w:val="en-US" w:eastAsia="zh-CN"/>
              </w:rPr>
              <w:t>报告编号</w:t>
            </w:r>
          </w:p>
        </w:tc>
        <w:tc>
          <w:tcPr>
            <w:tcW w:w="4750" w:type="dxa"/>
            <w:tcBorders>
              <w:tl2br w:val="nil"/>
              <w:tr2bl w:val="nil"/>
            </w:tcBorders>
            <w:shd w:val="clear" w:color="auto" w:fill="auto"/>
            <w:vAlign w:val="center"/>
          </w:tcPr>
          <w:p w14:paraId="45D14BFD">
            <w:pPr>
              <w:pStyle w:val="2"/>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bl>
    <w:p w14:paraId="5C026C3D">
      <w:pPr>
        <w:pStyle w:val="2"/>
        <w:rPr>
          <w:rFonts w:hint="default" w:ascii="Times New Roman" w:hAnsi="Times New Roman" w:cs="Times New Roman"/>
          <w:highlight w:val="none"/>
          <w:lang w:val="en-US" w:eastAsia="zh-CN"/>
        </w:rPr>
      </w:pPr>
    </w:p>
    <w:p w14:paraId="0EF06B1A">
      <w:pPr>
        <w:pStyle w:val="2"/>
        <w:rPr>
          <w:rFonts w:hint="default" w:ascii="Times New Roman" w:hAnsi="Times New Roman" w:cs="Times New Roman"/>
          <w:highlight w:val="none"/>
          <w:lang w:val="en-US" w:eastAsia="zh-CN"/>
        </w:rPr>
      </w:pPr>
    </w:p>
    <w:p w14:paraId="2A79C845">
      <w:pPr>
        <w:pStyle w:val="2"/>
        <w:rPr>
          <w:rFonts w:hint="default" w:ascii="Times New Roman" w:hAnsi="Times New Roman" w:cs="Times New Roman"/>
          <w:highlight w:val="none"/>
          <w:lang w:val="en-US" w:eastAsia="zh-CN"/>
        </w:rPr>
      </w:pPr>
    </w:p>
    <w:p w14:paraId="3D35180F">
      <w:pPr>
        <w:pStyle w:val="2"/>
        <w:rPr>
          <w:rFonts w:hint="default" w:ascii="Times New Roman" w:hAnsi="Times New Roman" w:cs="Times New Roman"/>
          <w:highlight w:val="none"/>
          <w:lang w:val="en-US" w:eastAsia="zh-CN"/>
        </w:rPr>
      </w:pPr>
    </w:p>
    <w:p w14:paraId="29D40BA1">
      <w:pPr>
        <w:pStyle w:val="2"/>
        <w:rPr>
          <w:rFonts w:hint="default" w:ascii="Times New Roman" w:hAnsi="Times New Roman" w:cs="Times New Roman"/>
          <w:highlight w:val="none"/>
          <w:lang w:val="en-US" w:eastAsia="zh-CN"/>
        </w:rPr>
      </w:pPr>
    </w:p>
    <w:p w14:paraId="43F42B45">
      <w:pPr>
        <w:pStyle w:val="2"/>
        <w:rPr>
          <w:rFonts w:hint="default" w:ascii="Times New Roman" w:hAnsi="Times New Roman" w:cs="Times New Roman"/>
          <w:highlight w:val="none"/>
          <w:lang w:val="en-US" w:eastAsia="zh-CN"/>
        </w:rPr>
      </w:pPr>
    </w:p>
    <w:p w14:paraId="7A7EDB82">
      <w:pPr>
        <w:pStyle w:val="2"/>
        <w:rPr>
          <w:rFonts w:hint="default" w:ascii="Times New Roman" w:hAnsi="Times New Roman" w:cs="Times New Roman"/>
          <w:highlight w:val="none"/>
          <w:lang w:val="en-US" w:eastAsia="zh-CN"/>
        </w:rPr>
      </w:pPr>
    </w:p>
    <w:p w14:paraId="17E3EEF4">
      <w:pPr>
        <w:pStyle w:val="2"/>
        <w:rPr>
          <w:rFonts w:hint="default" w:ascii="Times New Roman" w:hAnsi="Times New Roman" w:cs="Times New Roman"/>
          <w:highlight w:val="none"/>
          <w:lang w:val="en-US" w:eastAsia="zh-CN"/>
        </w:rPr>
      </w:pPr>
    </w:p>
    <w:p w14:paraId="7EFB988F">
      <w:pPr>
        <w:pStyle w:val="2"/>
        <w:rPr>
          <w:rFonts w:hint="default" w:ascii="Times New Roman" w:hAnsi="Times New Roman" w:cs="Times New Roman"/>
          <w:highlight w:val="none"/>
          <w:lang w:val="en-US" w:eastAsia="zh-CN"/>
        </w:rPr>
      </w:pPr>
    </w:p>
    <w:p w14:paraId="0E0525BF">
      <w:pPr>
        <w:pStyle w:val="2"/>
        <w:rPr>
          <w:rFonts w:hint="default" w:ascii="Times New Roman" w:hAnsi="Times New Roman" w:cs="Times New Roman"/>
          <w:highlight w:val="none"/>
          <w:lang w:val="en-US" w:eastAsia="zh-CN"/>
        </w:rPr>
      </w:pPr>
    </w:p>
    <w:p w14:paraId="6ECAFB34">
      <w:pPr>
        <w:pStyle w:val="2"/>
        <w:rPr>
          <w:rFonts w:hint="default" w:ascii="Times New Roman" w:hAnsi="Times New Roman" w:cs="Times New Roman"/>
          <w:highlight w:val="none"/>
          <w:lang w:val="en-US" w:eastAsia="zh-CN"/>
        </w:rPr>
      </w:pPr>
    </w:p>
    <w:p w14:paraId="0F90B22B">
      <w:pPr>
        <w:pStyle w:val="2"/>
        <w:rPr>
          <w:rFonts w:hint="default" w:ascii="Times New Roman" w:hAnsi="Times New Roman" w:cs="Times New Roman"/>
          <w:highlight w:val="none"/>
          <w:lang w:val="en-US" w:eastAsia="zh-CN"/>
        </w:rPr>
      </w:pPr>
    </w:p>
    <w:p w14:paraId="13B3E0E5">
      <w:pPr>
        <w:pStyle w:val="2"/>
        <w:rPr>
          <w:rFonts w:hint="default" w:ascii="Times New Roman" w:hAnsi="Times New Roman" w:cs="Times New Roman"/>
          <w:highlight w:val="none"/>
          <w:lang w:val="en-US" w:eastAsia="zh-CN"/>
        </w:rPr>
      </w:pPr>
    </w:p>
    <w:p w14:paraId="41ECBA52">
      <w:pPr>
        <w:pStyle w:val="2"/>
        <w:rPr>
          <w:rFonts w:hint="default" w:ascii="Times New Roman" w:hAnsi="Times New Roman" w:cs="Times New Roman"/>
          <w:highlight w:val="none"/>
          <w:lang w:val="en-US" w:eastAsia="zh-CN"/>
        </w:rPr>
      </w:pPr>
    </w:p>
    <w:p w14:paraId="3791C781">
      <w:pPr>
        <w:pStyle w:val="2"/>
        <w:rPr>
          <w:rFonts w:hint="default" w:ascii="Times New Roman" w:hAnsi="Times New Roman" w:cs="Times New Roman"/>
          <w:highlight w:val="none"/>
          <w:lang w:val="en-US" w:eastAsia="zh-CN"/>
        </w:rPr>
      </w:pPr>
    </w:p>
    <w:p w14:paraId="7D384622">
      <w:pPr>
        <w:pStyle w:val="2"/>
        <w:spacing w:line="360" w:lineRule="auto"/>
        <w:jc w:val="right"/>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出具报告机构：（若有）</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lang w:val="en-US" w:eastAsia="zh-CN"/>
        </w:rPr>
        <w:t>（盖章）</w:t>
      </w:r>
    </w:p>
    <w:p w14:paraId="4475C9CD">
      <w:pPr>
        <w:pStyle w:val="2"/>
        <w:spacing w:line="360" w:lineRule="auto"/>
        <w:jc w:val="right"/>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日期：</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lang w:val="en-US" w:eastAsia="zh-CN"/>
        </w:rPr>
        <w:t>年</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lang w:val="en-US" w:eastAsia="zh-CN"/>
        </w:rPr>
        <w:t>月</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lang w:val="en-US" w:eastAsia="zh-CN"/>
        </w:rPr>
        <w:t>日</w:t>
      </w:r>
    </w:p>
    <w:p w14:paraId="74CABC17">
      <w:pPr>
        <w:pStyle w:val="2"/>
        <w:rPr>
          <w:rFonts w:hint="default" w:ascii="Times New Roman" w:hAnsi="Times New Roman" w:cs="Times New Roman"/>
          <w:highlight w:val="none"/>
          <w:lang w:val="en-US" w:eastAsia="zh-CN"/>
        </w:rPr>
      </w:pPr>
    </w:p>
    <w:p w14:paraId="1836D413">
      <w:pPr>
        <w:pStyle w:val="2"/>
        <w:rPr>
          <w:rFonts w:hint="default" w:ascii="Times New Roman" w:hAnsi="Times New Roman" w:cs="Times New Roman"/>
          <w:highlight w:val="none"/>
          <w:lang w:val="en-US" w:eastAsia="zh-CN"/>
        </w:rPr>
      </w:pPr>
    </w:p>
    <w:p w14:paraId="6420996A">
      <w:pPr>
        <w:pStyle w:val="2"/>
        <w:rPr>
          <w:rFonts w:hint="default" w:ascii="Times New Roman" w:hAnsi="Times New Roman" w:cs="Times New Roman"/>
          <w:highlight w:val="none"/>
          <w:lang w:val="en-US" w:eastAsia="zh-CN"/>
        </w:rPr>
      </w:pPr>
    </w:p>
    <w:p w14:paraId="1A0A7451">
      <w:pPr>
        <w:pStyle w:val="2"/>
        <w:rPr>
          <w:rFonts w:hint="default" w:ascii="Times New Roman" w:hAnsi="Times New Roman" w:cs="Times New Roman"/>
          <w:highlight w:val="none"/>
          <w:lang w:val="en-US" w:eastAsia="zh-CN"/>
        </w:rPr>
      </w:pPr>
    </w:p>
    <w:p w14:paraId="7949D46F">
      <w:pPr>
        <w:pStyle w:val="2"/>
        <w:rPr>
          <w:rFonts w:hint="default" w:ascii="Times New Roman" w:hAnsi="Times New Roman" w:cs="Times New Roman"/>
          <w:highlight w:val="none"/>
          <w:lang w:val="en-US" w:eastAsia="zh-CN"/>
        </w:rPr>
        <w:sectPr>
          <w:footerReference r:id="rId18" w:type="default"/>
          <w:footerReference r:id="rId19" w:type="even"/>
          <w:pgSz w:w="11906" w:h="16838"/>
          <w:pgMar w:top="1417" w:right="1134" w:bottom="1134" w:left="1417" w:header="1417" w:footer="850" w:gutter="0"/>
          <w:pgBorders>
            <w:top w:val="none" w:sz="0" w:space="0"/>
            <w:left w:val="none" w:sz="0" w:space="0"/>
            <w:bottom w:val="none" w:sz="0" w:space="0"/>
            <w:right w:val="none" w:sz="0" w:space="0"/>
          </w:pgBorders>
          <w:pgNumType w:fmt="decimal"/>
          <w:cols w:space="425" w:num="1"/>
          <w:docGrid w:type="lines" w:linePitch="312" w:charSpace="0"/>
        </w:sectPr>
      </w:pPr>
    </w:p>
    <w:p w14:paraId="1F95DAEF">
      <w:pPr>
        <w:pStyle w:val="2"/>
        <w:spacing w:before="313" w:beforeLines="100" w:after="313" w:afterLines="100"/>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一、概况</w:t>
      </w:r>
    </w:p>
    <w:p w14:paraId="47D71CA0">
      <w:pPr>
        <w:pStyle w:val="2"/>
        <w:spacing w:after="157" w:afterLines="50"/>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1、生产者信息</w:t>
      </w:r>
    </w:p>
    <w:tbl>
      <w:tblPr>
        <w:tblStyle w:val="8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67"/>
        <w:gridCol w:w="4690"/>
      </w:tblGrid>
      <w:tr w14:paraId="00FB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67" w:type="dxa"/>
            <w:tcBorders>
              <w:tl2br w:val="nil"/>
              <w:tr2bl w:val="nil"/>
            </w:tcBorders>
          </w:tcPr>
          <w:p w14:paraId="0F6DDE3C">
            <w:pPr>
              <w:pStyle w:val="2"/>
              <w:spacing w:line="360" w:lineRule="auto"/>
              <w:jc w:val="distribute"/>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lang w:val="en-US" w:eastAsia="zh-CN"/>
              </w:rPr>
              <w:t>生产者名称</w:t>
            </w:r>
          </w:p>
        </w:tc>
        <w:tc>
          <w:tcPr>
            <w:tcW w:w="4690" w:type="dxa"/>
            <w:tcBorders>
              <w:tl2br w:val="nil"/>
              <w:tr2bl w:val="nil"/>
            </w:tcBorders>
            <w:shd w:val="clear" w:color="auto" w:fill="auto"/>
            <w:vAlign w:val="center"/>
          </w:tcPr>
          <w:p w14:paraId="120E36F1">
            <w:pPr>
              <w:pStyle w:val="2"/>
              <w:spacing w:line="360" w:lineRule="auto"/>
              <w:jc w:val="left"/>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r w14:paraId="53D09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67" w:type="dxa"/>
            <w:tcBorders>
              <w:tl2br w:val="nil"/>
              <w:tr2bl w:val="nil"/>
            </w:tcBorders>
          </w:tcPr>
          <w:p w14:paraId="7132B5A5">
            <w:pPr>
              <w:pStyle w:val="2"/>
              <w:spacing w:line="360" w:lineRule="auto"/>
              <w:jc w:val="distribute"/>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lang w:val="en-US" w:eastAsia="zh-CN"/>
              </w:rPr>
              <w:t>地址</w:t>
            </w:r>
          </w:p>
        </w:tc>
        <w:tc>
          <w:tcPr>
            <w:tcW w:w="4690" w:type="dxa"/>
            <w:tcBorders>
              <w:tl2br w:val="nil"/>
              <w:tr2bl w:val="nil"/>
            </w:tcBorders>
            <w:shd w:val="clear" w:color="auto" w:fill="auto"/>
            <w:vAlign w:val="center"/>
          </w:tcPr>
          <w:p w14:paraId="51DD5523">
            <w:pPr>
              <w:pStyle w:val="2"/>
              <w:spacing w:line="360" w:lineRule="auto"/>
              <w:jc w:val="left"/>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r w14:paraId="3806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 w:hRule="atLeast"/>
        </w:trPr>
        <w:tc>
          <w:tcPr>
            <w:tcW w:w="1767" w:type="dxa"/>
            <w:tcBorders>
              <w:tl2br w:val="nil"/>
              <w:tr2bl w:val="nil"/>
            </w:tcBorders>
          </w:tcPr>
          <w:p w14:paraId="4781E440">
            <w:pPr>
              <w:pStyle w:val="2"/>
              <w:spacing w:line="360" w:lineRule="auto"/>
              <w:jc w:val="distribute"/>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lang w:val="en-US" w:eastAsia="zh-CN"/>
              </w:rPr>
              <w:t>法定代表人</w:t>
            </w:r>
          </w:p>
        </w:tc>
        <w:tc>
          <w:tcPr>
            <w:tcW w:w="4690" w:type="dxa"/>
            <w:tcBorders>
              <w:tl2br w:val="nil"/>
              <w:tr2bl w:val="nil"/>
            </w:tcBorders>
            <w:shd w:val="clear" w:color="auto" w:fill="auto"/>
            <w:vAlign w:val="center"/>
          </w:tcPr>
          <w:p w14:paraId="4AD1F8B8">
            <w:pPr>
              <w:pStyle w:val="2"/>
              <w:spacing w:line="360" w:lineRule="auto"/>
              <w:jc w:val="left"/>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r w14:paraId="41636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67" w:type="dxa"/>
            <w:tcBorders>
              <w:tl2br w:val="nil"/>
              <w:tr2bl w:val="nil"/>
            </w:tcBorders>
          </w:tcPr>
          <w:p w14:paraId="65C4D8F3">
            <w:pPr>
              <w:pStyle w:val="2"/>
              <w:spacing w:line="360" w:lineRule="auto"/>
              <w:jc w:val="distribute"/>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lang w:val="en-US" w:eastAsia="zh-CN"/>
              </w:rPr>
              <w:t>授权人（联系人）</w:t>
            </w:r>
          </w:p>
        </w:tc>
        <w:tc>
          <w:tcPr>
            <w:tcW w:w="4690" w:type="dxa"/>
            <w:tcBorders>
              <w:tl2br w:val="nil"/>
              <w:tr2bl w:val="nil"/>
            </w:tcBorders>
            <w:shd w:val="clear" w:color="auto" w:fill="auto"/>
            <w:vAlign w:val="center"/>
          </w:tcPr>
          <w:p w14:paraId="304C649F">
            <w:pPr>
              <w:pStyle w:val="2"/>
              <w:spacing w:line="360" w:lineRule="auto"/>
              <w:jc w:val="left"/>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r w14:paraId="21C2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67" w:type="dxa"/>
            <w:tcBorders>
              <w:tl2br w:val="nil"/>
              <w:tr2bl w:val="nil"/>
            </w:tcBorders>
          </w:tcPr>
          <w:p w14:paraId="01514425">
            <w:pPr>
              <w:pStyle w:val="2"/>
              <w:spacing w:line="360" w:lineRule="auto"/>
              <w:jc w:val="distribute"/>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lang w:val="en-US" w:eastAsia="zh-CN"/>
              </w:rPr>
              <w:t>联系电话</w:t>
            </w:r>
          </w:p>
        </w:tc>
        <w:tc>
          <w:tcPr>
            <w:tcW w:w="4690" w:type="dxa"/>
            <w:tcBorders>
              <w:tl2br w:val="nil"/>
              <w:tr2bl w:val="nil"/>
            </w:tcBorders>
            <w:shd w:val="clear" w:color="auto" w:fill="auto"/>
            <w:vAlign w:val="center"/>
          </w:tcPr>
          <w:p w14:paraId="0986551C">
            <w:pPr>
              <w:pStyle w:val="2"/>
              <w:spacing w:line="360" w:lineRule="auto"/>
              <w:jc w:val="left"/>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r w14:paraId="6EF9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67" w:type="dxa"/>
            <w:tcBorders>
              <w:tl2br w:val="nil"/>
              <w:tr2bl w:val="nil"/>
            </w:tcBorders>
          </w:tcPr>
          <w:p w14:paraId="358D2678">
            <w:pPr>
              <w:pStyle w:val="2"/>
              <w:spacing w:line="360" w:lineRule="auto"/>
              <w:jc w:val="distribute"/>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lang w:val="en-US" w:eastAsia="zh-CN"/>
              </w:rPr>
              <w:t>企业概况</w:t>
            </w:r>
          </w:p>
        </w:tc>
        <w:tc>
          <w:tcPr>
            <w:tcW w:w="4690" w:type="dxa"/>
            <w:tcBorders>
              <w:tl2br w:val="nil"/>
              <w:tr2bl w:val="nil"/>
            </w:tcBorders>
            <w:shd w:val="clear" w:color="auto" w:fill="auto"/>
            <w:vAlign w:val="center"/>
          </w:tcPr>
          <w:p w14:paraId="601742F3">
            <w:pPr>
              <w:pStyle w:val="2"/>
              <w:spacing w:line="360" w:lineRule="auto"/>
              <w:jc w:val="left"/>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bl>
    <w:p w14:paraId="00BC2383">
      <w:pPr>
        <w:pStyle w:val="2"/>
        <w:spacing w:before="157" w:beforeLines="50" w:after="157" w:afterLines="50"/>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2、产品信息</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7"/>
        <w:gridCol w:w="4690"/>
      </w:tblGrid>
      <w:tr w14:paraId="63A8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tcBorders>
              <w:top w:val="nil"/>
              <w:left w:val="nil"/>
              <w:bottom w:val="nil"/>
              <w:right w:val="nil"/>
            </w:tcBorders>
          </w:tcPr>
          <w:p w14:paraId="4A4FF122">
            <w:pPr>
              <w:pStyle w:val="2"/>
              <w:spacing w:line="360" w:lineRule="auto"/>
              <w:jc w:val="distribute"/>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lang w:val="en-US" w:eastAsia="zh-CN"/>
              </w:rPr>
              <w:t>产品名称</w:t>
            </w:r>
          </w:p>
        </w:tc>
        <w:tc>
          <w:tcPr>
            <w:tcW w:w="4690" w:type="dxa"/>
            <w:tcBorders>
              <w:top w:val="nil"/>
              <w:left w:val="nil"/>
              <w:bottom w:val="nil"/>
              <w:right w:val="nil"/>
            </w:tcBorders>
            <w:shd w:val="clear" w:color="auto" w:fill="auto"/>
            <w:vAlign w:val="center"/>
          </w:tcPr>
          <w:p w14:paraId="66F6C70C">
            <w:pPr>
              <w:pStyle w:val="2"/>
              <w:spacing w:line="360" w:lineRule="auto"/>
              <w:jc w:val="left"/>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r w14:paraId="7AFE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tcBorders>
              <w:top w:val="nil"/>
              <w:left w:val="nil"/>
              <w:bottom w:val="nil"/>
              <w:right w:val="nil"/>
            </w:tcBorders>
          </w:tcPr>
          <w:p w14:paraId="378F554C">
            <w:pPr>
              <w:pStyle w:val="2"/>
              <w:spacing w:line="360" w:lineRule="auto"/>
              <w:jc w:val="distribute"/>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lang w:val="en-US" w:eastAsia="zh-CN"/>
              </w:rPr>
              <w:t>产品功能</w:t>
            </w:r>
          </w:p>
        </w:tc>
        <w:tc>
          <w:tcPr>
            <w:tcW w:w="4690" w:type="dxa"/>
            <w:tcBorders>
              <w:top w:val="nil"/>
              <w:left w:val="nil"/>
              <w:bottom w:val="nil"/>
              <w:right w:val="nil"/>
            </w:tcBorders>
            <w:shd w:val="clear" w:color="auto" w:fill="auto"/>
            <w:vAlign w:val="center"/>
          </w:tcPr>
          <w:p w14:paraId="7882F896">
            <w:pPr>
              <w:pStyle w:val="2"/>
              <w:spacing w:line="360" w:lineRule="auto"/>
              <w:jc w:val="left"/>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r w14:paraId="1A81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767" w:type="dxa"/>
            <w:tcBorders>
              <w:top w:val="nil"/>
              <w:left w:val="nil"/>
              <w:bottom w:val="nil"/>
              <w:right w:val="nil"/>
            </w:tcBorders>
          </w:tcPr>
          <w:p w14:paraId="6ED034A4">
            <w:pPr>
              <w:pStyle w:val="2"/>
              <w:spacing w:line="360" w:lineRule="auto"/>
              <w:jc w:val="distribute"/>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lang w:val="en-US" w:eastAsia="zh-CN"/>
              </w:rPr>
              <w:t>产品介绍</w:t>
            </w:r>
          </w:p>
        </w:tc>
        <w:tc>
          <w:tcPr>
            <w:tcW w:w="4690" w:type="dxa"/>
            <w:tcBorders>
              <w:top w:val="nil"/>
              <w:left w:val="nil"/>
              <w:bottom w:val="nil"/>
              <w:right w:val="nil"/>
            </w:tcBorders>
            <w:shd w:val="clear" w:color="auto" w:fill="auto"/>
            <w:vAlign w:val="center"/>
          </w:tcPr>
          <w:p w14:paraId="2E38A913">
            <w:pPr>
              <w:pStyle w:val="2"/>
              <w:spacing w:line="360" w:lineRule="auto"/>
              <w:jc w:val="left"/>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r w14:paraId="217C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tcBorders>
              <w:top w:val="nil"/>
              <w:left w:val="nil"/>
              <w:bottom w:val="nil"/>
              <w:right w:val="nil"/>
            </w:tcBorders>
          </w:tcPr>
          <w:p w14:paraId="7AF93EF5">
            <w:pPr>
              <w:pStyle w:val="2"/>
              <w:spacing w:line="360" w:lineRule="auto"/>
              <w:jc w:val="distribute"/>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lang w:val="en-US" w:eastAsia="zh-CN"/>
              </w:rPr>
              <w:t>产品图片</w:t>
            </w:r>
          </w:p>
        </w:tc>
        <w:tc>
          <w:tcPr>
            <w:tcW w:w="4690" w:type="dxa"/>
            <w:tcBorders>
              <w:top w:val="nil"/>
              <w:left w:val="nil"/>
              <w:bottom w:val="nil"/>
              <w:right w:val="nil"/>
            </w:tcBorders>
            <w:shd w:val="clear" w:color="auto" w:fill="auto"/>
            <w:vAlign w:val="center"/>
          </w:tcPr>
          <w:p w14:paraId="62A13C93">
            <w:pPr>
              <w:pStyle w:val="2"/>
              <w:spacing w:line="360" w:lineRule="auto"/>
              <w:jc w:val="left"/>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bl>
    <w:p w14:paraId="16390227">
      <w:pPr>
        <w:pStyle w:val="2"/>
        <w:spacing w:before="157" w:beforeLines="50" w:after="157" w:afterLines="50"/>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3、量化方法</w:t>
      </w:r>
    </w:p>
    <w:p w14:paraId="0228B30B">
      <w:pPr>
        <w:pStyle w:val="2"/>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依据标准：</w:t>
      </w:r>
    </w:p>
    <w:p w14:paraId="3AABCC0B">
      <w:pPr>
        <w:pStyle w:val="2"/>
        <w:spacing w:before="313" w:beforeLines="100" w:after="313" w:afterLines="100"/>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二、量化目的</w:t>
      </w:r>
    </w:p>
    <w:p w14:paraId="2B019CE8">
      <w:pPr>
        <w:pStyle w:val="2"/>
        <w:rPr>
          <w:rFonts w:hint="default" w:ascii="Times New Roman" w:hAnsi="Times New Roman" w:cs="Times New Roman"/>
          <w:highlight w:val="none"/>
          <w:lang w:val="en-US" w:eastAsia="zh-CN"/>
        </w:rPr>
      </w:pPr>
    </w:p>
    <w:p w14:paraId="4459FD65">
      <w:pPr>
        <w:pStyle w:val="2"/>
        <w:rPr>
          <w:rFonts w:hint="default" w:ascii="Times New Roman" w:hAnsi="Times New Roman" w:cs="Times New Roman"/>
          <w:highlight w:val="none"/>
          <w:lang w:val="en-US" w:eastAsia="zh-CN"/>
        </w:rPr>
      </w:pPr>
    </w:p>
    <w:p w14:paraId="3958CA33">
      <w:pPr>
        <w:rPr>
          <w:rFonts w:hint="default" w:ascii="Times New Roman" w:hAnsi="Times New Roman" w:cs="Times New Roman"/>
          <w:sz w:val="21"/>
          <w:szCs w:val="21"/>
          <w:highlight w:val="none"/>
          <w:lang w:val="en-US" w:eastAsia="zh-CN"/>
        </w:rPr>
      </w:pPr>
    </w:p>
    <w:p w14:paraId="1A34C65C">
      <w:pPr>
        <w:pStyle w:val="2"/>
        <w:spacing w:before="313" w:beforeLines="100" w:after="313" w:afterLines="100"/>
        <w:rPr>
          <w:rFonts w:hint="default" w:ascii="Times New Roman" w:hAnsi="Times New Roman" w:eastAsia="黑体" w:cs="Times New Roman"/>
          <w:sz w:val="21"/>
          <w:szCs w:val="24"/>
          <w:highlight w:val="none"/>
          <w:lang w:val="en-US" w:eastAsia="zh-CN"/>
        </w:rPr>
      </w:pPr>
      <w:r>
        <w:rPr>
          <w:rFonts w:hint="default" w:ascii="Times New Roman" w:hAnsi="Times New Roman" w:eastAsia="黑体" w:cs="Times New Roman"/>
          <w:sz w:val="21"/>
          <w:szCs w:val="24"/>
          <w:highlight w:val="none"/>
          <w:lang w:val="en-US" w:eastAsia="zh-CN"/>
        </w:rPr>
        <w:t>三、量化范围</w:t>
      </w:r>
    </w:p>
    <w:p w14:paraId="073F1097">
      <w:pPr>
        <w:pStyle w:val="2"/>
        <w:spacing w:after="157" w:afterLines="50"/>
        <w:rPr>
          <w:rFonts w:hint="default" w:ascii="Times New Roman" w:hAnsi="Times New Roman" w:eastAsia="黑体" w:cs="Times New Roman"/>
          <w:sz w:val="21"/>
          <w:szCs w:val="24"/>
          <w:highlight w:val="none"/>
          <w:lang w:val="en-US" w:eastAsia="zh-CN"/>
        </w:rPr>
      </w:pPr>
      <w:r>
        <w:rPr>
          <w:rFonts w:hint="default" w:ascii="Times New Roman" w:hAnsi="Times New Roman" w:eastAsia="黑体" w:cs="Times New Roman"/>
          <w:sz w:val="21"/>
          <w:szCs w:val="24"/>
          <w:highlight w:val="none"/>
          <w:lang w:val="en-US" w:eastAsia="zh-CN"/>
        </w:rPr>
        <w:t>1、功能单位或声明单位</w:t>
      </w:r>
    </w:p>
    <w:p w14:paraId="5091B8FA">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以</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lang w:val="en-US" w:eastAsia="zh-CN"/>
        </w:rPr>
        <w:t>为功能单位或声明单位。</w:t>
      </w:r>
    </w:p>
    <w:p w14:paraId="04335386">
      <w:pPr>
        <w:pStyle w:val="2"/>
        <w:spacing w:before="157" w:beforeLines="50" w:after="157" w:afterLines="50"/>
        <w:rPr>
          <w:rFonts w:hint="default" w:ascii="Times New Roman" w:hAnsi="Times New Roman" w:eastAsia="黑体" w:cs="Times New Roman"/>
          <w:sz w:val="21"/>
          <w:szCs w:val="24"/>
          <w:highlight w:val="none"/>
          <w:lang w:val="en-US" w:eastAsia="zh-CN"/>
        </w:rPr>
      </w:pPr>
      <w:r>
        <w:rPr>
          <w:rFonts w:hint="default" w:ascii="Times New Roman" w:hAnsi="Times New Roman" w:eastAsia="黑体" w:cs="Times New Roman"/>
          <w:sz w:val="21"/>
          <w:szCs w:val="24"/>
          <w:highlight w:val="none"/>
          <w:lang w:val="en-US" w:eastAsia="zh-CN"/>
        </w:rPr>
        <w:t>2、系统边界</w:t>
      </w:r>
    </w:p>
    <w:p w14:paraId="0CA31AB6">
      <w:pPr>
        <w:pStyle w:val="2"/>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sym w:font="Wingdings 2" w:char="00A3"/>
      </w:r>
      <w:r>
        <w:rPr>
          <w:rFonts w:hint="default" w:ascii="Times New Roman" w:hAnsi="Times New Roman" w:cs="Times New Roman"/>
          <w:highlight w:val="none"/>
          <w:lang w:val="en-US" w:eastAsia="zh-CN"/>
        </w:rPr>
        <w:t xml:space="preserve"> </w:t>
      </w:r>
      <w:r>
        <w:rPr>
          <w:rFonts w:hint="eastAsia" w:cs="Times New Roman"/>
          <w:highlight w:val="none"/>
          <w:lang w:val="en-US" w:eastAsia="zh-CN"/>
        </w:rPr>
        <w:t>原材料获取阶段</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sym w:font="Wingdings 2" w:char="00A3"/>
      </w:r>
      <w:r>
        <w:rPr>
          <w:rFonts w:hint="default" w:ascii="Times New Roman" w:hAnsi="Times New Roman" w:cs="Times New Roman"/>
          <w:highlight w:val="none"/>
          <w:lang w:val="en-US" w:eastAsia="zh-CN"/>
        </w:rPr>
        <w:t xml:space="preserve"> 制造阶段   </w:t>
      </w:r>
      <w:r>
        <w:rPr>
          <w:rFonts w:hint="default" w:ascii="Times New Roman" w:hAnsi="Times New Roman" w:cs="Times New Roman"/>
          <w:highlight w:val="none"/>
          <w:lang w:val="en-US" w:eastAsia="zh-CN"/>
        </w:rPr>
        <w:sym w:font="Wingdings 2" w:char="00A3"/>
      </w:r>
      <w:r>
        <w:rPr>
          <w:rFonts w:hint="default" w:ascii="Times New Roman" w:hAnsi="Times New Roman" w:cs="Times New Roman"/>
          <w:highlight w:val="none"/>
          <w:lang w:val="en-US" w:eastAsia="zh-CN"/>
        </w:rPr>
        <w:t xml:space="preserve"> 分销阶段   </w:t>
      </w:r>
      <w:r>
        <w:rPr>
          <w:rFonts w:hint="default" w:ascii="Times New Roman" w:hAnsi="Times New Roman" w:cs="Times New Roman"/>
          <w:highlight w:val="none"/>
          <w:lang w:val="en-US" w:eastAsia="zh-CN"/>
        </w:rPr>
        <w:sym w:font="Wingdings 2" w:char="00A3"/>
      </w:r>
      <w:r>
        <w:rPr>
          <w:rFonts w:hint="default" w:ascii="Times New Roman" w:hAnsi="Times New Roman" w:cs="Times New Roman"/>
          <w:highlight w:val="none"/>
          <w:lang w:val="en-US" w:eastAsia="zh-CN"/>
        </w:rPr>
        <w:t xml:space="preserve"> 使用阶段   </w:t>
      </w:r>
      <w:r>
        <w:rPr>
          <w:rFonts w:hint="default" w:ascii="Times New Roman" w:hAnsi="Times New Roman" w:cs="Times New Roman"/>
          <w:highlight w:val="none"/>
          <w:lang w:val="en-US" w:eastAsia="zh-CN"/>
        </w:rPr>
        <w:sym w:font="Wingdings 2" w:char="00A3"/>
      </w:r>
      <w:r>
        <w:rPr>
          <w:rFonts w:hint="default" w:ascii="Times New Roman" w:hAnsi="Times New Roman" w:cs="Times New Roman"/>
          <w:highlight w:val="none"/>
          <w:lang w:val="en-US" w:eastAsia="zh-CN"/>
        </w:rPr>
        <w:t xml:space="preserve"> 生命末期阶段</w:t>
      </w:r>
    </w:p>
    <w:p w14:paraId="40AFCC96">
      <w:pPr>
        <w:pStyle w:val="2"/>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系统边界图：</w:t>
      </w:r>
    </w:p>
    <w:p w14:paraId="3A62732B">
      <w:pPr>
        <w:pStyle w:val="2"/>
        <w:rPr>
          <w:rFonts w:hint="default" w:ascii="Times New Roman" w:hAnsi="Times New Roman" w:cs="Times New Roman"/>
          <w:highlight w:val="none"/>
          <w:lang w:val="en-US" w:eastAsia="zh-CN"/>
        </w:rPr>
      </w:pPr>
    </w:p>
    <w:p w14:paraId="69493898">
      <w:pPr>
        <w:pStyle w:val="2"/>
        <w:rPr>
          <w:rFonts w:hint="default" w:ascii="Times New Roman" w:hAnsi="Times New Roman" w:cs="Times New Roman"/>
          <w:highlight w:val="none"/>
          <w:lang w:val="en-US" w:eastAsia="zh-CN"/>
        </w:rPr>
      </w:pPr>
    </w:p>
    <w:p w14:paraId="0521DC0C">
      <w:pPr>
        <w:pStyle w:val="2"/>
        <w:rPr>
          <w:rFonts w:hint="default" w:ascii="Times New Roman" w:hAnsi="Times New Roman" w:cs="Times New Roman"/>
          <w:highlight w:val="none"/>
          <w:lang w:val="en-US" w:eastAsia="zh-CN"/>
        </w:rPr>
      </w:pPr>
    </w:p>
    <w:p w14:paraId="14775E73">
      <w:pPr>
        <w:pStyle w:val="2"/>
        <w:rPr>
          <w:rFonts w:hint="default" w:ascii="Times New Roman" w:hAnsi="Times New Roman" w:cs="Times New Roman"/>
          <w:sz w:val="21"/>
          <w:szCs w:val="21"/>
          <w:highlight w:val="none"/>
          <w:lang w:val="en-US" w:eastAsia="zh-CN"/>
        </w:rPr>
      </w:pPr>
    </w:p>
    <w:p w14:paraId="3D72BA78">
      <w:pPr>
        <w:pStyle w:val="2"/>
        <w:rPr>
          <w:rFonts w:hint="default" w:ascii="Times New Roman" w:hAnsi="Times New Roman" w:cs="Times New Roman"/>
          <w:sz w:val="21"/>
          <w:szCs w:val="21"/>
          <w:highlight w:val="none"/>
          <w:lang w:val="en-US" w:eastAsia="zh-CN"/>
        </w:rPr>
      </w:pPr>
    </w:p>
    <w:p w14:paraId="0FD10543">
      <w:pPr>
        <w:pStyle w:val="2"/>
        <w:rPr>
          <w:rFonts w:hint="default" w:ascii="Times New Roman" w:hAnsi="Times New Roman" w:cs="Times New Roman"/>
          <w:sz w:val="21"/>
          <w:szCs w:val="21"/>
          <w:highlight w:val="none"/>
          <w:lang w:val="en-US" w:eastAsia="zh-CN"/>
        </w:rPr>
      </w:pPr>
    </w:p>
    <w:p w14:paraId="39587E03">
      <w:pPr>
        <w:pStyle w:val="2"/>
        <w:rPr>
          <w:rFonts w:hint="default" w:ascii="Times New Roman" w:hAnsi="Times New Roman" w:cs="Times New Roman"/>
          <w:sz w:val="21"/>
          <w:szCs w:val="21"/>
          <w:highlight w:val="none"/>
          <w:lang w:val="en-US" w:eastAsia="zh-CN"/>
        </w:rPr>
      </w:pPr>
    </w:p>
    <w:p w14:paraId="49963D3B">
      <w:pPr>
        <w:pStyle w:val="2"/>
        <w:rPr>
          <w:rFonts w:hint="default" w:ascii="Times New Roman" w:hAnsi="Times New Roman" w:cs="Times New Roman"/>
          <w:sz w:val="21"/>
          <w:szCs w:val="21"/>
          <w:highlight w:val="none"/>
          <w:lang w:val="en-US" w:eastAsia="zh-CN"/>
        </w:rPr>
      </w:pPr>
    </w:p>
    <w:p w14:paraId="1BACA0D1">
      <w:pPr>
        <w:pStyle w:val="2"/>
        <w:rPr>
          <w:rFonts w:hint="default" w:ascii="Times New Roman" w:hAnsi="Times New Roman" w:cs="Times New Roman"/>
          <w:sz w:val="21"/>
          <w:szCs w:val="21"/>
          <w:highlight w:val="none"/>
          <w:lang w:val="en-US" w:eastAsia="zh-CN"/>
        </w:rPr>
      </w:pPr>
    </w:p>
    <w:p w14:paraId="1918DE98">
      <w:pPr>
        <w:pStyle w:val="2"/>
        <w:spacing w:before="157" w:beforeLines="50" w:after="157" w:afterLines="50"/>
        <w:rPr>
          <w:rFonts w:hint="default" w:ascii="Times New Roman" w:hAnsi="Times New Roman" w:eastAsia="黑体" w:cs="Times New Roman"/>
          <w:sz w:val="21"/>
          <w:szCs w:val="24"/>
          <w:highlight w:val="none"/>
          <w:lang w:val="en-US" w:eastAsia="zh-CN"/>
        </w:rPr>
      </w:pPr>
      <w:r>
        <w:rPr>
          <w:rFonts w:hint="default" w:ascii="Times New Roman" w:hAnsi="Times New Roman" w:eastAsia="黑体" w:cs="Times New Roman"/>
          <w:sz w:val="21"/>
          <w:szCs w:val="24"/>
          <w:highlight w:val="none"/>
          <w:lang w:val="en-US" w:eastAsia="zh-CN"/>
        </w:rPr>
        <w:t>3、取舍准则</w:t>
      </w:r>
    </w:p>
    <w:p w14:paraId="50B0E23E">
      <w:pPr>
        <w:pStyle w:val="2"/>
        <w:spacing w:line="360" w:lineRule="auto"/>
        <w:ind w:firstLine="420" w:firstLineChars="200"/>
        <w:rPr>
          <w:rFonts w:hint="default" w:ascii="Times New Roman" w:hAnsi="Times New Roman" w:cs="Times New Roman"/>
          <w:sz w:val="21"/>
          <w:szCs w:val="21"/>
          <w:highlight w:val="none"/>
          <w:u w:val="none"/>
          <w:lang w:val="en-US" w:eastAsia="zh-CN"/>
        </w:rPr>
      </w:pPr>
      <w:r>
        <w:rPr>
          <w:rFonts w:hint="default" w:ascii="Times New Roman" w:hAnsi="Times New Roman" w:cs="Times New Roman"/>
          <w:sz w:val="21"/>
          <w:szCs w:val="21"/>
          <w:highlight w:val="none"/>
          <w:lang w:val="en-US" w:eastAsia="zh-CN"/>
        </w:rPr>
        <w:t>采用的取舍准则以</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u w:val="none"/>
          <w:lang w:val="en-US" w:eastAsia="zh-CN"/>
        </w:rPr>
        <w:t>依据，具体规则如下：</w:t>
      </w:r>
    </w:p>
    <w:p w14:paraId="2F21C22E">
      <w:pPr>
        <w:pStyle w:val="2"/>
        <w:rPr>
          <w:rFonts w:hint="default" w:ascii="Times New Roman" w:hAnsi="Times New Roman" w:cs="Times New Roman"/>
          <w:sz w:val="21"/>
          <w:szCs w:val="21"/>
          <w:highlight w:val="none"/>
          <w:lang w:val="en-US" w:eastAsia="zh-CN"/>
        </w:rPr>
      </w:pPr>
    </w:p>
    <w:p w14:paraId="5CD47110">
      <w:pPr>
        <w:pStyle w:val="2"/>
        <w:rPr>
          <w:rFonts w:hint="default" w:ascii="Times New Roman" w:hAnsi="Times New Roman" w:cs="Times New Roman"/>
          <w:sz w:val="21"/>
          <w:szCs w:val="21"/>
          <w:highlight w:val="none"/>
          <w:lang w:val="en-US" w:eastAsia="zh-CN"/>
        </w:rPr>
      </w:pPr>
    </w:p>
    <w:p w14:paraId="0DA97BF6">
      <w:pPr>
        <w:pStyle w:val="2"/>
        <w:rPr>
          <w:rFonts w:hint="default" w:ascii="Times New Roman" w:hAnsi="Times New Roman" w:cs="Times New Roman"/>
          <w:sz w:val="21"/>
          <w:szCs w:val="21"/>
          <w:highlight w:val="none"/>
          <w:lang w:val="en-US" w:eastAsia="zh-CN"/>
        </w:rPr>
      </w:pPr>
    </w:p>
    <w:p w14:paraId="75156F7B">
      <w:pPr>
        <w:pStyle w:val="2"/>
        <w:spacing w:before="157" w:beforeLines="50" w:after="157" w:afterLines="50"/>
        <w:rPr>
          <w:rFonts w:hint="default" w:ascii="Times New Roman" w:hAnsi="Times New Roman" w:eastAsia="黑体" w:cs="Times New Roman"/>
          <w:sz w:val="21"/>
          <w:szCs w:val="24"/>
          <w:highlight w:val="none"/>
          <w:lang w:val="en-US" w:eastAsia="zh-CN"/>
        </w:rPr>
      </w:pPr>
      <w:r>
        <w:rPr>
          <w:rFonts w:hint="default" w:ascii="Times New Roman" w:hAnsi="Times New Roman" w:eastAsia="黑体" w:cs="Times New Roman"/>
          <w:sz w:val="21"/>
          <w:szCs w:val="24"/>
          <w:highlight w:val="none"/>
          <w:lang w:val="en-US" w:eastAsia="zh-CN"/>
        </w:rPr>
        <w:t>4、时间范围</w:t>
      </w:r>
    </w:p>
    <w:p w14:paraId="5871D880">
      <w:pPr>
        <w:pStyle w:val="2"/>
        <w:ind w:firstLine="420" w:firstLineChars="200"/>
        <w:rPr>
          <w:rFonts w:hint="default" w:ascii="Times New Roman" w:hAnsi="Times New Roman" w:cs="Times New Roman"/>
          <w:sz w:val="21"/>
          <w:szCs w:val="21"/>
          <w:highlight w:val="none"/>
          <w:u w:val="none"/>
          <w:lang w:val="en-US" w:eastAsia="zh-CN"/>
        </w:rPr>
      </w:pP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u w:val="none"/>
          <w:lang w:val="en-US" w:eastAsia="zh-CN"/>
        </w:rPr>
        <w:t>年度。</w:t>
      </w:r>
    </w:p>
    <w:p w14:paraId="5AE2C759">
      <w:pPr>
        <w:pStyle w:val="2"/>
        <w:spacing w:before="313" w:beforeLines="100" w:after="313" w:afterLines="100"/>
        <w:rPr>
          <w:rFonts w:hint="default" w:ascii="Times New Roman" w:hAnsi="Times New Roman" w:eastAsia="黑体" w:cs="Times New Roman"/>
          <w:sz w:val="21"/>
          <w:szCs w:val="24"/>
          <w:highlight w:val="none"/>
          <w:lang w:val="en-US" w:eastAsia="zh-CN"/>
        </w:rPr>
      </w:pPr>
      <w:r>
        <w:rPr>
          <w:rFonts w:hint="default" w:ascii="Times New Roman" w:hAnsi="Times New Roman" w:eastAsia="黑体" w:cs="Times New Roman"/>
          <w:sz w:val="21"/>
          <w:szCs w:val="24"/>
          <w:highlight w:val="none"/>
          <w:lang w:val="en-US" w:eastAsia="zh-CN"/>
        </w:rPr>
        <w:t>四、清单分析</w:t>
      </w:r>
    </w:p>
    <w:p w14:paraId="3BEC2621">
      <w:pPr>
        <w:pStyle w:val="2"/>
        <w:spacing w:after="157" w:afterLines="50"/>
        <w:rPr>
          <w:rFonts w:hint="default" w:ascii="Times New Roman" w:hAnsi="Times New Roman" w:eastAsia="黑体" w:cs="Times New Roman"/>
          <w:sz w:val="21"/>
          <w:szCs w:val="24"/>
          <w:highlight w:val="none"/>
          <w:lang w:val="en-US" w:eastAsia="zh-CN"/>
        </w:rPr>
      </w:pPr>
      <w:r>
        <w:rPr>
          <w:rFonts w:hint="default" w:ascii="Times New Roman" w:hAnsi="Times New Roman" w:eastAsia="黑体" w:cs="Times New Roman"/>
          <w:sz w:val="21"/>
          <w:szCs w:val="24"/>
          <w:highlight w:val="none"/>
          <w:lang w:val="en-US" w:eastAsia="zh-CN"/>
        </w:rPr>
        <w:t>1、数据来源说明</w:t>
      </w:r>
    </w:p>
    <w:p w14:paraId="74592369">
      <w:pPr>
        <w:pStyle w:val="2"/>
        <w:spacing w:line="360" w:lineRule="auto"/>
        <w:ind w:firstLine="420" w:firstLineChars="200"/>
        <w:rPr>
          <w:rFonts w:hint="default" w:ascii="Times New Roman" w:hAnsi="Times New Roman" w:cs="Times New Roman"/>
          <w:sz w:val="21"/>
          <w:szCs w:val="21"/>
          <w:highlight w:val="none"/>
          <w:u w:val="none"/>
          <w:lang w:val="en-US" w:eastAsia="zh-CN"/>
        </w:rPr>
      </w:pPr>
      <w:r>
        <w:rPr>
          <w:rFonts w:hint="default" w:ascii="Times New Roman" w:hAnsi="Times New Roman" w:cs="Times New Roman"/>
          <w:sz w:val="21"/>
          <w:szCs w:val="21"/>
          <w:highlight w:val="none"/>
          <w:lang w:val="en-US" w:eastAsia="zh-CN"/>
        </w:rPr>
        <w:t>初级数据：</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u w:val="none"/>
          <w:lang w:val="en-US" w:eastAsia="zh-CN"/>
        </w:rPr>
        <w:t>；</w:t>
      </w:r>
    </w:p>
    <w:p w14:paraId="042E375F">
      <w:pPr>
        <w:pStyle w:val="2"/>
        <w:spacing w:line="360" w:lineRule="auto"/>
        <w:ind w:firstLine="420" w:firstLineChars="200"/>
        <w:rPr>
          <w:rFonts w:hint="default" w:ascii="Times New Roman" w:hAnsi="Times New Roman" w:cs="Times New Roman"/>
          <w:sz w:val="21"/>
          <w:szCs w:val="21"/>
          <w:highlight w:val="none"/>
          <w:u w:val="none"/>
          <w:lang w:val="en-US" w:eastAsia="zh-CN"/>
        </w:rPr>
      </w:pPr>
      <w:r>
        <w:rPr>
          <w:rFonts w:hint="default" w:ascii="Times New Roman" w:hAnsi="Times New Roman" w:cs="Times New Roman"/>
          <w:sz w:val="21"/>
          <w:szCs w:val="21"/>
          <w:highlight w:val="none"/>
          <w:u w:val="none"/>
          <w:lang w:val="en-US" w:eastAsia="zh-CN"/>
        </w:rPr>
        <w:t>次级数据：</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u w:val="none"/>
          <w:lang w:val="en-US" w:eastAsia="zh-CN"/>
        </w:rPr>
        <w:t>。</w:t>
      </w:r>
    </w:p>
    <w:p w14:paraId="64D7ADC1">
      <w:pPr>
        <w:pStyle w:val="2"/>
        <w:spacing w:before="157" w:beforeLines="50" w:after="157" w:afterLines="50"/>
        <w:rPr>
          <w:rFonts w:hint="default" w:ascii="Times New Roman" w:hAnsi="Times New Roman" w:eastAsia="黑体" w:cs="Times New Roman"/>
          <w:sz w:val="21"/>
          <w:szCs w:val="24"/>
          <w:highlight w:val="none"/>
          <w:lang w:val="en-US" w:eastAsia="zh-CN"/>
        </w:rPr>
      </w:pPr>
      <w:r>
        <w:rPr>
          <w:rFonts w:hint="default" w:ascii="Times New Roman" w:hAnsi="Times New Roman" w:eastAsia="黑体" w:cs="Times New Roman"/>
          <w:sz w:val="21"/>
          <w:szCs w:val="24"/>
          <w:highlight w:val="none"/>
          <w:u w:val="none"/>
          <w:lang w:val="en-US" w:eastAsia="zh-CN"/>
        </w:rPr>
        <w:t>2、分配原则与程序</w:t>
      </w:r>
    </w:p>
    <w:p w14:paraId="61871E6C">
      <w:pPr>
        <w:pStyle w:val="2"/>
        <w:spacing w:line="360" w:lineRule="auto"/>
        <w:ind w:firstLine="420" w:firstLineChars="200"/>
        <w:rPr>
          <w:rFonts w:hint="default" w:ascii="Times New Roman" w:hAnsi="Times New Roman" w:cs="Times New Roman"/>
          <w:sz w:val="21"/>
          <w:szCs w:val="21"/>
          <w:highlight w:val="none"/>
          <w:u w:val="none"/>
          <w:lang w:val="en-US" w:eastAsia="zh-CN"/>
        </w:rPr>
      </w:pPr>
      <w:r>
        <w:rPr>
          <w:rFonts w:hint="default" w:ascii="Times New Roman" w:hAnsi="Times New Roman" w:cs="Times New Roman"/>
          <w:sz w:val="21"/>
          <w:szCs w:val="21"/>
          <w:highlight w:val="none"/>
          <w:lang w:val="en-US" w:eastAsia="zh-CN"/>
        </w:rPr>
        <w:t>分配原则：</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u w:val="none"/>
          <w:lang w:val="en-US" w:eastAsia="zh-CN"/>
        </w:rPr>
        <w:t>；</w:t>
      </w:r>
    </w:p>
    <w:p w14:paraId="1422FADF">
      <w:pPr>
        <w:pStyle w:val="2"/>
        <w:spacing w:line="360" w:lineRule="auto"/>
        <w:ind w:firstLine="420" w:firstLineChars="200"/>
        <w:rPr>
          <w:rFonts w:hint="default" w:ascii="Times New Roman" w:hAnsi="Times New Roman" w:cs="Times New Roman"/>
          <w:sz w:val="21"/>
          <w:szCs w:val="21"/>
          <w:highlight w:val="none"/>
          <w:u w:val="none"/>
          <w:lang w:val="en-US" w:eastAsia="zh-CN"/>
        </w:rPr>
      </w:pPr>
      <w:r>
        <w:rPr>
          <w:rFonts w:hint="default" w:ascii="Times New Roman" w:hAnsi="Times New Roman" w:cs="Times New Roman"/>
          <w:sz w:val="21"/>
          <w:szCs w:val="21"/>
          <w:highlight w:val="none"/>
          <w:u w:val="none"/>
          <w:lang w:val="en-US" w:eastAsia="zh-CN"/>
        </w:rPr>
        <w:t>分配程序：</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u w:val="none"/>
          <w:lang w:val="en-US" w:eastAsia="zh-CN"/>
        </w:rPr>
        <w:t>。</w:t>
      </w:r>
    </w:p>
    <w:p w14:paraId="62494AE2">
      <w:pPr>
        <w:pStyle w:val="2"/>
        <w:spacing w:line="360" w:lineRule="auto"/>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u w:val="none"/>
          <w:lang w:val="en-US" w:eastAsia="zh-CN"/>
        </w:rPr>
        <w:t>具体分配情况如下：</w:t>
      </w:r>
    </w:p>
    <w:p w14:paraId="30DE8376">
      <w:pPr>
        <w:pStyle w:val="2"/>
        <w:rPr>
          <w:rFonts w:hint="default" w:ascii="Times New Roman" w:hAnsi="Times New Roman" w:cs="Times New Roman"/>
          <w:sz w:val="21"/>
          <w:szCs w:val="21"/>
          <w:highlight w:val="none"/>
          <w:lang w:val="en-US" w:eastAsia="zh-CN"/>
        </w:rPr>
      </w:pPr>
    </w:p>
    <w:p w14:paraId="1D6B146B">
      <w:pPr>
        <w:pStyle w:val="2"/>
        <w:spacing w:before="157" w:beforeLines="50" w:after="157" w:afterLines="50"/>
        <w:rPr>
          <w:rFonts w:hint="default" w:ascii="Times New Roman" w:hAnsi="Times New Roman" w:eastAsia="黑体" w:cs="Times New Roman"/>
          <w:sz w:val="21"/>
          <w:szCs w:val="24"/>
          <w:highlight w:val="none"/>
          <w:u w:val="none"/>
          <w:lang w:val="en-US" w:eastAsia="zh-CN"/>
        </w:rPr>
      </w:pPr>
      <w:r>
        <w:rPr>
          <w:rFonts w:hint="default" w:ascii="Times New Roman" w:hAnsi="Times New Roman" w:eastAsia="黑体" w:cs="Times New Roman"/>
          <w:sz w:val="21"/>
          <w:szCs w:val="24"/>
          <w:highlight w:val="none"/>
          <w:u w:val="none"/>
          <w:lang w:val="en-US" w:eastAsia="zh-CN"/>
        </w:rPr>
        <w:t>3、清单结果及计算</w:t>
      </w:r>
    </w:p>
    <w:p w14:paraId="488C6E70">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生命周期各个阶段碳排放计算说明见表1。</w:t>
      </w:r>
    </w:p>
    <w:p w14:paraId="4D4D0133">
      <w:pPr>
        <w:jc w:val="center"/>
        <w:rPr>
          <w:rFonts w:hint="default" w:ascii="Times New Roman" w:hAnsi="Times New Roman" w:eastAsia="黑体" w:cs="Times New Roman"/>
          <w:sz w:val="21"/>
          <w:szCs w:val="21"/>
          <w:highlight w:val="none"/>
          <w:u w:val="none"/>
          <w:lang w:val="en-US" w:eastAsia="zh-CN"/>
        </w:rPr>
      </w:pPr>
      <w:r>
        <w:rPr>
          <w:rFonts w:hint="default" w:ascii="Times New Roman" w:hAnsi="Times New Roman" w:eastAsia="黑体" w:cs="Times New Roman"/>
          <w:sz w:val="21"/>
          <w:szCs w:val="21"/>
          <w:highlight w:val="none"/>
          <w:lang w:val="en-US" w:eastAsia="zh-CN"/>
        </w:rPr>
        <w:t xml:space="preserve">表1 </w:t>
      </w:r>
      <w:r>
        <w:rPr>
          <w:rFonts w:hint="default" w:ascii="Times New Roman" w:hAnsi="Times New Roman" w:eastAsia="黑体" w:cs="Times New Roman"/>
          <w:sz w:val="21"/>
          <w:szCs w:val="21"/>
          <w:highlight w:val="none"/>
          <w:u w:val="single"/>
          <w:lang w:val="en-US" w:eastAsia="zh-CN"/>
        </w:rPr>
        <w:t xml:space="preserve">                   </w:t>
      </w:r>
      <w:r>
        <w:rPr>
          <w:rFonts w:hint="default" w:ascii="Times New Roman" w:hAnsi="Times New Roman" w:eastAsia="黑体" w:cs="Times New Roman"/>
          <w:sz w:val="21"/>
          <w:szCs w:val="21"/>
          <w:highlight w:val="none"/>
          <w:u w:val="none"/>
          <w:lang w:val="en-US" w:eastAsia="zh-CN"/>
        </w:rPr>
        <w:t>生命周期碳排放清单说明</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1880"/>
        <w:gridCol w:w="1940"/>
        <w:gridCol w:w="2818"/>
      </w:tblGrid>
      <w:tr w14:paraId="25ED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Align w:val="center"/>
          </w:tcPr>
          <w:p w14:paraId="6C271FA5">
            <w:pPr>
              <w:pStyle w:val="2"/>
              <w:spacing w:line="240" w:lineRule="auto"/>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生命周期阶段</w:t>
            </w:r>
          </w:p>
        </w:tc>
        <w:tc>
          <w:tcPr>
            <w:tcW w:w="1880" w:type="dxa"/>
            <w:vAlign w:val="center"/>
          </w:tcPr>
          <w:p w14:paraId="37100DAD">
            <w:pPr>
              <w:pStyle w:val="2"/>
              <w:spacing w:line="240" w:lineRule="auto"/>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活动数据</w:t>
            </w:r>
          </w:p>
        </w:tc>
        <w:tc>
          <w:tcPr>
            <w:tcW w:w="1940" w:type="dxa"/>
            <w:vAlign w:val="center"/>
          </w:tcPr>
          <w:p w14:paraId="77472340">
            <w:pPr>
              <w:pStyle w:val="2"/>
              <w:spacing w:line="240" w:lineRule="auto"/>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排放因子</w:t>
            </w:r>
          </w:p>
        </w:tc>
        <w:tc>
          <w:tcPr>
            <w:tcW w:w="2818" w:type="dxa"/>
            <w:vAlign w:val="center"/>
          </w:tcPr>
          <w:p w14:paraId="592CC69F">
            <w:pPr>
              <w:pStyle w:val="2"/>
              <w:spacing w:line="240" w:lineRule="auto"/>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温室气体排放量</w:t>
            </w:r>
          </w:p>
          <w:p w14:paraId="35BC88CD">
            <w:pPr>
              <w:pStyle w:val="2"/>
              <w:spacing w:line="240" w:lineRule="auto"/>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（kg/功能单位或声明单位）</w:t>
            </w:r>
          </w:p>
        </w:tc>
      </w:tr>
      <w:tr w14:paraId="1EE9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Merge w:val="restart"/>
            <w:vAlign w:val="center"/>
          </w:tcPr>
          <w:p w14:paraId="7C0F624A">
            <w:pPr>
              <w:pStyle w:val="2"/>
              <w:spacing w:line="240" w:lineRule="auto"/>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原材料获取</w:t>
            </w:r>
          </w:p>
        </w:tc>
        <w:tc>
          <w:tcPr>
            <w:tcW w:w="1880" w:type="dxa"/>
            <w:vAlign w:val="center"/>
          </w:tcPr>
          <w:p w14:paraId="6CEF168F">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940" w:type="dxa"/>
            <w:vAlign w:val="center"/>
          </w:tcPr>
          <w:p w14:paraId="0378815C">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2818" w:type="dxa"/>
            <w:vAlign w:val="center"/>
          </w:tcPr>
          <w:p w14:paraId="3C36EA92">
            <w:pPr>
              <w:pStyle w:val="2"/>
              <w:spacing w:line="240" w:lineRule="auto"/>
              <w:jc w:val="center"/>
              <w:rPr>
                <w:rFonts w:hint="default" w:ascii="Times New Roman" w:hAnsi="Times New Roman" w:cs="Times New Roman"/>
                <w:sz w:val="18"/>
                <w:szCs w:val="18"/>
                <w:highlight w:val="none"/>
                <w:vertAlign w:val="baseline"/>
                <w:lang w:val="en-US" w:eastAsia="zh-CN"/>
              </w:rPr>
            </w:pPr>
          </w:p>
        </w:tc>
      </w:tr>
      <w:tr w14:paraId="38E3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Merge w:val="continue"/>
            <w:vAlign w:val="center"/>
          </w:tcPr>
          <w:p w14:paraId="46CF194B">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880" w:type="dxa"/>
            <w:vAlign w:val="center"/>
          </w:tcPr>
          <w:p w14:paraId="4531E503">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940" w:type="dxa"/>
            <w:vAlign w:val="center"/>
          </w:tcPr>
          <w:p w14:paraId="7DADC6B3">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2818" w:type="dxa"/>
            <w:vAlign w:val="center"/>
          </w:tcPr>
          <w:p w14:paraId="0CF2B717">
            <w:pPr>
              <w:pStyle w:val="2"/>
              <w:spacing w:line="240" w:lineRule="auto"/>
              <w:jc w:val="center"/>
              <w:rPr>
                <w:rFonts w:hint="default" w:ascii="Times New Roman" w:hAnsi="Times New Roman" w:cs="Times New Roman"/>
                <w:sz w:val="18"/>
                <w:szCs w:val="18"/>
                <w:highlight w:val="none"/>
                <w:vertAlign w:val="baseline"/>
                <w:lang w:val="en-US" w:eastAsia="zh-CN"/>
              </w:rPr>
            </w:pPr>
          </w:p>
        </w:tc>
      </w:tr>
      <w:tr w14:paraId="2206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Merge w:val="continue"/>
            <w:vAlign w:val="center"/>
          </w:tcPr>
          <w:p w14:paraId="73BD4761">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880" w:type="dxa"/>
            <w:vAlign w:val="center"/>
          </w:tcPr>
          <w:p w14:paraId="5B20A092">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940" w:type="dxa"/>
            <w:vAlign w:val="center"/>
          </w:tcPr>
          <w:p w14:paraId="4A2CC780">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2818" w:type="dxa"/>
            <w:vAlign w:val="center"/>
          </w:tcPr>
          <w:p w14:paraId="3494C683">
            <w:pPr>
              <w:pStyle w:val="2"/>
              <w:spacing w:line="240" w:lineRule="auto"/>
              <w:jc w:val="center"/>
              <w:rPr>
                <w:rFonts w:hint="default" w:ascii="Times New Roman" w:hAnsi="Times New Roman" w:cs="Times New Roman"/>
                <w:sz w:val="18"/>
                <w:szCs w:val="18"/>
                <w:highlight w:val="none"/>
                <w:vertAlign w:val="baseline"/>
                <w:lang w:val="en-US" w:eastAsia="zh-CN"/>
              </w:rPr>
            </w:pPr>
          </w:p>
        </w:tc>
      </w:tr>
      <w:tr w14:paraId="1124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Merge w:val="restart"/>
            <w:vAlign w:val="center"/>
          </w:tcPr>
          <w:p w14:paraId="7D51B766">
            <w:pPr>
              <w:pStyle w:val="2"/>
              <w:spacing w:line="240" w:lineRule="auto"/>
              <w:jc w:val="center"/>
              <w:rPr>
                <w:rFonts w:hint="default" w:ascii="Times New Roman" w:hAnsi="Times New Roman"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产品</w:t>
            </w:r>
            <w:r>
              <w:rPr>
                <w:rFonts w:hint="default" w:ascii="Times New Roman" w:hAnsi="Times New Roman" w:cs="Times New Roman"/>
                <w:sz w:val="18"/>
                <w:szCs w:val="18"/>
                <w:highlight w:val="none"/>
                <w:vertAlign w:val="baseline"/>
                <w:lang w:val="en-US" w:eastAsia="zh-CN"/>
              </w:rPr>
              <w:t>制造</w:t>
            </w:r>
          </w:p>
        </w:tc>
        <w:tc>
          <w:tcPr>
            <w:tcW w:w="1880" w:type="dxa"/>
            <w:vAlign w:val="center"/>
          </w:tcPr>
          <w:p w14:paraId="38083FB1">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940" w:type="dxa"/>
            <w:vAlign w:val="center"/>
          </w:tcPr>
          <w:p w14:paraId="7C9CF7AC">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2818" w:type="dxa"/>
            <w:vAlign w:val="center"/>
          </w:tcPr>
          <w:p w14:paraId="4F558CB0">
            <w:pPr>
              <w:pStyle w:val="2"/>
              <w:spacing w:line="240" w:lineRule="auto"/>
              <w:jc w:val="center"/>
              <w:rPr>
                <w:rFonts w:hint="default" w:ascii="Times New Roman" w:hAnsi="Times New Roman" w:cs="Times New Roman"/>
                <w:sz w:val="18"/>
                <w:szCs w:val="18"/>
                <w:highlight w:val="none"/>
                <w:vertAlign w:val="baseline"/>
                <w:lang w:val="en-US" w:eastAsia="zh-CN"/>
              </w:rPr>
            </w:pPr>
          </w:p>
        </w:tc>
      </w:tr>
      <w:tr w14:paraId="5933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Merge w:val="continue"/>
            <w:vAlign w:val="center"/>
          </w:tcPr>
          <w:p w14:paraId="730C651F">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880" w:type="dxa"/>
            <w:vAlign w:val="center"/>
          </w:tcPr>
          <w:p w14:paraId="50046D21">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940" w:type="dxa"/>
            <w:vAlign w:val="center"/>
          </w:tcPr>
          <w:p w14:paraId="2AF8651E">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2818" w:type="dxa"/>
            <w:vAlign w:val="center"/>
          </w:tcPr>
          <w:p w14:paraId="47AA1AAF">
            <w:pPr>
              <w:pStyle w:val="2"/>
              <w:spacing w:line="240" w:lineRule="auto"/>
              <w:jc w:val="center"/>
              <w:rPr>
                <w:rFonts w:hint="default" w:ascii="Times New Roman" w:hAnsi="Times New Roman" w:cs="Times New Roman"/>
                <w:sz w:val="18"/>
                <w:szCs w:val="18"/>
                <w:highlight w:val="none"/>
                <w:vertAlign w:val="baseline"/>
                <w:lang w:val="en-US" w:eastAsia="zh-CN"/>
              </w:rPr>
            </w:pPr>
          </w:p>
        </w:tc>
      </w:tr>
      <w:tr w14:paraId="4A01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Merge w:val="continue"/>
            <w:vAlign w:val="center"/>
          </w:tcPr>
          <w:p w14:paraId="527F0095">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880" w:type="dxa"/>
            <w:vAlign w:val="center"/>
          </w:tcPr>
          <w:p w14:paraId="2C754EC0">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940" w:type="dxa"/>
            <w:vAlign w:val="center"/>
          </w:tcPr>
          <w:p w14:paraId="630E3BDD">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2818" w:type="dxa"/>
            <w:vAlign w:val="center"/>
          </w:tcPr>
          <w:p w14:paraId="6C1E2347">
            <w:pPr>
              <w:pStyle w:val="2"/>
              <w:spacing w:line="240" w:lineRule="auto"/>
              <w:jc w:val="center"/>
              <w:rPr>
                <w:rFonts w:hint="default" w:ascii="Times New Roman" w:hAnsi="Times New Roman" w:cs="Times New Roman"/>
                <w:sz w:val="18"/>
                <w:szCs w:val="18"/>
                <w:highlight w:val="none"/>
                <w:vertAlign w:val="baseline"/>
                <w:lang w:val="en-US" w:eastAsia="zh-CN"/>
              </w:rPr>
            </w:pPr>
          </w:p>
        </w:tc>
      </w:tr>
      <w:tr w14:paraId="72CF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Merge w:val="continue"/>
            <w:vAlign w:val="center"/>
          </w:tcPr>
          <w:p w14:paraId="20FAD256">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880" w:type="dxa"/>
            <w:vAlign w:val="center"/>
          </w:tcPr>
          <w:p w14:paraId="13DC283F">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940" w:type="dxa"/>
            <w:vAlign w:val="center"/>
          </w:tcPr>
          <w:p w14:paraId="278F6CDD">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2818" w:type="dxa"/>
            <w:vAlign w:val="center"/>
          </w:tcPr>
          <w:p w14:paraId="4D97F708">
            <w:pPr>
              <w:pStyle w:val="2"/>
              <w:spacing w:line="240" w:lineRule="auto"/>
              <w:jc w:val="center"/>
              <w:rPr>
                <w:rFonts w:hint="default" w:ascii="Times New Roman" w:hAnsi="Times New Roman" w:cs="Times New Roman"/>
                <w:sz w:val="18"/>
                <w:szCs w:val="18"/>
                <w:highlight w:val="none"/>
                <w:vertAlign w:val="baseline"/>
                <w:lang w:val="en-US" w:eastAsia="zh-CN"/>
              </w:rPr>
            </w:pPr>
          </w:p>
        </w:tc>
      </w:tr>
      <w:tr w14:paraId="4C2E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Merge w:val="continue"/>
            <w:vAlign w:val="center"/>
          </w:tcPr>
          <w:p w14:paraId="362025EA">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880" w:type="dxa"/>
            <w:vAlign w:val="center"/>
          </w:tcPr>
          <w:p w14:paraId="0928E65F">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940" w:type="dxa"/>
            <w:vAlign w:val="center"/>
          </w:tcPr>
          <w:p w14:paraId="6DF00F74">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2818" w:type="dxa"/>
            <w:vAlign w:val="center"/>
          </w:tcPr>
          <w:p w14:paraId="1FDF5147">
            <w:pPr>
              <w:pStyle w:val="2"/>
              <w:spacing w:line="240" w:lineRule="auto"/>
              <w:jc w:val="center"/>
              <w:rPr>
                <w:rFonts w:hint="default" w:ascii="Times New Roman" w:hAnsi="Times New Roman" w:cs="Times New Roman"/>
                <w:sz w:val="18"/>
                <w:szCs w:val="18"/>
                <w:highlight w:val="none"/>
                <w:vertAlign w:val="baseline"/>
                <w:lang w:val="en-US" w:eastAsia="zh-CN"/>
              </w:rPr>
            </w:pPr>
          </w:p>
        </w:tc>
      </w:tr>
      <w:tr w14:paraId="5266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Align w:val="center"/>
          </w:tcPr>
          <w:p w14:paraId="02815C43">
            <w:pPr>
              <w:pStyle w:val="2"/>
              <w:spacing w:line="240" w:lineRule="auto"/>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分销</w:t>
            </w:r>
          </w:p>
        </w:tc>
        <w:tc>
          <w:tcPr>
            <w:tcW w:w="1880" w:type="dxa"/>
            <w:vAlign w:val="center"/>
          </w:tcPr>
          <w:p w14:paraId="617F282F">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940" w:type="dxa"/>
            <w:vAlign w:val="center"/>
          </w:tcPr>
          <w:p w14:paraId="288B32DA">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2818" w:type="dxa"/>
            <w:vAlign w:val="center"/>
          </w:tcPr>
          <w:p w14:paraId="5B6E0FDE">
            <w:pPr>
              <w:pStyle w:val="2"/>
              <w:spacing w:line="240" w:lineRule="auto"/>
              <w:jc w:val="center"/>
              <w:rPr>
                <w:rFonts w:hint="default" w:ascii="Times New Roman" w:hAnsi="Times New Roman" w:cs="Times New Roman"/>
                <w:sz w:val="18"/>
                <w:szCs w:val="18"/>
                <w:highlight w:val="none"/>
                <w:vertAlign w:val="baseline"/>
                <w:lang w:val="en-US" w:eastAsia="zh-CN"/>
              </w:rPr>
            </w:pPr>
          </w:p>
        </w:tc>
      </w:tr>
      <w:tr w14:paraId="669C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Align w:val="center"/>
          </w:tcPr>
          <w:p w14:paraId="34F6E304">
            <w:pPr>
              <w:pStyle w:val="2"/>
              <w:spacing w:line="240" w:lineRule="auto"/>
              <w:jc w:val="center"/>
              <w:rPr>
                <w:rFonts w:hint="default" w:ascii="Times New Roman" w:hAnsi="Times New Roman"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安装、调试及</w:t>
            </w:r>
            <w:r>
              <w:rPr>
                <w:rFonts w:hint="default" w:ascii="Times New Roman" w:hAnsi="Times New Roman" w:cs="Times New Roman"/>
                <w:sz w:val="18"/>
                <w:szCs w:val="18"/>
                <w:highlight w:val="none"/>
                <w:vertAlign w:val="baseline"/>
                <w:lang w:val="en-US" w:eastAsia="zh-CN"/>
              </w:rPr>
              <w:t>使用</w:t>
            </w:r>
          </w:p>
        </w:tc>
        <w:tc>
          <w:tcPr>
            <w:tcW w:w="1880" w:type="dxa"/>
            <w:vAlign w:val="center"/>
          </w:tcPr>
          <w:p w14:paraId="32259EC9">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940" w:type="dxa"/>
            <w:vAlign w:val="center"/>
          </w:tcPr>
          <w:p w14:paraId="231C68C9">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2818" w:type="dxa"/>
            <w:vAlign w:val="center"/>
          </w:tcPr>
          <w:p w14:paraId="2649DEDE">
            <w:pPr>
              <w:pStyle w:val="2"/>
              <w:spacing w:line="240" w:lineRule="auto"/>
              <w:jc w:val="center"/>
              <w:rPr>
                <w:rFonts w:hint="default" w:ascii="Times New Roman" w:hAnsi="Times New Roman" w:cs="Times New Roman"/>
                <w:sz w:val="18"/>
                <w:szCs w:val="18"/>
                <w:highlight w:val="none"/>
                <w:vertAlign w:val="baseline"/>
                <w:lang w:val="en-US" w:eastAsia="zh-CN"/>
              </w:rPr>
            </w:pPr>
          </w:p>
        </w:tc>
      </w:tr>
      <w:tr w14:paraId="6483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Align w:val="center"/>
          </w:tcPr>
          <w:p w14:paraId="22BF4E49">
            <w:pPr>
              <w:pStyle w:val="2"/>
              <w:spacing w:line="240" w:lineRule="auto"/>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生命末期</w:t>
            </w:r>
          </w:p>
        </w:tc>
        <w:tc>
          <w:tcPr>
            <w:tcW w:w="1880" w:type="dxa"/>
            <w:vAlign w:val="center"/>
          </w:tcPr>
          <w:p w14:paraId="6707AD2A">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940" w:type="dxa"/>
            <w:vAlign w:val="center"/>
          </w:tcPr>
          <w:p w14:paraId="31D10CC0">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2818" w:type="dxa"/>
            <w:vAlign w:val="center"/>
          </w:tcPr>
          <w:p w14:paraId="5684B88D">
            <w:pPr>
              <w:pStyle w:val="2"/>
              <w:spacing w:line="240" w:lineRule="auto"/>
              <w:jc w:val="center"/>
              <w:rPr>
                <w:rFonts w:hint="default" w:ascii="Times New Roman" w:hAnsi="Times New Roman" w:cs="Times New Roman"/>
                <w:sz w:val="18"/>
                <w:szCs w:val="18"/>
                <w:highlight w:val="none"/>
                <w:vertAlign w:val="baseline"/>
                <w:lang w:val="en-US" w:eastAsia="zh-CN"/>
              </w:rPr>
            </w:pPr>
          </w:p>
        </w:tc>
      </w:tr>
      <w:tr w14:paraId="64EC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Align w:val="center"/>
          </w:tcPr>
          <w:p w14:paraId="6B979AEF">
            <w:pPr>
              <w:pStyle w:val="2"/>
              <w:spacing w:line="240" w:lineRule="auto"/>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总计</w:t>
            </w:r>
          </w:p>
        </w:tc>
        <w:tc>
          <w:tcPr>
            <w:tcW w:w="1880" w:type="dxa"/>
            <w:vAlign w:val="center"/>
          </w:tcPr>
          <w:p w14:paraId="02E76AF3">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940" w:type="dxa"/>
            <w:vAlign w:val="center"/>
          </w:tcPr>
          <w:p w14:paraId="36EF15E3">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2818" w:type="dxa"/>
            <w:vAlign w:val="center"/>
          </w:tcPr>
          <w:p w14:paraId="566A46A9">
            <w:pPr>
              <w:pStyle w:val="2"/>
              <w:spacing w:line="240" w:lineRule="auto"/>
              <w:jc w:val="center"/>
              <w:rPr>
                <w:rFonts w:hint="default" w:ascii="Times New Roman" w:hAnsi="Times New Roman" w:cs="Times New Roman"/>
                <w:sz w:val="18"/>
                <w:szCs w:val="18"/>
                <w:highlight w:val="none"/>
                <w:vertAlign w:val="baseline"/>
                <w:lang w:val="en-US" w:eastAsia="zh-CN"/>
              </w:rPr>
            </w:pPr>
          </w:p>
        </w:tc>
      </w:tr>
    </w:tbl>
    <w:p w14:paraId="14DCE7AE">
      <w:pPr>
        <w:pStyle w:val="2"/>
        <w:spacing w:before="157" w:beforeLines="50" w:after="157" w:afterLines="50"/>
        <w:rPr>
          <w:rFonts w:hint="default" w:ascii="Times New Roman" w:hAnsi="Times New Roman" w:eastAsia="黑体" w:cs="Times New Roman"/>
          <w:sz w:val="21"/>
          <w:szCs w:val="24"/>
          <w:highlight w:val="none"/>
          <w:u w:val="none"/>
          <w:lang w:val="en-US" w:eastAsia="zh-CN"/>
        </w:rPr>
      </w:pPr>
      <w:r>
        <w:rPr>
          <w:rFonts w:hint="default" w:ascii="Times New Roman" w:hAnsi="Times New Roman" w:eastAsia="黑体" w:cs="Times New Roman"/>
          <w:sz w:val="21"/>
          <w:szCs w:val="24"/>
          <w:highlight w:val="none"/>
          <w:u w:val="none"/>
          <w:lang w:val="en-US" w:eastAsia="zh-CN"/>
        </w:rPr>
        <w:t>4、数据质量评价（可选项）</w:t>
      </w:r>
    </w:p>
    <w:p w14:paraId="6764DF52">
      <w:pPr>
        <w:pStyle w:val="2"/>
        <w:spacing w:line="360" w:lineRule="auto"/>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数据质量可从定性和定量两个方面对报告使用的初级数据和次级数据进行评价，具体评价内容包括：数据来源、完整性、数据代表性（时间、地理、技术）和准确性。</w:t>
      </w:r>
    </w:p>
    <w:p w14:paraId="04733BFC">
      <w:pPr>
        <w:pStyle w:val="2"/>
        <w:spacing w:before="313" w:beforeLines="100" w:after="313" w:afterLines="100"/>
        <w:rPr>
          <w:rFonts w:hint="default" w:ascii="Times New Roman" w:hAnsi="Times New Roman" w:eastAsia="黑体" w:cs="Times New Roman"/>
          <w:sz w:val="21"/>
          <w:szCs w:val="24"/>
          <w:highlight w:val="none"/>
          <w:lang w:val="en-US" w:eastAsia="zh-CN"/>
        </w:rPr>
      </w:pPr>
      <w:r>
        <w:rPr>
          <w:rFonts w:hint="default" w:ascii="Times New Roman" w:hAnsi="Times New Roman" w:eastAsia="黑体" w:cs="Times New Roman"/>
          <w:sz w:val="21"/>
          <w:szCs w:val="24"/>
          <w:highlight w:val="none"/>
          <w:lang w:val="en-US" w:eastAsia="zh-CN"/>
        </w:rPr>
        <w:t>五、影响评价</w:t>
      </w:r>
    </w:p>
    <w:p w14:paraId="535252B1">
      <w:pPr>
        <w:pStyle w:val="2"/>
        <w:spacing w:after="157" w:afterLines="50"/>
        <w:rPr>
          <w:rFonts w:hint="default" w:ascii="Times New Roman" w:hAnsi="Times New Roman" w:eastAsia="黑体" w:cs="Times New Roman"/>
          <w:sz w:val="21"/>
          <w:szCs w:val="24"/>
          <w:highlight w:val="none"/>
          <w:lang w:val="en-US" w:eastAsia="zh-CN"/>
        </w:rPr>
      </w:pPr>
      <w:r>
        <w:rPr>
          <w:rFonts w:hint="default" w:ascii="Times New Roman" w:hAnsi="Times New Roman" w:eastAsia="黑体" w:cs="Times New Roman"/>
          <w:sz w:val="21"/>
          <w:szCs w:val="24"/>
          <w:highlight w:val="none"/>
          <w:lang w:val="en-US" w:eastAsia="zh-CN"/>
        </w:rPr>
        <w:t>1、影响类型和特征化因子选择</w:t>
      </w:r>
    </w:p>
    <w:p w14:paraId="34B693F4">
      <w:pPr>
        <w:pStyle w:val="2"/>
        <w:spacing w:line="360" w:lineRule="auto"/>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一般选择IPCC给出的100年GWP。</w:t>
      </w:r>
    </w:p>
    <w:p w14:paraId="5857C5A6">
      <w:pPr>
        <w:pStyle w:val="2"/>
        <w:spacing w:before="157" w:beforeLines="50" w:after="157" w:afterLines="50"/>
        <w:rPr>
          <w:rFonts w:hint="default" w:ascii="Times New Roman" w:hAnsi="Times New Roman" w:eastAsia="黑体" w:cs="Times New Roman"/>
          <w:sz w:val="21"/>
          <w:szCs w:val="24"/>
          <w:highlight w:val="none"/>
          <w:u w:val="none"/>
          <w:lang w:val="en-US" w:eastAsia="zh-CN"/>
        </w:rPr>
      </w:pPr>
      <w:r>
        <w:rPr>
          <w:rFonts w:hint="default" w:ascii="Times New Roman" w:hAnsi="Times New Roman" w:eastAsia="黑体" w:cs="Times New Roman"/>
          <w:sz w:val="21"/>
          <w:szCs w:val="24"/>
          <w:highlight w:val="none"/>
          <w:u w:val="none"/>
          <w:lang w:val="en-US" w:eastAsia="zh-CN"/>
        </w:rPr>
        <w:t>2、产品结果计算</w:t>
      </w:r>
    </w:p>
    <w:p w14:paraId="3F5A0386">
      <w:pPr>
        <w:pStyle w:val="2"/>
        <w:rPr>
          <w:rFonts w:hint="default" w:ascii="Times New Roman" w:hAnsi="Times New Roman" w:cs="Times New Roman"/>
          <w:sz w:val="21"/>
          <w:szCs w:val="21"/>
          <w:highlight w:val="none"/>
          <w:lang w:val="en-US" w:eastAsia="zh-CN"/>
        </w:rPr>
      </w:pPr>
    </w:p>
    <w:p w14:paraId="03DD245E">
      <w:pPr>
        <w:pStyle w:val="2"/>
        <w:spacing w:before="313" w:beforeLines="100" w:after="313" w:afterLines="100"/>
        <w:rPr>
          <w:rFonts w:hint="default" w:ascii="Times New Roman" w:hAnsi="Times New Roman" w:eastAsia="黑体" w:cs="Times New Roman"/>
          <w:sz w:val="21"/>
          <w:szCs w:val="24"/>
          <w:highlight w:val="none"/>
          <w:lang w:val="en-US" w:eastAsia="zh-CN"/>
        </w:rPr>
      </w:pPr>
      <w:r>
        <w:rPr>
          <w:rFonts w:hint="default" w:ascii="Times New Roman" w:hAnsi="Times New Roman" w:eastAsia="黑体" w:cs="Times New Roman"/>
          <w:sz w:val="21"/>
          <w:szCs w:val="24"/>
          <w:highlight w:val="none"/>
          <w:lang w:val="en-US" w:eastAsia="zh-CN"/>
        </w:rPr>
        <w:t>六、结果解释</w:t>
      </w:r>
    </w:p>
    <w:p w14:paraId="22E368EF">
      <w:pPr>
        <w:pStyle w:val="2"/>
        <w:spacing w:after="157" w:afterLines="50"/>
        <w:rPr>
          <w:rFonts w:hint="default" w:ascii="Times New Roman" w:hAnsi="Times New Roman" w:eastAsia="黑体" w:cs="Times New Roman"/>
          <w:sz w:val="21"/>
          <w:szCs w:val="24"/>
          <w:highlight w:val="none"/>
          <w:lang w:val="en-US" w:eastAsia="zh-CN"/>
        </w:rPr>
      </w:pPr>
      <w:r>
        <w:rPr>
          <w:rFonts w:hint="default" w:ascii="Times New Roman" w:hAnsi="Times New Roman" w:eastAsia="黑体" w:cs="Times New Roman"/>
          <w:sz w:val="21"/>
          <w:szCs w:val="24"/>
          <w:highlight w:val="none"/>
          <w:lang w:val="en-US" w:eastAsia="zh-CN"/>
        </w:rPr>
        <w:t>1、结果说明</w:t>
      </w:r>
    </w:p>
    <w:p w14:paraId="7618E2BB">
      <w:pPr>
        <w:pStyle w:val="2"/>
        <w:spacing w:line="360" w:lineRule="auto"/>
        <w:ind w:firstLine="420" w:firstLineChars="200"/>
        <w:rPr>
          <w:rFonts w:hint="default" w:ascii="Times New Roman" w:hAnsi="Times New Roman" w:cs="Times New Roman"/>
          <w:sz w:val="21"/>
          <w:szCs w:val="21"/>
          <w:highlight w:val="none"/>
          <w:u w:val="none"/>
          <w:lang w:val="en-US" w:eastAsia="zh-CN"/>
        </w:rPr>
      </w:pP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u w:val="none"/>
          <w:lang w:val="en-US" w:eastAsia="zh-CN"/>
        </w:rPr>
        <w:t>公司（填写产品生产者的全名）生产的</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u w:val="none"/>
          <w:lang w:val="en-US" w:eastAsia="zh-CN"/>
        </w:rPr>
        <w:t>填写所评价的产品名称，每功能单位的产品），从</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u w:val="none"/>
          <w:lang w:val="en-US" w:eastAsia="zh-CN"/>
        </w:rPr>
        <w:t>（填写某生命周期阶段）到</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u w:val="none"/>
          <w:lang w:val="en-US" w:eastAsia="zh-CN"/>
        </w:rPr>
        <w:t>（填写某生命周期阶段）生命周期碳足迹为</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u w:val="none"/>
          <w:lang w:val="en-US" w:eastAsia="zh-CN"/>
        </w:rPr>
        <w:t>kgCO</w:t>
      </w:r>
      <w:r>
        <w:rPr>
          <w:rFonts w:hint="default" w:ascii="Times New Roman" w:hAnsi="Times New Roman" w:cs="Times New Roman"/>
          <w:sz w:val="21"/>
          <w:szCs w:val="21"/>
          <w:highlight w:val="none"/>
          <w:u w:val="none"/>
          <w:vertAlign w:val="subscript"/>
          <w:lang w:val="en-US" w:eastAsia="zh-CN"/>
        </w:rPr>
        <w:t>2</w:t>
      </w:r>
      <w:r>
        <w:rPr>
          <w:rFonts w:hint="default" w:ascii="Times New Roman" w:hAnsi="Times New Roman" w:cs="Times New Roman"/>
          <w:sz w:val="21"/>
          <w:szCs w:val="21"/>
          <w:highlight w:val="none"/>
          <w:u w:val="none"/>
          <w:lang w:val="en-US" w:eastAsia="zh-CN"/>
        </w:rPr>
        <w:t>e。各生命周期阶段的温室气体排放情况如表2所示。</w:t>
      </w:r>
    </w:p>
    <w:p w14:paraId="110F842A">
      <w:pPr>
        <w:jc w:val="center"/>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 xml:space="preserve">表2 </w:t>
      </w:r>
      <w:r>
        <w:rPr>
          <w:rFonts w:hint="default" w:ascii="Times New Roman" w:hAnsi="Times New Roman" w:eastAsia="黑体" w:cs="Times New Roman"/>
          <w:sz w:val="21"/>
          <w:szCs w:val="21"/>
          <w:highlight w:val="none"/>
          <w:u w:val="single"/>
          <w:lang w:val="en-US" w:eastAsia="zh-CN"/>
        </w:rPr>
        <w:t xml:space="preserve">                 </w:t>
      </w:r>
      <w:r>
        <w:rPr>
          <w:rFonts w:hint="default" w:ascii="Times New Roman" w:hAnsi="Times New Roman" w:eastAsia="黑体" w:cs="Times New Roman"/>
          <w:sz w:val="21"/>
          <w:szCs w:val="21"/>
          <w:highlight w:val="none"/>
          <w:u w:val="none"/>
          <w:lang w:val="en-US" w:eastAsia="zh-CN"/>
        </w:rPr>
        <w:t>生命周期各阶段碳排放情况</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004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vAlign w:val="center"/>
          </w:tcPr>
          <w:p w14:paraId="13BAA177">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生命周期阶段</w:t>
            </w:r>
          </w:p>
        </w:tc>
        <w:tc>
          <w:tcPr>
            <w:tcW w:w="2841" w:type="dxa"/>
            <w:vAlign w:val="center"/>
          </w:tcPr>
          <w:p w14:paraId="59D332E6">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碳足迹（</w:t>
            </w:r>
            <w:r>
              <w:rPr>
                <w:rFonts w:hint="default" w:ascii="Times New Roman" w:hAnsi="Times New Roman" w:cs="Times New Roman"/>
                <w:sz w:val="18"/>
                <w:szCs w:val="18"/>
                <w:highlight w:val="none"/>
                <w:u w:val="none"/>
                <w:lang w:val="en-US" w:eastAsia="zh-CN"/>
              </w:rPr>
              <w:t>kgCO</w:t>
            </w:r>
            <w:r>
              <w:rPr>
                <w:rFonts w:hint="default" w:ascii="Times New Roman" w:hAnsi="Times New Roman" w:cs="Times New Roman"/>
                <w:sz w:val="18"/>
                <w:szCs w:val="18"/>
                <w:highlight w:val="none"/>
                <w:u w:val="none"/>
                <w:vertAlign w:val="subscript"/>
                <w:lang w:val="en-US" w:eastAsia="zh-CN"/>
              </w:rPr>
              <w:t>2</w:t>
            </w:r>
            <w:r>
              <w:rPr>
                <w:rFonts w:hint="default" w:ascii="Times New Roman" w:hAnsi="Times New Roman" w:cs="Times New Roman"/>
                <w:sz w:val="18"/>
                <w:szCs w:val="18"/>
                <w:highlight w:val="none"/>
                <w:u w:val="none"/>
                <w:lang w:val="en-US" w:eastAsia="zh-CN"/>
              </w:rPr>
              <w:t>e/功能单位</w:t>
            </w:r>
            <w:r>
              <w:rPr>
                <w:rFonts w:hint="default" w:ascii="Times New Roman" w:hAnsi="Times New Roman" w:cs="Times New Roman"/>
                <w:sz w:val="18"/>
                <w:szCs w:val="18"/>
                <w:highlight w:val="none"/>
                <w:vertAlign w:val="baseline"/>
                <w:lang w:val="en-US" w:eastAsia="zh-CN"/>
              </w:rPr>
              <w:t>）</w:t>
            </w:r>
          </w:p>
        </w:tc>
        <w:tc>
          <w:tcPr>
            <w:tcW w:w="2841" w:type="dxa"/>
            <w:vAlign w:val="center"/>
          </w:tcPr>
          <w:p w14:paraId="3FEE552E">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百分比（%）</w:t>
            </w:r>
          </w:p>
        </w:tc>
      </w:tr>
      <w:tr w14:paraId="54C9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vAlign w:val="center"/>
          </w:tcPr>
          <w:p w14:paraId="5CB9F4AF">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原材料获取</w:t>
            </w:r>
          </w:p>
        </w:tc>
        <w:tc>
          <w:tcPr>
            <w:tcW w:w="2841" w:type="dxa"/>
            <w:vAlign w:val="center"/>
          </w:tcPr>
          <w:p w14:paraId="0CEEEC16">
            <w:pPr>
              <w:pStyle w:val="2"/>
              <w:jc w:val="center"/>
              <w:rPr>
                <w:rFonts w:hint="default" w:ascii="Times New Roman" w:hAnsi="Times New Roman" w:cs="Times New Roman"/>
                <w:sz w:val="18"/>
                <w:szCs w:val="18"/>
                <w:highlight w:val="none"/>
                <w:vertAlign w:val="baseline"/>
                <w:lang w:val="en-US" w:eastAsia="zh-CN"/>
              </w:rPr>
            </w:pPr>
          </w:p>
        </w:tc>
        <w:tc>
          <w:tcPr>
            <w:tcW w:w="2841" w:type="dxa"/>
            <w:vAlign w:val="center"/>
          </w:tcPr>
          <w:p w14:paraId="4E407A01">
            <w:pPr>
              <w:pStyle w:val="2"/>
              <w:jc w:val="center"/>
              <w:rPr>
                <w:rFonts w:hint="default" w:ascii="Times New Roman" w:hAnsi="Times New Roman" w:cs="Times New Roman"/>
                <w:sz w:val="18"/>
                <w:szCs w:val="18"/>
                <w:highlight w:val="none"/>
                <w:vertAlign w:val="baseline"/>
                <w:lang w:val="en-US" w:eastAsia="zh-CN"/>
              </w:rPr>
            </w:pPr>
          </w:p>
        </w:tc>
      </w:tr>
      <w:tr w14:paraId="6154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vAlign w:val="center"/>
          </w:tcPr>
          <w:p w14:paraId="54325EEC">
            <w:pPr>
              <w:pStyle w:val="2"/>
              <w:jc w:val="center"/>
              <w:rPr>
                <w:rFonts w:hint="default" w:ascii="Times New Roman" w:hAnsi="Times New Roman"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产品</w:t>
            </w:r>
            <w:r>
              <w:rPr>
                <w:rFonts w:hint="default" w:ascii="Times New Roman" w:hAnsi="Times New Roman" w:cs="Times New Roman"/>
                <w:sz w:val="18"/>
                <w:szCs w:val="18"/>
                <w:highlight w:val="none"/>
                <w:vertAlign w:val="baseline"/>
                <w:lang w:val="en-US" w:eastAsia="zh-CN"/>
              </w:rPr>
              <w:t>制造</w:t>
            </w:r>
          </w:p>
        </w:tc>
        <w:tc>
          <w:tcPr>
            <w:tcW w:w="2841" w:type="dxa"/>
            <w:vAlign w:val="center"/>
          </w:tcPr>
          <w:p w14:paraId="55C7A0C1">
            <w:pPr>
              <w:pStyle w:val="2"/>
              <w:jc w:val="center"/>
              <w:rPr>
                <w:rFonts w:hint="default" w:ascii="Times New Roman" w:hAnsi="Times New Roman" w:cs="Times New Roman"/>
                <w:sz w:val="18"/>
                <w:szCs w:val="18"/>
                <w:highlight w:val="none"/>
                <w:vertAlign w:val="baseline"/>
                <w:lang w:val="en-US" w:eastAsia="zh-CN"/>
              </w:rPr>
            </w:pPr>
          </w:p>
        </w:tc>
        <w:tc>
          <w:tcPr>
            <w:tcW w:w="2841" w:type="dxa"/>
            <w:vAlign w:val="center"/>
          </w:tcPr>
          <w:p w14:paraId="249E38F5">
            <w:pPr>
              <w:pStyle w:val="2"/>
              <w:jc w:val="center"/>
              <w:rPr>
                <w:rFonts w:hint="default" w:ascii="Times New Roman" w:hAnsi="Times New Roman" w:cs="Times New Roman"/>
                <w:sz w:val="18"/>
                <w:szCs w:val="18"/>
                <w:highlight w:val="none"/>
                <w:vertAlign w:val="baseline"/>
                <w:lang w:val="en-US" w:eastAsia="zh-CN"/>
              </w:rPr>
            </w:pPr>
          </w:p>
        </w:tc>
      </w:tr>
      <w:tr w14:paraId="6F8A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vAlign w:val="center"/>
          </w:tcPr>
          <w:p w14:paraId="79F32DE4">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分销</w:t>
            </w:r>
          </w:p>
        </w:tc>
        <w:tc>
          <w:tcPr>
            <w:tcW w:w="2841" w:type="dxa"/>
            <w:vAlign w:val="center"/>
          </w:tcPr>
          <w:p w14:paraId="4DDAE594">
            <w:pPr>
              <w:pStyle w:val="2"/>
              <w:jc w:val="center"/>
              <w:rPr>
                <w:rFonts w:hint="default" w:ascii="Times New Roman" w:hAnsi="Times New Roman" w:cs="Times New Roman"/>
                <w:sz w:val="18"/>
                <w:szCs w:val="18"/>
                <w:highlight w:val="none"/>
                <w:vertAlign w:val="baseline"/>
                <w:lang w:val="en-US" w:eastAsia="zh-CN"/>
              </w:rPr>
            </w:pPr>
          </w:p>
        </w:tc>
        <w:tc>
          <w:tcPr>
            <w:tcW w:w="2841" w:type="dxa"/>
            <w:vAlign w:val="center"/>
          </w:tcPr>
          <w:p w14:paraId="2046BD82">
            <w:pPr>
              <w:pStyle w:val="2"/>
              <w:jc w:val="center"/>
              <w:rPr>
                <w:rFonts w:hint="default" w:ascii="Times New Roman" w:hAnsi="Times New Roman" w:cs="Times New Roman"/>
                <w:sz w:val="18"/>
                <w:szCs w:val="18"/>
                <w:highlight w:val="none"/>
                <w:vertAlign w:val="baseline"/>
                <w:lang w:val="en-US" w:eastAsia="zh-CN"/>
              </w:rPr>
            </w:pPr>
          </w:p>
        </w:tc>
      </w:tr>
      <w:tr w14:paraId="5125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vAlign w:val="center"/>
          </w:tcPr>
          <w:p w14:paraId="4B99E12D">
            <w:pPr>
              <w:pStyle w:val="2"/>
              <w:jc w:val="center"/>
              <w:rPr>
                <w:rFonts w:hint="default" w:ascii="Times New Roman" w:hAnsi="Times New Roman"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安装、调试及</w:t>
            </w:r>
            <w:r>
              <w:rPr>
                <w:rFonts w:hint="default" w:ascii="Times New Roman" w:hAnsi="Times New Roman" w:cs="Times New Roman"/>
                <w:sz w:val="18"/>
                <w:szCs w:val="18"/>
                <w:highlight w:val="none"/>
                <w:vertAlign w:val="baseline"/>
                <w:lang w:val="en-US" w:eastAsia="zh-CN"/>
              </w:rPr>
              <w:t>使用</w:t>
            </w:r>
          </w:p>
        </w:tc>
        <w:tc>
          <w:tcPr>
            <w:tcW w:w="2841" w:type="dxa"/>
            <w:vAlign w:val="center"/>
          </w:tcPr>
          <w:p w14:paraId="557C499C">
            <w:pPr>
              <w:pStyle w:val="2"/>
              <w:jc w:val="center"/>
              <w:rPr>
                <w:rFonts w:hint="default" w:ascii="Times New Roman" w:hAnsi="Times New Roman" w:cs="Times New Roman"/>
                <w:sz w:val="18"/>
                <w:szCs w:val="18"/>
                <w:highlight w:val="none"/>
                <w:vertAlign w:val="baseline"/>
                <w:lang w:val="en-US" w:eastAsia="zh-CN"/>
              </w:rPr>
            </w:pPr>
          </w:p>
        </w:tc>
        <w:tc>
          <w:tcPr>
            <w:tcW w:w="2841" w:type="dxa"/>
            <w:vAlign w:val="center"/>
          </w:tcPr>
          <w:p w14:paraId="06C27BCB">
            <w:pPr>
              <w:pStyle w:val="2"/>
              <w:jc w:val="center"/>
              <w:rPr>
                <w:rFonts w:hint="default" w:ascii="Times New Roman" w:hAnsi="Times New Roman" w:cs="Times New Roman"/>
                <w:sz w:val="18"/>
                <w:szCs w:val="18"/>
                <w:highlight w:val="none"/>
                <w:vertAlign w:val="baseline"/>
                <w:lang w:val="en-US" w:eastAsia="zh-CN"/>
              </w:rPr>
            </w:pPr>
          </w:p>
        </w:tc>
      </w:tr>
      <w:tr w14:paraId="0559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vAlign w:val="center"/>
          </w:tcPr>
          <w:p w14:paraId="108214E2">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生命末期</w:t>
            </w:r>
          </w:p>
        </w:tc>
        <w:tc>
          <w:tcPr>
            <w:tcW w:w="2841" w:type="dxa"/>
            <w:vAlign w:val="center"/>
          </w:tcPr>
          <w:p w14:paraId="0717B9FC">
            <w:pPr>
              <w:pStyle w:val="2"/>
              <w:jc w:val="center"/>
              <w:rPr>
                <w:rFonts w:hint="default" w:ascii="Times New Roman" w:hAnsi="Times New Roman" w:cs="Times New Roman"/>
                <w:sz w:val="18"/>
                <w:szCs w:val="18"/>
                <w:highlight w:val="none"/>
                <w:vertAlign w:val="baseline"/>
                <w:lang w:val="en-US" w:eastAsia="zh-CN"/>
              </w:rPr>
            </w:pPr>
          </w:p>
        </w:tc>
        <w:tc>
          <w:tcPr>
            <w:tcW w:w="2841" w:type="dxa"/>
            <w:vAlign w:val="center"/>
          </w:tcPr>
          <w:p w14:paraId="79B74490">
            <w:pPr>
              <w:pStyle w:val="2"/>
              <w:jc w:val="center"/>
              <w:rPr>
                <w:rFonts w:hint="default" w:ascii="Times New Roman" w:hAnsi="Times New Roman" w:cs="Times New Roman"/>
                <w:sz w:val="18"/>
                <w:szCs w:val="18"/>
                <w:highlight w:val="none"/>
                <w:vertAlign w:val="baseline"/>
                <w:lang w:val="en-US" w:eastAsia="zh-CN"/>
              </w:rPr>
            </w:pPr>
          </w:p>
        </w:tc>
      </w:tr>
      <w:tr w14:paraId="2D2D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vAlign w:val="center"/>
          </w:tcPr>
          <w:p w14:paraId="7018E69A">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总计</w:t>
            </w:r>
          </w:p>
        </w:tc>
        <w:tc>
          <w:tcPr>
            <w:tcW w:w="2841" w:type="dxa"/>
            <w:vAlign w:val="center"/>
          </w:tcPr>
          <w:p w14:paraId="1C053E78">
            <w:pPr>
              <w:pStyle w:val="2"/>
              <w:jc w:val="center"/>
              <w:rPr>
                <w:rFonts w:hint="default" w:ascii="Times New Roman" w:hAnsi="Times New Roman" w:cs="Times New Roman"/>
                <w:sz w:val="18"/>
                <w:szCs w:val="18"/>
                <w:highlight w:val="none"/>
                <w:vertAlign w:val="baseline"/>
                <w:lang w:val="en-US" w:eastAsia="zh-CN"/>
              </w:rPr>
            </w:pPr>
          </w:p>
        </w:tc>
        <w:tc>
          <w:tcPr>
            <w:tcW w:w="2841" w:type="dxa"/>
            <w:vAlign w:val="center"/>
          </w:tcPr>
          <w:p w14:paraId="4B3F45BF">
            <w:pPr>
              <w:pStyle w:val="2"/>
              <w:jc w:val="center"/>
              <w:rPr>
                <w:rFonts w:hint="default" w:ascii="Times New Roman" w:hAnsi="Times New Roman" w:cs="Times New Roman"/>
                <w:sz w:val="18"/>
                <w:szCs w:val="18"/>
                <w:highlight w:val="none"/>
                <w:vertAlign w:val="baseline"/>
                <w:lang w:val="en-US" w:eastAsia="zh-CN"/>
              </w:rPr>
            </w:pPr>
          </w:p>
        </w:tc>
      </w:tr>
    </w:tbl>
    <w:p w14:paraId="55DFB2E7">
      <w:pPr>
        <w:pStyle w:val="2"/>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注：具体产品生命周期阶段排放分布图一般以饼状图或是柱形图表示各生命周期阶段的碳排放情况。</w:t>
      </w:r>
    </w:p>
    <w:p w14:paraId="0A5D73BC">
      <w:pPr>
        <w:pStyle w:val="2"/>
        <w:rPr>
          <w:rFonts w:hint="default" w:ascii="Times New Roman" w:hAnsi="Times New Roman" w:cs="Times New Roman"/>
          <w:sz w:val="21"/>
          <w:szCs w:val="21"/>
          <w:highlight w:val="none"/>
          <w:lang w:val="en-US" w:eastAsia="zh-CN"/>
        </w:rPr>
      </w:pPr>
    </w:p>
    <w:p w14:paraId="2F4C808D">
      <w:pPr>
        <w:pStyle w:val="2"/>
        <w:rPr>
          <w:rFonts w:hint="default" w:ascii="Times New Roman" w:hAnsi="Times New Roman" w:cs="Times New Roman"/>
          <w:sz w:val="21"/>
          <w:szCs w:val="21"/>
          <w:highlight w:val="none"/>
          <w:lang w:val="en-US" w:eastAsia="zh-CN"/>
        </w:rPr>
      </w:pPr>
    </w:p>
    <w:p w14:paraId="38D6AD2F">
      <w:pPr>
        <w:pStyle w:val="2"/>
        <w:rPr>
          <w:rFonts w:hint="default" w:ascii="Times New Roman" w:hAnsi="Times New Roman" w:cs="Times New Roman"/>
          <w:sz w:val="21"/>
          <w:szCs w:val="21"/>
          <w:highlight w:val="none"/>
          <w:lang w:val="en-US" w:eastAsia="zh-CN"/>
        </w:rPr>
      </w:pPr>
    </w:p>
    <w:p w14:paraId="70EDFA47">
      <w:pPr>
        <w:pStyle w:val="2"/>
        <w:rPr>
          <w:rFonts w:hint="default" w:ascii="Times New Roman" w:hAnsi="Times New Roman" w:cs="Times New Roman"/>
          <w:sz w:val="21"/>
          <w:szCs w:val="21"/>
          <w:highlight w:val="none"/>
          <w:lang w:val="en-US" w:eastAsia="zh-CN"/>
        </w:rPr>
      </w:pPr>
    </w:p>
    <w:p w14:paraId="3531CB77">
      <w:pPr>
        <w:pStyle w:val="2"/>
        <w:rPr>
          <w:rFonts w:hint="default" w:ascii="Times New Roman" w:hAnsi="Times New Roman" w:cs="Times New Roman"/>
          <w:sz w:val="21"/>
          <w:szCs w:val="21"/>
          <w:highlight w:val="none"/>
          <w:lang w:val="en-US" w:eastAsia="zh-CN"/>
        </w:rPr>
      </w:pPr>
    </w:p>
    <w:p w14:paraId="72EC3F17">
      <w:pPr>
        <w:pStyle w:val="2"/>
        <w:spacing w:before="157" w:beforeLines="50" w:after="157" w:afterLines="50"/>
        <w:rPr>
          <w:rFonts w:hint="default" w:ascii="Times New Roman" w:hAnsi="Times New Roman" w:eastAsia="黑体" w:cs="Times New Roman"/>
          <w:sz w:val="21"/>
          <w:szCs w:val="24"/>
          <w:highlight w:val="none"/>
          <w:u w:val="none"/>
          <w:lang w:val="en-US" w:eastAsia="zh-CN"/>
        </w:rPr>
      </w:pPr>
      <w:r>
        <w:rPr>
          <w:rFonts w:hint="default" w:ascii="Times New Roman" w:hAnsi="Times New Roman" w:eastAsia="黑体" w:cs="Times New Roman"/>
          <w:sz w:val="21"/>
          <w:szCs w:val="24"/>
          <w:highlight w:val="none"/>
          <w:u w:val="none"/>
          <w:lang w:val="en-US" w:eastAsia="zh-CN"/>
        </w:rPr>
        <w:t>2、假设和局限性说明（可选项）</w:t>
      </w:r>
    </w:p>
    <w:p w14:paraId="2A9F0DB7">
      <w:pPr>
        <w:pStyle w:val="2"/>
        <w:spacing w:line="360" w:lineRule="auto"/>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结合量化情况，对范围、数据现象、情景设定等相关的假设和局限性进行说明。</w:t>
      </w:r>
    </w:p>
    <w:p w14:paraId="6EC74D01">
      <w:pPr>
        <w:pStyle w:val="2"/>
        <w:spacing w:before="157" w:beforeLines="50" w:after="157" w:afterLines="50"/>
        <w:rPr>
          <w:rFonts w:hint="default" w:ascii="Times New Roman" w:hAnsi="Times New Roman" w:eastAsia="黑体" w:cs="Times New Roman"/>
          <w:sz w:val="21"/>
          <w:szCs w:val="24"/>
          <w:highlight w:val="none"/>
          <w:u w:val="none"/>
          <w:lang w:val="en-US" w:eastAsia="zh-CN"/>
        </w:rPr>
      </w:pPr>
      <w:r>
        <w:rPr>
          <w:rFonts w:hint="default" w:ascii="Times New Roman" w:hAnsi="Times New Roman" w:eastAsia="黑体" w:cs="Times New Roman"/>
          <w:sz w:val="21"/>
          <w:szCs w:val="24"/>
          <w:highlight w:val="none"/>
          <w:u w:val="none"/>
          <w:lang w:val="en-US" w:eastAsia="zh-CN"/>
        </w:rPr>
        <w:t>3、改进建议</w:t>
      </w:r>
    </w:p>
    <w:p w14:paraId="7AEC8E21">
      <w:pPr>
        <w:pStyle w:val="2"/>
        <w:spacing w:before="157" w:beforeLines="50" w:after="157" w:afterLines="50"/>
        <w:rPr>
          <w:rFonts w:hint="default" w:ascii="Times New Roman" w:hAnsi="Times New Roman" w:eastAsia="黑体" w:cs="Times New Roman"/>
          <w:sz w:val="21"/>
          <w:szCs w:val="24"/>
          <w:highlight w:val="none"/>
          <w:u w:val="none"/>
          <w:lang w:val="en-US" w:eastAsia="zh-CN"/>
        </w:rPr>
      </w:pPr>
    </w:p>
    <w:p w14:paraId="2665057A">
      <w:pPr>
        <w:pStyle w:val="2"/>
        <w:rPr>
          <w:rFonts w:hint="default" w:ascii="Times New Roman" w:hAnsi="Times New Roman" w:cs="Times New Roman"/>
          <w:sz w:val="21"/>
          <w:szCs w:val="21"/>
          <w:highlight w:val="none"/>
          <w:lang w:val="en-US" w:eastAsia="zh-CN"/>
        </w:rPr>
      </w:pPr>
    </w:p>
    <w:p w14:paraId="2BB46685">
      <w:pPr>
        <w:pStyle w:val="2"/>
        <w:rPr>
          <w:rFonts w:hint="default" w:ascii="Times New Roman" w:hAnsi="Times New Roman" w:cs="Times New Roman"/>
          <w:sz w:val="21"/>
          <w:szCs w:val="21"/>
          <w:highlight w:val="none"/>
          <w:lang w:val="en-US" w:eastAsia="zh-CN"/>
        </w:rPr>
        <w:sectPr>
          <w:footerReference r:id="rId20" w:type="default"/>
          <w:footerReference r:id="rId21" w:type="even"/>
          <w:pgSz w:w="11906" w:h="16838"/>
          <w:pgMar w:top="1417" w:right="1134" w:bottom="1134" w:left="1417" w:header="1417" w:footer="850" w:gutter="0"/>
          <w:pgBorders>
            <w:top w:val="none" w:sz="0" w:space="0"/>
            <w:left w:val="none" w:sz="0" w:space="0"/>
            <w:bottom w:val="none" w:sz="0" w:space="0"/>
            <w:right w:val="none" w:sz="0" w:space="0"/>
          </w:pgBorders>
          <w:pgNumType w:fmt="decimal"/>
          <w:cols w:space="425" w:num="1"/>
          <w:docGrid w:type="lines" w:linePitch="312" w:charSpace="0"/>
        </w:sectPr>
      </w:pPr>
    </w:p>
    <w:p w14:paraId="7853D578">
      <w:pPr>
        <w:spacing w:before="313" w:beforeLines="100" w:after="313" w:afterLines="100"/>
        <w:jc w:val="center"/>
        <w:outlineLvl w:val="0"/>
        <w:rPr>
          <w:rFonts w:hint="default" w:ascii="Times New Roman" w:hAnsi="Times New Roman" w:eastAsia="黑体" w:cs="Times New Roman"/>
          <w:sz w:val="21"/>
          <w:szCs w:val="21"/>
          <w:highlight w:val="none"/>
          <w:lang w:val="en-US" w:eastAsia="zh-CN"/>
        </w:rPr>
      </w:pPr>
      <w:bookmarkStart w:id="472" w:name="_Toc5673"/>
      <w:bookmarkStart w:id="473" w:name="_Toc28820"/>
      <w:bookmarkStart w:id="474" w:name="_Toc20240"/>
      <w:bookmarkStart w:id="475" w:name="_Toc15609"/>
      <w:bookmarkStart w:id="476" w:name="_Toc23350"/>
      <w:bookmarkStart w:id="477" w:name="_Toc31355"/>
      <w:r>
        <w:rPr>
          <w:rFonts w:hint="default" w:ascii="Times New Roman" w:hAnsi="Times New Roman" w:eastAsia="黑体" w:cs="Times New Roman"/>
          <w:sz w:val="21"/>
          <w:szCs w:val="21"/>
          <w:highlight w:val="none"/>
          <w:lang w:val="en-US" w:eastAsia="zh-CN"/>
        </w:rPr>
        <w:t>参考文献</w:t>
      </w:r>
      <w:bookmarkEnd w:id="472"/>
      <w:bookmarkEnd w:id="473"/>
      <w:bookmarkEnd w:id="474"/>
      <w:bookmarkEnd w:id="475"/>
      <w:bookmarkEnd w:id="476"/>
      <w:bookmarkEnd w:id="477"/>
    </w:p>
    <w:p w14:paraId="6FBB9188">
      <w:pPr>
        <w:pStyle w:val="2"/>
        <w:numPr>
          <w:ilvl w:val="0"/>
          <w:numId w:val="34"/>
        </w:numPr>
        <w:ind w:left="210" w:hanging="210" w:hangingChars="100"/>
        <w:rPr>
          <w:rFonts w:hint="default" w:ascii="Times New Roman" w:hAnsi="Times New Roman" w:cs="Times New Roman"/>
          <w:sz w:val="21"/>
          <w:szCs w:val="21"/>
          <w:highlight w:val="none"/>
          <w:lang w:val="en-US" w:eastAsia="zh-CN"/>
        </w:rPr>
      </w:pPr>
      <w:r>
        <w:rPr>
          <w:rFonts w:hint="default"/>
          <w:szCs w:val="21"/>
          <w:highlight w:val="none"/>
        </w:rPr>
        <w:t>GB/T 24024</w:t>
      </w:r>
      <w:r>
        <w:rPr>
          <w:rFonts w:hint="eastAsia"/>
          <w:szCs w:val="21"/>
          <w:highlight w:val="none"/>
          <w:lang w:val="en-US" w:eastAsia="zh-CN"/>
        </w:rPr>
        <w:t xml:space="preserve">-2001  </w:t>
      </w:r>
      <w:r>
        <w:rPr>
          <w:rFonts w:hint="eastAsia"/>
          <w:szCs w:val="21"/>
          <w:highlight w:val="none"/>
        </w:rPr>
        <w:t>环境管理 环境标志和声明 Ⅰ型环境标志 原则和程序</w:t>
      </w:r>
    </w:p>
    <w:p w14:paraId="1331324D">
      <w:pPr>
        <w:pStyle w:val="2"/>
        <w:numPr>
          <w:ilvl w:val="0"/>
          <w:numId w:val="34"/>
        </w:numPr>
        <w:ind w:left="210" w:hanging="210" w:hangingChars="100"/>
        <w:rPr>
          <w:rFonts w:hint="default" w:ascii="Times New Roman" w:hAnsi="Times New Roman" w:cs="Times New Roman"/>
          <w:sz w:val="21"/>
          <w:szCs w:val="21"/>
          <w:highlight w:val="none"/>
          <w:lang w:val="en-US" w:eastAsia="zh-CN"/>
        </w:rPr>
      </w:pPr>
      <w:r>
        <w:rPr>
          <w:rFonts w:hint="default"/>
          <w:szCs w:val="21"/>
          <w:highlight w:val="none"/>
        </w:rPr>
        <w:t>GB/T 24062</w:t>
      </w:r>
      <w:r>
        <w:rPr>
          <w:rFonts w:hint="eastAsia"/>
          <w:szCs w:val="21"/>
          <w:highlight w:val="none"/>
          <w:lang w:val="en-US" w:eastAsia="zh-CN"/>
        </w:rPr>
        <w:t xml:space="preserve">-2009  </w:t>
      </w:r>
      <w:r>
        <w:rPr>
          <w:rFonts w:hint="eastAsia"/>
          <w:szCs w:val="21"/>
          <w:highlight w:val="none"/>
        </w:rPr>
        <w:t>环境管理 将环境因素引入产品的设计和开发</w:t>
      </w:r>
    </w:p>
    <w:p w14:paraId="48FAA450">
      <w:pPr>
        <w:pStyle w:val="2"/>
        <w:numPr>
          <w:ilvl w:val="0"/>
          <w:numId w:val="34"/>
        </w:numPr>
        <w:ind w:left="210" w:hanging="210" w:hangingChars="100"/>
        <w:rPr>
          <w:rFonts w:hint="default" w:ascii="Times New Roman" w:hAnsi="Times New Roman" w:cs="Times New Roman"/>
          <w:sz w:val="21"/>
          <w:szCs w:val="21"/>
          <w:highlight w:val="none"/>
          <w:lang w:val="en-US" w:eastAsia="zh-CN"/>
        </w:rPr>
      </w:pPr>
      <w:r>
        <w:rPr>
          <w:rFonts w:hint="default"/>
          <w:szCs w:val="21"/>
          <w:highlight w:val="none"/>
        </w:rPr>
        <w:t>ISO 14067</w:t>
      </w:r>
      <w:r>
        <w:rPr>
          <w:rFonts w:hint="eastAsia"/>
          <w:szCs w:val="21"/>
          <w:highlight w:val="none"/>
          <w:lang w:val="en-US" w:eastAsia="zh-CN"/>
        </w:rPr>
        <w:t>：2018 Greenhouse gases—Carbon footprint of products—Requirements and guidelines for quantification</w:t>
      </w:r>
    </w:p>
    <w:p w14:paraId="2DB4951C">
      <w:pPr>
        <w:pStyle w:val="2"/>
        <w:rPr>
          <w:rFonts w:hint="default" w:ascii="Times New Roman" w:hAnsi="Times New Roman" w:cs="Times New Roman"/>
          <w:sz w:val="21"/>
          <w:szCs w:val="21"/>
          <w:highlight w:val="none"/>
          <w:lang w:val="en-US" w:eastAsia="zh-CN"/>
        </w:rPr>
      </w:pPr>
    </w:p>
    <w:p w14:paraId="70F223C1">
      <w:pPr>
        <w:pStyle w:val="2"/>
        <w:rPr>
          <w:rFonts w:hint="default" w:ascii="Times New Roman" w:hAnsi="Times New Roman" w:cs="Times New Roman"/>
          <w:sz w:val="21"/>
          <w:szCs w:val="21"/>
          <w:highlight w:val="none"/>
          <w:lang w:val="en-US" w:eastAsia="zh-CN"/>
        </w:rPr>
      </w:pPr>
    </w:p>
    <w:p w14:paraId="5393476D">
      <w:pPr>
        <w:pStyle w:val="2"/>
        <w:rPr>
          <w:rFonts w:hint="default" w:ascii="Times New Roman" w:hAnsi="Times New Roman" w:cs="Times New Roman"/>
          <w:sz w:val="21"/>
          <w:szCs w:val="21"/>
          <w:highlight w:val="none"/>
          <w:lang w:val="en-US" w:eastAsia="zh-CN"/>
        </w:rPr>
      </w:pPr>
    </w:p>
    <w:p w14:paraId="272F3849">
      <w:pPr>
        <w:pStyle w:val="2"/>
        <w:rPr>
          <w:rFonts w:hint="default" w:ascii="Times New Roman" w:hAnsi="Times New Roman" w:cs="Times New Roman"/>
          <w:sz w:val="21"/>
          <w:szCs w:val="21"/>
          <w:highlight w:val="none"/>
          <w:lang w:val="en-US" w:eastAsia="zh-CN"/>
        </w:rPr>
      </w:pPr>
    </w:p>
    <w:p w14:paraId="71977A1F">
      <w:pPr>
        <w:pStyle w:val="2"/>
        <w:rPr>
          <w:rFonts w:hint="default" w:ascii="Times New Roman" w:hAnsi="Times New Roman" w:cs="Times New Roman"/>
          <w:sz w:val="21"/>
          <w:szCs w:val="21"/>
          <w:highlight w:val="none"/>
          <w:lang w:val="en-US" w:eastAsia="zh-CN"/>
        </w:rPr>
      </w:pPr>
    </w:p>
    <w:p w14:paraId="328083DA">
      <w:pPr>
        <w:pStyle w:val="2"/>
        <w:rPr>
          <w:rFonts w:hint="default" w:ascii="Times New Roman" w:hAnsi="Times New Roman" w:cs="Times New Roman"/>
          <w:sz w:val="21"/>
          <w:szCs w:val="21"/>
          <w:highlight w:val="none"/>
          <w:lang w:val="en-US" w:eastAsia="zh-CN"/>
        </w:rPr>
      </w:pPr>
    </w:p>
    <w:p w14:paraId="4BF8B7B8">
      <w:pPr>
        <w:widowControl/>
        <w:rPr>
          <w:color w:val="5B9BD5" w:themeColor="accent1"/>
          <w:highlight w:val="none"/>
          <w14:textFill>
            <w14:solidFill>
              <w14:schemeClr w14:val="accent1"/>
            </w14:solidFill>
          </w14:textFill>
        </w:rPr>
      </w:pPr>
    </w:p>
    <w:p w14:paraId="48B6A56F">
      <w:pPr>
        <w:widowControl/>
        <w:rPr>
          <w:color w:val="5B9BD5" w:themeColor="accent1"/>
          <w:highlight w:val="none"/>
          <w14:textFill>
            <w14:solidFill>
              <w14:schemeClr w14:val="accent1"/>
            </w14:solidFill>
          </w14:textFill>
        </w:rPr>
      </w:pPr>
    </w:p>
    <w:p w14:paraId="146127E4">
      <w:pPr>
        <w:pStyle w:val="258"/>
        <w:ind w:firstLine="422"/>
        <w:jc w:val="center"/>
        <w:rPr>
          <w:rFonts w:ascii="黑体" w:hAnsi="黑体" w:eastAsia="黑体"/>
          <w:b/>
          <w:color w:val="auto"/>
          <w:highlight w:val="none"/>
        </w:rPr>
      </w:pPr>
      <w:r>
        <w:rPr>
          <w:rFonts w:hint="eastAsia" w:ascii="黑体" w:hAnsi="黑体" w:eastAsia="黑体"/>
          <w:b/>
          <w:color w:val="auto"/>
          <w:highlight w:val="none"/>
        </w:rPr>
        <w:t>━━━━━━━━━━━</w:t>
      </w:r>
    </w:p>
    <w:p w14:paraId="5F8C3460">
      <w:pPr>
        <w:widowControl/>
        <w:rPr>
          <w:color w:val="5B9BD5" w:themeColor="accent1"/>
          <w:highlight w:val="none"/>
          <w14:textFill>
            <w14:solidFill>
              <w14:schemeClr w14:val="accent1"/>
            </w14:solidFill>
          </w14:textFill>
        </w:rPr>
      </w:pPr>
    </w:p>
    <w:p w14:paraId="337E32EE">
      <w:pPr>
        <w:widowControl/>
        <w:rPr>
          <w:color w:val="5B9BD5" w:themeColor="accent1"/>
          <w:highlight w:val="none"/>
          <w14:textFill>
            <w14:solidFill>
              <w14:schemeClr w14:val="accent1"/>
            </w14:solidFill>
          </w14:textFill>
        </w:rPr>
      </w:pPr>
    </w:p>
    <w:p w14:paraId="21E13969">
      <w:pPr>
        <w:pStyle w:val="258"/>
        <w:ind w:firstLine="420"/>
        <w:jc w:val="left"/>
        <w:rPr>
          <w:rFonts w:hAnsi="宋体"/>
          <w:color w:val="5B9BD5" w:themeColor="accent1"/>
          <w:highlight w:val="none"/>
          <w14:textFill>
            <w14:solidFill>
              <w14:schemeClr w14:val="accent1"/>
            </w14:solidFill>
          </w14:textFill>
        </w:rPr>
      </w:pPr>
    </w:p>
    <w:p w14:paraId="1BFD569F">
      <w:pPr>
        <w:widowControl/>
        <w:rPr>
          <w:rFonts w:hAnsi="宋体"/>
          <w:color w:val="5B9BD5" w:themeColor="accent1"/>
          <w:highlight w:val="none"/>
          <w14:textFill>
            <w14:solidFill>
              <w14:schemeClr w14:val="accent1"/>
            </w14:solidFill>
          </w14:textFill>
        </w:rPr>
      </w:pPr>
    </w:p>
    <w:sectPr>
      <w:pgSz w:w="11907" w:h="16839"/>
      <w:pgMar w:top="1417" w:right="1134" w:bottom="1134" w:left="1417" w:header="1417"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altName w:val="Yu Gothic UI Semibold"/>
    <w:panose1 w:val="020B0903060703020204"/>
    <w:charset w:val="00"/>
    <w:family w:val="swiss"/>
    <w:pitch w:val="default"/>
    <w:sig w:usb0="00000000" w:usb1="00000000" w:usb2="00000000" w:usb3="00000000" w:csb0="00000001" w:csb1="00000000"/>
  </w:font>
  <w:font w:name="Yu Gothic UI Semibold">
    <w:panose1 w:val="020B0700000000000000"/>
    <w:charset w:val="80"/>
    <w:family w:val="auto"/>
    <w:pitch w:val="default"/>
    <w:sig w:usb0="E00002FF" w:usb1="2AC7FDFF" w:usb2="00000016" w:usb3="00000000" w:csb0="2002009F"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3C4F1">
    <w:pPr>
      <w:pStyle w:val="58"/>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4D774ADC">
    <w:pPr>
      <w:pStyle w:val="252"/>
      <w:ind w:right="360" w:firstLine="360"/>
      <w:rPr>
        <w:rStyle w:val="23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5334D">
    <w:pPr>
      <w:pStyle w:val="58"/>
      <w:jc w:val="right"/>
      <w:rPr>
        <w:sz w:val="21"/>
        <w:szCs w:val="22"/>
      </w:rPr>
    </w:pPr>
    <w:r>
      <w:rPr>
        <w:sz w:val="21"/>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FD22CB">
                          <w:pPr>
                            <w:pStyle w:val="58"/>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III</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DFD22CB">
                    <w:pPr>
                      <w:pStyle w:val="58"/>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III</w:t>
                    </w:r>
                    <w:r>
                      <w:rPr>
                        <w:rFonts w:ascii="Times New Roman" w:hAnsi="Times New Roman" w:cs="Times New Roman"/>
                      </w:rPr>
                      <w:fldChar w:fldCharType="end"/>
                    </w:r>
                  </w:p>
                </w:txbxContent>
              </v:textbox>
            </v:shape>
          </w:pict>
        </mc:Fallback>
      </mc:AlternateContent>
    </w:r>
  </w:p>
  <w:p w14:paraId="79DA9423">
    <w:pPr>
      <w:pStyle w:val="5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0FC27">
    <w:pPr>
      <w:pStyle w:val="58"/>
      <w:tabs>
        <w:tab w:val="clear" w:pos="4153"/>
      </w:tabs>
      <w:ind w:firstLine="203"/>
    </w:pPr>
    <w:r>
      <w:rPr>
        <w:sz w:val="18"/>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3641A">
                          <w:pPr>
                            <w:pStyle w:val="58"/>
                          </w:pPr>
                          <w:r>
                            <w:fldChar w:fldCharType="begin"/>
                          </w:r>
                          <w:r>
                            <w:instrText xml:space="preserve"> PAGE  \* MERGEFORMAT </w:instrText>
                          </w:r>
                          <w:r>
                            <w:fldChar w:fldCharType="separate"/>
                          </w:r>
                          <w:r>
                            <w:t>XXIV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693641A">
                    <w:pPr>
                      <w:pStyle w:val="58"/>
                    </w:pPr>
                    <w:r>
                      <w:fldChar w:fldCharType="begin"/>
                    </w:r>
                    <w:r>
                      <w:instrText xml:space="preserve"> PAGE  \* MERGEFORMAT </w:instrText>
                    </w:r>
                    <w:r>
                      <w:fldChar w:fldCharType="separate"/>
                    </w:r>
                    <w:r>
                      <w:t>XXIV</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3A0DD">
    <w:pPr>
      <w:pStyle w:val="58"/>
      <w:jc w:val="right"/>
      <w:rPr>
        <w:sz w:val="21"/>
        <w:szCs w:val="22"/>
      </w:rPr>
    </w:pPr>
    <w:r>
      <w:rPr>
        <w:sz w:val="21"/>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EBFBE">
                          <w:pPr>
                            <w:pStyle w:val="58"/>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III</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0BEBFBE">
                    <w:pPr>
                      <w:pStyle w:val="58"/>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III</w:t>
                    </w:r>
                    <w:r>
                      <w:rPr>
                        <w:rFonts w:ascii="Times New Roman" w:hAnsi="Times New Roman" w:cs="Times New Roman"/>
                      </w:rPr>
                      <w:fldChar w:fldCharType="end"/>
                    </w:r>
                  </w:p>
                </w:txbxContent>
              </v:textbox>
            </v:shape>
          </w:pict>
        </mc:Fallback>
      </mc:AlternateContent>
    </w:r>
  </w:p>
  <w:p w14:paraId="236A0F07">
    <w:pPr>
      <w:pStyle w:val="5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A6764">
    <w:pPr>
      <w:pStyle w:val="58"/>
      <w:tabs>
        <w:tab w:val="clear" w:pos="4153"/>
      </w:tabs>
      <w:ind w:firstLine="203"/>
    </w:pPr>
    <w:r>
      <w:rPr>
        <w:sz w:val="18"/>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91B7E">
                          <w:pPr>
                            <w:pStyle w:val="58"/>
                          </w:pPr>
                          <w:r>
                            <w:fldChar w:fldCharType="begin"/>
                          </w:r>
                          <w:r>
                            <w:instrText xml:space="preserve"> PAGE  \* MERGEFORMAT </w:instrText>
                          </w:r>
                          <w:r>
                            <w:fldChar w:fldCharType="separate"/>
                          </w:r>
                          <w:r>
                            <w:t>XXVI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7D91B7E">
                    <w:pPr>
                      <w:pStyle w:val="58"/>
                    </w:pPr>
                    <w:r>
                      <w:fldChar w:fldCharType="begin"/>
                    </w:r>
                    <w:r>
                      <w:instrText xml:space="preserve"> PAGE  \* MERGEFORMAT </w:instrText>
                    </w:r>
                    <w:r>
                      <w:fldChar w:fldCharType="separate"/>
                    </w:r>
                    <w:r>
                      <w:t>XXVI</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3E178">
    <w:pPr>
      <w:pStyle w:val="58"/>
      <w:jc w:val="right"/>
      <w:rPr>
        <w:sz w:val="21"/>
        <w:szCs w:val="22"/>
      </w:rPr>
    </w:pPr>
    <w:r>
      <w:rPr>
        <w:sz w:val="21"/>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AC258">
                          <w:pPr>
                            <w:pStyle w:val="58"/>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III</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04AC258">
                    <w:pPr>
                      <w:pStyle w:val="58"/>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III</w:t>
                    </w:r>
                    <w:r>
                      <w:rPr>
                        <w:rFonts w:ascii="Times New Roman" w:hAnsi="Times New Roman" w:cs="Times New Roman"/>
                      </w:rPr>
                      <w:fldChar w:fldCharType="end"/>
                    </w:r>
                  </w:p>
                </w:txbxContent>
              </v:textbox>
            </v:shape>
          </w:pict>
        </mc:Fallback>
      </mc:AlternateContent>
    </w:r>
  </w:p>
  <w:p w14:paraId="540CDC59">
    <w:pPr>
      <w:pStyle w:val="5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F68C4">
    <w:pPr>
      <w:pStyle w:val="58"/>
      <w:tabs>
        <w:tab w:val="clear" w:pos="4153"/>
      </w:tabs>
      <w:ind w:firstLine="203"/>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A51F6">
                          <w:pPr>
                            <w:pStyle w:val="58"/>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28</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62A51F6">
                    <w:pPr>
                      <w:pStyle w:val="58"/>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28</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B6E99">
    <w:pPr>
      <w:pStyle w:val="58"/>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14</w:t>
    </w:r>
    <w:r>
      <w:rPr>
        <w:rStyle w:val="234"/>
      </w:rPr>
      <w:fldChar w:fldCharType="end"/>
    </w:r>
  </w:p>
  <w:p w14:paraId="4B1ECDAE">
    <w:pPr>
      <w:pStyle w:val="251"/>
      <w:ind w:right="360" w:firstLine="360"/>
      <w:rPr>
        <w:rStyle w:val="2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75E43">
    <w:pPr>
      <w:pStyle w:val="5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FC248">
    <w:pPr>
      <w:pStyle w:val="252"/>
      <w:ind w:right="360" w:firstLine="360"/>
      <w:rPr>
        <w:rStyle w:val="234"/>
      </w:rPr>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E367D">
                          <w:pPr>
                            <w:pStyle w:val="58"/>
                            <w:rPr>
                              <w:rStyle w:val="234"/>
                            </w:rPr>
                          </w:pPr>
                          <w:r>
                            <w:rPr>
                              <w:rStyle w:val="234"/>
                            </w:rPr>
                            <w:fldChar w:fldCharType="begin"/>
                          </w:r>
                          <w:r>
                            <w:rPr>
                              <w:rStyle w:val="234"/>
                            </w:rPr>
                            <w:instrText xml:space="preserve"> PAGE </w:instrText>
                          </w:r>
                          <w:r>
                            <w:rPr>
                              <w:rStyle w:val="234"/>
                            </w:rPr>
                            <w:fldChar w:fldCharType="separate"/>
                          </w:r>
                          <w:r>
                            <w:rPr>
                              <w:rStyle w:val="234"/>
                            </w:rPr>
                            <w:t>13</w:t>
                          </w:r>
                          <w:r>
                            <w:rPr>
                              <w:rStyle w:val="234"/>
                            </w:rPr>
                            <w:fldChar w:fldCharType="end"/>
                          </w:r>
                        </w:p>
                        <w:p w14:paraId="4258FC1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502E367D">
                    <w:pPr>
                      <w:pStyle w:val="58"/>
                      <w:rPr>
                        <w:rStyle w:val="234"/>
                      </w:rPr>
                    </w:pPr>
                    <w:r>
                      <w:rPr>
                        <w:rStyle w:val="234"/>
                      </w:rPr>
                      <w:fldChar w:fldCharType="begin"/>
                    </w:r>
                    <w:r>
                      <w:rPr>
                        <w:rStyle w:val="234"/>
                      </w:rPr>
                      <w:instrText xml:space="preserve"> PAGE </w:instrText>
                    </w:r>
                    <w:r>
                      <w:rPr>
                        <w:rStyle w:val="234"/>
                      </w:rPr>
                      <w:fldChar w:fldCharType="separate"/>
                    </w:r>
                    <w:r>
                      <w:rPr>
                        <w:rStyle w:val="234"/>
                      </w:rPr>
                      <w:t>13</w:t>
                    </w:r>
                    <w:r>
                      <w:rPr>
                        <w:rStyle w:val="234"/>
                      </w:rPr>
                      <w:fldChar w:fldCharType="end"/>
                    </w:r>
                  </w:p>
                  <w:p w14:paraId="4258FC17"/>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6D2EA">
    <w:pPr>
      <w:pStyle w:val="251"/>
      <w:ind w:right="360" w:firstLine="360"/>
      <w:rPr>
        <w:rStyle w:val="234"/>
      </w:rPr>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6A655">
                          <w:pPr>
                            <w:pStyle w:val="58"/>
                            <w:rPr>
                              <w:rStyle w:val="234"/>
                            </w:rPr>
                          </w:pPr>
                          <w:r>
                            <w:rPr>
                              <w:rStyle w:val="234"/>
                            </w:rPr>
                            <w:fldChar w:fldCharType="begin"/>
                          </w:r>
                          <w:r>
                            <w:rPr>
                              <w:rStyle w:val="234"/>
                            </w:rPr>
                            <w:instrText xml:space="preserve"> PAGE </w:instrText>
                          </w:r>
                          <w:r>
                            <w:rPr>
                              <w:rStyle w:val="234"/>
                            </w:rPr>
                            <w:fldChar w:fldCharType="separate"/>
                          </w:r>
                          <w:r>
                            <w:rPr>
                              <w:rStyle w:val="234"/>
                            </w:rPr>
                            <w:t>14</w:t>
                          </w:r>
                          <w:r>
                            <w:rPr>
                              <w:rStyle w:val="234"/>
                            </w:rPr>
                            <w:fldChar w:fldCharType="end"/>
                          </w:r>
                        </w:p>
                        <w:p w14:paraId="5AC5F92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B86A655">
                    <w:pPr>
                      <w:pStyle w:val="58"/>
                      <w:rPr>
                        <w:rStyle w:val="234"/>
                      </w:rPr>
                    </w:pPr>
                    <w:r>
                      <w:rPr>
                        <w:rStyle w:val="234"/>
                      </w:rPr>
                      <w:fldChar w:fldCharType="begin"/>
                    </w:r>
                    <w:r>
                      <w:rPr>
                        <w:rStyle w:val="234"/>
                      </w:rPr>
                      <w:instrText xml:space="preserve"> PAGE </w:instrText>
                    </w:r>
                    <w:r>
                      <w:rPr>
                        <w:rStyle w:val="234"/>
                      </w:rPr>
                      <w:fldChar w:fldCharType="separate"/>
                    </w:r>
                    <w:r>
                      <w:rPr>
                        <w:rStyle w:val="234"/>
                      </w:rPr>
                      <w:t>14</w:t>
                    </w:r>
                    <w:r>
                      <w:rPr>
                        <w:rStyle w:val="234"/>
                      </w:rPr>
                      <w:fldChar w:fldCharType="end"/>
                    </w:r>
                  </w:p>
                  <w:p w14:paraId="5AC5F921"/>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7EA62">
    <w:pPr>
      <w:pStyle w:val="252"/>
      <w:ind w:right="360" w:firstLine="360"/>
      <w:rPr>
        <w:rStyle w:val="234"/>
      </w:rPr>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AB0A4">
                          <w:pPr>
                            <w:pStyle w:val="58"/>
                            <w:rPr>
                              <w:rStyle w:val="234"/>
                            </w:rPr>
                          </w:pPr>
                          <w:r>
                            <w:rPr>
                              <w:rStyle w:val="234"/>
                            </w:rPr>
                            <w:fldChar w:fldCharType="begin"/>
                          </w:r>
                          <w:r>
                            <w:rPr>
                              <w:rStyle w:val="234"/>
                            </w:rPr>
                            <w:instrText xml:space="preserve"> PAGE </w:instrText>
                          </w:r>
                          <w:r>
                            <w:rPr>
                              <w:rStyle w:val="234"/>
                            </w:rPr>
                            <w:fldChar w:fldCharType="separate"/>
                          </w:r>
                          <w:r>
                            <w:rPr>
                              <w:rStyle w:val="234"/>
                            </w:rPr>
                            <w:t>13</w:t>
                          </w:r>
                          <w:r>
                            <w:rPr>
                              <w:rStyle w:val="234"/>
                            </w:rPr>
                            <w:fldChar w:fldCharType="end"/>
                          </w:r>
                        </w:p>
                        <w:p w14:paraId="4556368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CAAB0A4">
                    <w:pPr>
                      <w:pStyle w:val="58"/>
                      <w:rPr>
                        <w:rStyle w:val="234"/>
                      </w:rPr>
                    </w:pPr>
                    <w:r>
                      <w:rPr>
                        <w:rStyle w:val="234"/>
                      </w:rPr>
                      <w:fldChar w:fldCharType="begin"/>
                    </w:r>
                    <w:r>
                      <w:rPr>
                        <w:rStyle w:val="234"/>
                      </w:rPr>
                      <w:instrText xml:space="preserve"> PAGE </w:instrText>
                    </w:r>
                    <w:r>
                      <w:rPr>
                        <w:rStyle w:val="234"/>
                      </w:rPr>
                      <w:fldChar w:fldCharType="separate"/>
                    </w:r>
                    <w:r>
                      <w:rPr>
                        <w:rStyle w:val="234"/>
                      </w:rPr>
                      <w:t>13</w:t>
                    </w:r>
                    <w:r>
                      <w:rPr>
                        <w:rStyle w:val="234"/>
                      </w:rPr>
                      <w:fldChar w:fldCharType="end"/>
                    </w:r>
                  </w:p>
                  <w:p w14:paraId="4556368E"/>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B0C49">
    <w:pPr>
      <w:pStyle w:val="251"/>
      <w:ind w:right="360" w:firstLine="360"/>
      <w:rPr>
        <w:rStyle w:val="234"/>
      </w:rPr>
    </w:pP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723DF">
                          <w:pPr>
                            <w:pStyle w:val="58"/>
                            <w:rPr>
                              <w:rStyle w:val="234"/>
                            </w:rPr>
                          </w:pPr>
                          <w:r>
                            <w:rPr>
                              <w:rStyle w:val="234"/>
                            </w:rPr>
                            <w:fldChar w:fldCharType="begin"/>
                          </w:r>
                          <w:r>
                            <w:rPr>
                              <w:rStyle w:val="234"/>
                            </w:rPr>
                            <w:instrText xml:space="preserve"> PAGE </w:instrText>
                          </w:r>
                          <w:r>
                            <w:rPr>
                              <w:rStyle w:val="234"/>
                            </w:rPr>
                            <w:fldChar w:fldCharType="separate"/>
                          </w:r>
                          <w:r>
                            <w:rPr>
                              <w:rStyle w:val="234"/>
                            </w:rPr>
                            <w:t>14</w:t>
                          </w:r>
                          <w:r>
                            <w:rPr>
                              <w:rStyle w:val="234"/>
                            </w:rPr>
                            <w:fldChar w:fldCharType="end"/>
                          </w:r>
                        </w:p>
                        <w:p w14:paraId="0503430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24D723DF">
                    <w:pPr>
                      <w:pStyle w:val="58"/>
                      <w:rPr>
                        <w:rStyle w:val="234"/>
                      </w:rPr>
                    </w:pPr>
                    <w:r>
                      <w:rPr>
                        <w:rStyle w:val="234"/>
                      </w:rPr>
                      <w:fldChar w:fldCharType="begin"/>
                    </w:r>
                    <w:r>
                      <w:rPr>
                        <w:rStyle w:val="234"/>
                      </w:rPr>
                      <w:instrText xml:space="preserve"> PAGE </w:instrText>
                    </w:r>
                    <w:r>
                      <w:rPr>
                        <w:rStyle w:val="234"/>
                      </w:rPr>
                      <w:fldChar w:fldCharType="separate"/>
                    </w:r>
                    <w:r>
                      <w:rPr>
                        <w:rStyle w:val="234"/>
                      </w:rPr>
                      <w:t>14</w:t>
                    </w:r>
                    <w:r>
                      <w:rPr>
                        <w:rStyle w:val="234"/>
                      </w:rPr>
                      <w:fldChar w:fldCharType="end"/>
                    </w:r>
                  </w:p>
                  <w:p w14:paraId="05034300"/>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B1086">
    <w:pPr>
      <w:pStyle w:val="58"/>
      <w:jc w:val="right"/>
      <w:rPr>
        <w:sz w:val="21"/>
        <w:szCs w:val="22"/>
      </w:rPr>
    </w:pPr>
    <w:r>
      <w:rPr>
        <w:sz w:val="21"/>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4F372">
                          <w:pPr>
                            <w:pStyle w:val="58"/>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III</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CC4F372">
                    <w:pPr>
                      <w:pStyle w:val="58"/>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III</w:t>
                    </w:r>
                    <w:r>
                      <w:rPr>
                        <w:rFonts w:ascii="Times New Roman" w:hAnsi="Times New Roman" w:cs="Times New Roman"/>
                      </w:rPr>
                      <w:fldChar w:fldCharType="end"/>
                    </w:r>
                  </w:p>
                </w:txbxContent>
              </v:textbox>
            </v:shape>
          </w:pict>
        </mc:Fallback>
      </mc:AlternateContent>
    </w:r>
  </w:p>
  <w:p w14:paraId="54E4A9B6">
    <w:pPr>
      <w:pStyle w:val="5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1E7DB">
    <w:pPr>
      <w:pStyle w:val="58"/>
      <w:tabs>
        <w:tab w:val="clear" w:pos="4153"/>
      </w:tabs>
      <w:ind w:firstLine="203"/>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35925">
                          <w:pPr>
                            <w:pStyle w:val="58"/>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5B35925">
                    <w:pPr>
                      <w:pStyle w:val="58"/>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ACC42">
    <w:pPr>
      <w:pStyle w:val="253"/>
    </w:pPr>
    <w:r>
      <w:t>T/CSEE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88AD6">
    <w:pPr>
      <w:pStyle w:val="254"/>
      <w:rPr>
        <w:rFonts w:hint="eastAsia" w:eastAsia="宋体"/>
        <w:lang w:eastAsia="zh-CN"/>
      </w:rPr>
    </w:pPr>
    <w:r>
      <w:t>T/CSEE</w:t>
    </w:r>
    <w:r>
      <w:rPr>
        <w:rFonts w:hint="eastAsia"/>
      </w:rPr>
      <w:t>####—202</w:t>
    </w:r>
    <w:r>
      <w:rPr>
        <w:rFonts w:hint="eastAsia"/>
        <w:lang w:val="en-US" w:eastAsia="zh-CN"/>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30C56">
    <w:pPr>
      <w:pStyle w:val="25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5A933">
    <w:pPr>
      <w:pStyle w:val="253"/>
      <w:wordWrap w:val="0"/>
      <w:rPr>
        <w:rFonts w:hint="eastAsia" w:eastAsia="宋体"/>
        <w:lang w:eastAsia="zh-CN"/>
      </w:rPr>
    </w:pPr>
    <w:r>
      <w:t>T/</w:t>
    </w:r>
    <w:r>
      <w:rPr>
        <w:rFonts w:hint="eastAsia"/>
      </w:rPr>
      <w:t>CSEE ####—202</w:t>
    </w:r>
    <w:r>
      <w:rPr>
        <w:rFonts w:hint="eastAsia"/>
        <w:lang w:val="en-US" w:eastAsia="zh-CN"/>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4B5C5"/>
    <w:multiLevelType w:val="singleLevel"/>
    <w:tmpl w:val="8174B5C5"/>
    <w:lvl w:ilvl="0" w:tentative="0">
      <w:start w:val="1"/>
      <w:numFmt w:val="lowerLetter"/>
      <w:suff w:val="nothing"/>
      <w:lvlText w:val="%1）"/>
      <w:lvlJc w:val="left"/>
      <w:rPr>
        <w:rFonts w:hint="default"/>
        <w:sz w:val="21"/>
        <w:szCs w:val="21"/>
      </w:rPr>
    </w:lvl>
  </w:abstractNum>
  <w:abstractNum w:abstractNumId="1">
    <w:nsid w:val="9304B728"/>
    <w:multiLevelType w:val="singleLevel"/>
    <w:tmpl w:val="9304B728"/>
    <w:lvl w:ilvl="0" w:tentative="0">
      <w:start w:val="1"/>
      <w:numFmt w:val="lowerLetter"/>
      <w:suff w:val="nothing"/>
      <w:lvlText w:val="%1）"/>
      <w:lvlJc w:val="left"/>
    </w:lvl>
  </w:abstractNum>
  <w:abstractNum w:abstractNumId="2">
    <w:nsid w:val="AA34967A"/>
    <w:multiLevelType w:val="singleLevel"/>
    <w:tmpl w:val="AA34967A"/>
    <w:lvl w:ilvl="0" w:tentative="0">
      <w:start w:val="1"/>
      <w:numFmt w:val="lowerLetter"/>
      <w:suff w:val="nothing"/>
      <w:lvlText w:val="%1）"/>
      <w:lvlJc w:val="left"/>
      <w:rPr>
        <w:rFonts w:hint="default"/>
        <w:sz w:val="21"/>
        <w:szCs w:val="21"/>
      </w:rPr>
    </w:lvl>
  </w:abstractNum>
  <w:abstractNum w:abstractNumId="3">
    <w:nsid w:val="AA874D20"/>
    <w:multiLevelType w:val="singleLevel"/>
    <w:tmpl w:val="AA874D20"/>
    <w:lvl w:ilvl="0" w:tentative="0">
      <w:start w:val="1"/>
      <w:numFmt w:val="lowerLetter"/>
      <w:suff w:val="nothing"/>
      <w:lvlText w:val="%1）"/>
      <w:lvlJc w:val="left"/>
    </w:lvl>
  </w:abstractNum>
  <w:abstractNum w:abstractNumId="4">
    <w:nsid w:val="C1FB158C"/>
    <w:multiLevelType w:val="singleLevel"/>
    <w:tmpl w:val="C1FB158C"/>
    <w:lvl w:ilvl="0" w:tentative="0">
      <w:start w:val="1"/>
      <w:numFmt w:val="decimal"/>
      <w:suff w:val="space"/>
      <w:lvlText w:val="[%1]"/>
      <w:lvlJc w:val="left"/>
    </w:lvl>
  </w:abstractNum>
  <w:abstractNum w:abstractNumId="5">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6">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7">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8">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9">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10">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11">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12">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13">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14">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5">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14:cntxtalts w14:val="0"/>
      </w:rPr>
    </w:lvl>
    <w:lvl w:ilvl="2" w:tentative="0">
      <w:start w:val="1"/>
      <w:numFmt w:val="none"/>
      <w:pStyle w:val="317"/>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7">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8">
    <w:nsid w:val="0D46713A"/>
    <w:multiLevelType w:val="multilevel"/>
    <w:tmpl w:val="0D46713A"/>
    <w:lvl w:ilvl="0" w:tentative="0">
      <w:start w:val="1"/>
      <w:numFmt w:val="bullet"/>
      <w:pStyle w:val="326"/>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9">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710" w:firstLine="0"/>
      </w:pPr>
      <w:rPr>
        <w:rFonts w:hint="eastAsia" w:ascii="黑体" w:hAnsi="Times New Roman" w:eastAsia="黑体" w:cs="Times New Roman"/>
        <w:b w:val="0"/>
        <w:bCs w:val="0"/>
        <w:i w:val="0"/>
        <w:iCs w:val="0"/>
        <w:caps w:val="0"/>
        <w:strike w:val="0"/>
        <w:dstrike w:val="0"/>
        <w:outline w:val="0"/>
        <w:shadow w:val="0"/>
        <w:emboss w:val="0"/>
        <w:imprint w:val="0"/>
        <w:vanish w:val="0"/>
        <w:color w:val="FF0000"/>
        <w:spacing w:val="0"/>
        <w:kern w:val="0"/>
        <w:position w:val="0"/>
        <w:sz w:val="21"/>
        <w:szCs w:val="21"/>
        <w:u w:val="none"/>
        <w:vertAlign w:val="baseline"/>
      </w:rPr>
    </w:lvl>
    <w:lvl w:ilvl="2" w:tentative="0">
      <w:start w:val="1"/>
      <w:numFmt w:val="decimal"/>
      <w:pStyle w:val="261"/>
      <w:suff w:val="nothing"/>
      <w:lvlText w:val="%1.%2.%3　"/>
      <w:lvlJc w:val="left"/>
      <w:pPr>
        <w:ind w:left="142"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2A8F7113"/>
    <w:multiLevelType w:val="multilevel"/>
    <w:tmpl w:val="2A8F7113"/>
    <w:lvl w:ilvl="0" w:tentative="0">
      <w:start w:val="1"/>
      <w:numFmt w:val="upperLetter"/>
      <w:pStyle w:val="350"/>
      <w:suff w:val="space"/>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281"/>
      <w:suff w:val="nothing"/>
      <w:lvlText w:val="图%1.%2　"/>
      <w:lvlJc w:val="left"/>
      <w:pPr>
        <w:ind w:left="0" w:firstLine="0"/>
      </w:pPr>
      <w:rPr>
        <w:rFonts w:hint="eastAsia" w:eastAsia="黑体"/>
        <w:b w:val="0"/>
        <w:i w:val="0"/>
        <w:sz w:val="21"/>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1">
    <w:nsid w:val="2C5917C3"/>
    <w:multiLevelType w:val="multilevel"/>
    <w:tmpl w:val="2C5917C3"/>
    <w:lvl w:ilvl="0" w:tentative="0">
      <w:start w:val="1"/>
      <w:numFmt w:val="none"/>
      <w:pStyle w:val="515"/>
      <w:suff w:val="nothing"/>
      <w:lvlText w:val="%1——"/>
      <w:lvlJc w:val="left"/>
      <w:pPr>
        <w:ind w:left="833" w:hanging="408"/>
      </w:pPr>
      <w:rPr>
        <w:rFonts w:hint="eastAsia"/>
      </w:rPr>
    </w:lvl>
    <w:lvl w:ilvl="1" w:tentative="0">
      <w:start w:val="1"/>
      <w:numFmt w:val="bullet"/>
      <w:pStyle w:val="516"/>
      <w:lvlText w:val=""/>
      <w:lvlJc w:val="left"/>
      <w:pPr>
        <w:tabs>
          <w:tab w:val="left" w:pos="760"/>
        </w:tabs>
        <w:ind w:left="1264" w:hanging="413"/>
      </w:pPr>
      <w:rPr>
        <w:rFonts w:hint="default" w:ascii="Symbol" w:hAnsi="Symbol"/>
        <w:color w:val="auto"/>
      </w:rPr>
    </w:lvl>
    <w:lvl w:ilvl="2" w:tentative="0">
      <w:start w:val="1"/>
      <w:numFmt w:val="bullet"/>
      <w:pStyle w:val="51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2">
    <w:nsid w:val="34431F99"/>
    <w:multiLevelType w:val="multilevel"/>
    <w:tmpl w:val="34431F99"/>
    <w:lvl w:ilvl="0" w:tentative="0">
      <w:start w:val="1"/>
      <w:numFmt w:val="upperLetter"/>
      <w:pStyle w:val="511"/>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2"/>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41A64E98"/>
    <w:multiLevelType w:val="multilevel"/>
    <w:tmpl w:val="41A64E98"/>
    <w:lvl w:ilvl="0" w:tentative="0">
      <w:start w:val="1"/>
      <w:numFmt w:val="decimal"/>
      <w:pStyle w:val="306"/>
      <w:lvlText w:val="0.%1"/>
      <w:lvlJc w:val="left"/>
      <w:pPr>
        <w:tabs>
          <w:tab w:val="left" w:pos="360"/>
        </w:tabs>
        <w:ind w:left="0" w:firstLine="0"/>
      </w:pPr>
      <w:rPr>
        <w:rFonts w:hint="eastAsia" w:ascii="黑体" w:hAnsi="Times New Roman" w:eastAsia="黑体"/>
        <w:b w:val="0"/>
        <w:i w:val="0"/>
        <w:sz w:val="21"/>
      </w:rPr>
    </w:lvl>
    <w:lvl w:ilvl="1" w:tentative="0">
      <w:start w:val="1"/>
      <w:numFmt w:val="decimal"/>
      <w:pStyle w:val="347"/>
      <w:lvlText w:val="0.%1.%2"/>
      <w:lvlJc w:val="left"/>
      <w:pPr>
        <w:tabs>
          <w:tab w:val="left" w:pos="720"/>
        </w:tabs>
        <w:ind w:left="0" w:firstLine="0"/>
      </w:pPr>
      <w:rPr>
        <w:rFonts w:hint="eastAsia" w:ascii="黑体" w:hAnsi="Times New Roman" w:eastAsia="黑体"/>
        <w:b w:val="0"/>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4">
    <w:nsid w:val="44C50F90"/>
    <w:multiLevelType w:val="multilevel"/>
    <w:tmpl w:val="44C50F90"/>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4B733A5F"/>
    <w:multiLevelType w:val="multilevel"/>
    <w:tmpl w:val="4B733A5F"/>
    <w:lvl w:ilvl="0" w:tentative="0">
      <w:start w:val="1"/>
      <w:numFmt w:val="decimal"/>
      <w:pStyle w:val="30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6">
    <w:nsid w:val="55E02EF4"/>
    <w:multiLevelType w:val="multilevel"/>
    <w:tmpl w:val="55E02EF4"/>
    <w:lvl w:ilvl="0" w:tentative="0">
      <w:start w:val="1"/>
      <w:numFmt w:val="decimal"/>
      <w:pStyle w:val="302"/>
      <w:lvlText w:val="图%1"/>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8">
    <w:nsid w:val="5F297F47"/>
    <w:multiLevelType w:val="singleLevel"/>
    <w:tmpl w:val="5F297F47"/>
    <w:lvl w:ilvl="0" w:tentative="0">
      <w:start w:val="1"/>
      <w:numFmt w:val="lowerLetter"/>
      <w:suff w:val="nothing"/>
      <w:lvlText w:val="%1）"/>
      <w:lvlJc w:val="left"/>
      <w:rPr>
        <w:rFonts w:hint="default"/>
        <w:sz w:val="21"/>
        <w:szCs w:val="21"/>
      </w:rPr>
    </w:lvl>
  </w:abstractNum>
  <w:abstractNum w:abstractNumId="29">
    <w:nsid w:val="60B55DC2"/>
    <w:multiLevelType w:val="multilevel"/>
    <w:tmpl w:val="60B55DC2"/>
    <w:lvl w:ilvl="0" w:tentative="0">
      <w:start w:val="1"/>
      <w:numFmt w:val="upperLetter"/>
      <w:pStyle w:val="349"/>
      <w:lvlText w:val="%1"/>
      <w:lvlJc w:val="left"/>
      <w:pPr>
        <w:tabs>
          <w:tab w:val="left" w:pos="0"/>
        </w:tabs>
        <w:ind w:left="0" w:firstLine="0"/>
      </w:pPr>
      <w:rPr>
        <w:rFonts w:hint="eastAsia"/>
        <w:color w:val="FFFFFF" w:themeColor="background1"/>
        <w:sz w:val="2"/>
        <w14:textFill>
          <w14:solidFill>
            <w14:schemeClr w14:val="bg1"/>
          </w14:solidFill>
        </w14:textFill>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14:cntxtalts w14:val="0"/>
      </w:rPr>
    </w:lvl>
    <w:lvl w:ilvl="2" w:tentative="0">
      <w:start w:val="1"/>
      <w:numFmt w:val="none"/>
      <w:pStyle w:val="318"/>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0">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993"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1">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8"/>
      <w:suff w:val="nothing"/>
      <w:lvlText w:val="%1%2 "/>
      <w:lvlJc w:val="left"/>
      <w:pPr>
        <w:ind w:left="0" w:firstLine="0"/>
      </w:pPr>
      <w:rPr>
        <w:rFonts w:hint="eastAsia" w:ascii="黑体" w:hAnsi="Times New Roman" w:eastAsia="黑体"/>
        <w:b/>
        <w:i w:val="0"/>
        <w:sz w:val="28"/>
      </w:rPr>
    </w:lvl>
    <w:lvl w:ilvl="2" w:tentative="0">
      <w:start w:val="1"/>
      <w:numFmt w:val="decimal"/>
      <w:pStyle w:val="309"/>
      <w:suff w:val="nothing"/>
      <w:lvlText w:val="%1%2.%3　"/>
      <w:lvlJc w:val="left"/>
      <w:pPr>
        <w:ind w:left="0" w:firstLine="0"/>
      </w:pPr>
      <w:rPr>
        <w:rFonts w:hint="eastAsia" w:ascii="黑体" w:hAnsi="Times New Roman" w:eastAsia="黑体"/>
        <w:b/>
        <w:i w:val="0"/>
        <w:sz w:val="21"/>
      </w:rPr>
    </w:lvl>
    <w:lvl w:ilvl="3" w:tentative="0">
      <w:start w:val="1"/>
      <w:numFmt w:val="decimal"/>
      <w:pStyle w:val="310"/>
      <w:suff w:val="nothing"/>
      <w:lvlText w:val="%1%2.%3.%4　"/>
      <w:lvlJc w:val="left"/>
      <w:pPr>
        <w:ind w:left="0" w:firstLine="0"/>
      </w:pPr>
      <w:rPr>
        <w:rFonts w:hint="eastAsia" w:ascii="黑体" w:hAnsi="Times New Roman" w:eastAsia="黑体"/>
        <w:b/>
        <w:i w:val="0"/>
        <w:sz w:val="21"/>
      </w:rPr>
    </w:lvl>
    <w:lvl w:ilvl="4" w:tentative="0">
      <w:start w:val="1"/>
      <w:numFmt w:val="decimal"/>
      <w:pStyle w:val="311"/>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2"/>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3"/>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5"/>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4"/>
      <w:lvlText w:val="%2.0.%9"/>
      <w:lvlJc w:val="left"/>
      <w:pPr>
        <w:tabs>
          <w:tab w:val="left" w:pos="720"/>
        </w:tabs>
        <w:ind w:left="0" w:firstLine="0"/>
      </w:pPr>
      <w:rPr>
        <w:rFonts w:hint="eastAsia" w:ascii="黑体" w:hAnsi="华文细黑" w:eastAsia="黑体"/>
        <w:b/>
        <w:i w:val="0"/>
        <w:sz w:val="21"/>
      </w:rPr>
    </w:lvl>
  </w:abstractNum>
  <w:abstractNum w:abstractNumId="33">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10"/>
  </w:num>
  <w:num w:numId="3">
    <w:abstractNumId w:val="13"/>
  </w:num>
  <w:num w:numId="4">
    <w:abstractNumId w:val="14"/>
  </w:num>
  <w:num w:numId="5">
    <w:abstractNumId w:val="11"/>
  </w:num>
  <w:num w:numId="6">
    <w:abstractNumId w:val="7"/>
  </w:num>
  <w:num w:numId="7">
    <w:abstractNumId w:val="12"/>
  </w:num>
  <w:num w:numId="8">
    <w:abstractNumId w:val="9"/>
  </w:num>
  <w:num w:numId="9">
    <w:abstractNumId w:val="6"/>
  </w:num>
  <w:num w:numId="10">
    <w:abstractNumId w:val="5"/>
  </w:num>
  <w:num w:numId="11">
    <w:abstractNumId w:val="19"/>
  </w:num>
  <w:num w:numId="12">
    <w:abstractNumId w:val="30"/>
  </w:num>
  <w:num w:numId="13">
    <w:abstractNumId w:val="29"/>
  </w:num>
  <w:num w:numId="14">
    <w:abstractNumId w:val="20"/>
  </w:num>
  <w:num w:numId="15">
    <w:abstractNumId w:val="33"/>
  </w:num>
  <w:num w:numId="16">
    <w:abstractNumId w:val="17"/>
  </w:num>
  <w:num w:numId="17">
    <w:abstractNumId w:val="24"/>
  </w:num>
  <w:num w:numId="18">
    <w:abstractNumId w:val="27"/>
  </w:num>
  <w:num w:numId="19">
    <w:abstractNumId w:val="16"/>
  </w:num>
  <w:num w:numId="20">
    <w:abstractNumId w:val="26"/>
  </w:num>
  <w:num w:numId="21">
    <w:abstractNumId w:val="31"/>
  </w:num>
  <w:num w:numId="22">
    <w:abstractNumId w:val="15"/>
  </w:num>
  <w:num w:numId="23">
    <w:abstractNumId w:val="23"/>
  </w:num>
  <w:num w:numId="24">
    <w:abstractNumId w:val="25"/>
  </w:num>
  <w:num w:numId="25">
    <w:abstractNumId w:val="32"/>
  </w:num>
  <w:num w:numId="26">
    <w:abstractNumId w:val="18"/>
  </w:num>
  <w:num w:numId="27">
    <w:abstractNumId w:val="22"/>
  </w:num>
  <w:num w:numId="28">
    <w:abstractNumId w:val="21"/>
  </w:num>
  <w:num w:numId="29">
    <w:abstractNumId w:val="1"/>
  </w:num>
  <w:num w:numId="30">
    <w:abstractNumId w:val="28"/>
  </w:num>
  <w:num w:numId="31">
    <w:abstractNumId w:val="0"/>
  </w:num>
  <w:num w:numId="32">
    <w:abstractNumId w:val="2"/>
  </w:num>
  <w:num w:numId="33">
    <w:abstractNumId w:val="3"/>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21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C85"/>
    <w:rsid w:val="000059B7"/>
    <w:rsid w:val="00006548"/>
    <w:rsid w:val="00023F1B"/>
    <w:rsid w:val="00027BD3"/>
    <w:rsid w:val="00031EEE"/>
    <w:rsid w:val="000327BE"/>
    <w:rsid w:val="00036B39"/>
    <w:rsid w:val="000372EA"/>
    <w:rsid w:val="00040BBF"/>
    <w:rsid w:val="00043421"/>
    <w:rsid w:val="00050E91"/>
    <w:rsid w:val="00053FB5"/>
    <w:rsid w:val="000559B7"/>
    <w:rsid w:val="0006739E"/>
    <w:rsid w:val="00075DD9"/>
    <w:rsid w:val="000768C7"/>
    <w:rsid w:val="00076F59"/>
    <w:rsid w:val="00087B62"/>
    <w:rsid w:val="0009271F"/>
    <w:rsid w:val="0009648F"/>
    <w:rsid w:val="000A3504"/>
    <w:rsid w:val="000A568D"/>
    <w:rsid w:val="000A6E5F"/>
    <w:rsid w:val="000B6461"/>
    <w:rsid w:val="000B6ECB"/>
    <w:rsid w:val="000C21DC"/>
    <w:rsid w:val="000C2EFF"/>
    <w:rsid w:val="000D2D03"/>
    <w:rsid w:val="000E2B29"/>
    <w:rsid w:val="000E7B1D"/>
    <w:rsid w:val="000F1341"/>
    <w:rsid w:val="00123BF9"/>
    <w:rsid w:val="00127602"/>
    <w:rsid w:val="00144633"/>
    <w:rsid w:val="001517CF"/>
    <w:rsid w:val="00157736"/>
    <w:rsid w:val="00164C6D"/>
    <w:rsid w:val="00170B1F"/>
    <w:rsid w:val="00172236"/>
    <w:rsid w:val="00173789"/>
    <w:rsid w:val="001748CC"/>
    <w:rsid w:val="0017737E"/>
    <w:rsid w:val="001830DE"/>
    <w:rsid w:val="001978F5"/>
    <w:rsid w:val="001A5BF9"/>
    <w:rsid w:val="001C2054"/>
    <w:rsid w:val="001D5AA4"/>
    <w:rsid w:val="001D71BA"/>
    <w:rsid w:val="001E17E3"/>
    <w:rsid w:val="001E6DDD"/>
    <w:rsid w:val="001F0E09"/>
    <w:rsid w:val="001F724D"/>
    <w:rsid w:val="00216264"/>
    <w:rsid w:val="00227E52"/>
    <w:rsid w:val="002310FD"/>
    <w:rsid w:val="00235CB0"/>
    <w:rsid w:val="00241AA4"/>
    <w:rsid w:val="00247E6D"/>
    <w:rsid w:val="00264B0A"/>
    <w:rsid w:val="00267674"/>
    <w:rsid w:val="00277D91"/>
    <w:rsid w:val="00282FBE"/>
    <w:rsid w:val="00287FD8"/>
    <w:rsid w:val="002903E4"/>
    <w:rsid w:val="002917C0"/>
    <w:rsid w:val="00291C9B"/>
    <w:rsid w:val="002A3BE2"/>
    <w:rsid w:val="002A4DD0"/>
    <w:rsid w:val="002A68DF"/>
    <w:rsid w:val="002A6B18"/>
    <w:rsid w:val="002B778D"/>
    <w:rsid w:val="002C56FB"/>
    <w:rsid w:val="002C6C4A"/>
    <w:rsid w:val="002E08C1"/>
    <w:rsid w:val="002E3452"/>
    <w:rsid w:val="002E5F3F"/>
    <w:rsid w:val="002E7D89"/>
    <w:rsid w:val="002F1862"/>
    <w:rsid w:val="00303CA5"/>
    <w:rsid w:val="00316CBA"/>
    <w:rsid w:val="00324802"/>
    <w:rsid w:val="00337CA1"/>
    <w:rsid w:val="00366B99"/>
    <w:rsid w:val="003749DB"/>
    <w:rsid w:val="0039249C"/>
    <w:rsid w:val="00397925"/>
    <w:rsid w:val="003A06C5"/>
    <w:rsid w:val="003A4F7B"/>
    <w:rsid w:val="003B65E2"/>
    <w:rsid w:val="003C44DC"/>
    <w:rsid w:val="003C5C82"/>
    <w:rsid w:val="003D636C"/>
    <w:rsid w:val="003E198B"/>
    <w:rsid w:val="003E4714"/>
    <w:rsid w:val="003E7CE2"/>
    <w:rsid w:val="003F2DA8"/>
    <w:rsid w:val="003F603C"/>
    <w:rsid w:val="003F764E"/>
    <w:rsid w:val="00401E35"/>
    <w:rsid w:val="00405B77"/>
    <w:rsid w:val="00406CC1"/>
    <w:rsid w:val="0041207A"/>
    <w:rsid w:val="004149CE"/>
    <w:rsid w:val="00431DEE"/>
    <w:rsid w:val="00436ECC"/>
    <w:rsid w:val="004377A4"/>
    <w:rsid w:val="004414E6"/>
    <w:rsid w:val="00447732"/>
    <w:rsid w:val="00447DDB"/>
    <w:rsid w:val="004548A9"/>
    <w:rsid w:val="004619AC"/>
    <w:rsid w:val="00463A10"/>
    <w:rsid w:val="00463C61"/>
    <w:rsid w:val="004659E0"/>
    <w:rsid w:val="00465B7B"/>
    <w:rsid w:val="00466FF2"/>
    <w:rsid w:val="00467339"/>
    <w:rsid w:val="00470981"/>
    <w:rsid w:val="004826C9"/>
    <w:rsid w:val="0048668C"/>
    <w:rsid w:val="00490088"/>
    <w:rsid w:val="004A009B"/>
    <w:rsid w:val="004A3243"/>
    <w:rsid w:val="004D0182"/>
    <w:rsid w:val="004E4A5B"/>
    <w:rsid w:val="004F2763"/>
    <w:rsid w:val="004F43A3"/>
    <w:rsid w:val="0050545B"/>
    <w:rsid w:val="005134E3"/>
    <w:rsid w:val="00515AC9"/>
    <w:rsid w:val="005175BF"/>
    <w:rsid w:val="00517D40"/>
    <w:rsid w:val="00520DEA"/>
    <w:rsid w:val="00521E61"/>
    <w:rsid w:val="005272AE"/>
    <w:rsid w:val="005322CC"/>
    <w:rsid w:val="00532D32"/>
    <w:rsid w:val="0053303D"/>
    <w:rsid w:val="00534928"/>
    <w:rsid w:val="00545827"/>
    <w:rsid w:val="00562526"/>
    <w:rsid w:val="00573966"/>
    <w:rsid w:val="00573CAA"/>
    <w:rsid w:val="00596BBE"/>
    <w:rsid w:val="005A35D5"/>
    <w:rsid w:val="005A406C"/>
    <w:rsid w:val="005D203A"/>
    <w:rsid w:val="005D5966"/>
    <w:rsid w:val="005F40CC"/>
    <w:rsid w:val="00601445"/>
    <w:rsid w:val="00601FE1"/>
    <w:rsid w:val="00611BD0"/>
    <w:rsid w:val="0061695B"/>
    <w:rsid w:val="00630366"/>
    <w:rsid w:val="00630EC5"/>
    <w:rsid w:val="00640186"/>
    <w:rsid w:val="0065094C"/>
    <w:rsid w:val="00674639"/>
    <w:rsid w:val="00677E34"/>
    <w:rsid w:val="00681844"/>
    <w:rsid w:val="00695523"/>
    <w:rsid w:val="006A01D7"/>
    <w:rsid w:val="006B643E"/>
    <w:rsid w:val="006D12A2"/>
    <w:rsid w:val="006D6D2B"/>
    <w:rsid w:val="006E4DBB"/>
    <w:rsid w:val="006E740A"/>
    <w:rsid w:val="006E7E4F"/>
    <w:rsid w:val="006F1FF9"/>
    <w:rsid w:val="006F39EF"/>
    <w:rsid w:val="007064A5"/>
    <w:rsid w:val="007141B1"/>
    <w:rsid w:val="00715BD0"/>
    <w:rsid w:val="00727842"/>
    <w:rsid w:val="00743CC7"/>
    <w:rsid w:val="0074732A"/>
    <w:rsid w:val="00762D17"/>
    <w:rsid w:val="00767B2F"/>
    <w:rsid w:val="00771546"/>
    <w:rsid w:val="00773A5E"/>
    <w:rsid w:val="00775E39"/>
    <w:rsid w:val="00776408"/>
    <w:rsid w:val="00777A2D"/>
    <w:rsid w:val="0078233D"/>
    <w:rsid w:val="00792DBE"/>
    <w:rsid w:val="00795E45"/>
    <w:rsid w:val="007A3A15"/>
    <w:rsid w:val="007A7829"/>
    <w:rsid w:val="007B224D"/>
    <w:rsid w:val="007D2FAA"/>
    <w:rsid w:val="007D57EF"/>
    <w:rsid w:val="007E0206"/>
    <w:rsid w:val="007E1A72"/>
    <w:rsid w:val="007E3F4F"/>
    <w:rsid w:val="007F69B9"/>
    <w:rsid w:val="00811C33"/>
    <w:rsid w:val="00832699"/>
    <w:rsid w:val="008345DD"/>
    <w:rsid w:val="00846D16"/>
    <w:rsid w:val="00852FD6"/>
    <w:rsid w:val="00854E15"/>
    <w:rsid w:val="00862997"/>
    <w:rsid w:val="0086798F"/>
    <w:rsid w:val="008708FD"/>
    <w:rsid w:val="00876547"/>
    <w:rsid w:val="0089112B"/>
    <w:rsid w:val="008950F1"/>
    <w:rsid w:val="008C0296"/>
    <w:rsid w:val="008C5347"/>
    <w:rsid w:val="008D2560"/>
    <w:rsid w:val="008D383F"/>
    <w:rsid w:val="008E1AE0"/>
    <w:rsid w:val="008E351F"/>
    <w:rsid w:val="00901DA3"/>
    <w:rsid w:val="0091784D"/>
    <w:rsid w:val="00917E12"/>
    <w:rsid w:val="009535DF"/>
    <w:rsid w:val="0095659D"/>
    <w:rsid w:val="0096456D"/>
    <w:rsid w:val="0096648C"/>
    <w:rsid w:val="009676B1"/>
    <w:rsid w:val="009721AF"/>
    <w:rsid w:val="00995610"/>
    <w:rsid w:val="009A2C2B"/>
    <w:rsid w:val="009C0704"/>
    <w:rsid w:val="009C682F"/>
    <w:rsid w:val="009D19E4"/>
    <w:rsid w:val="009E0625"/>
    <w:rsid w:val="009E723F"/>
    <w:rsid w:val="009F6214"/>
    <w:rsid w:val="009F7CDF"/>
    <w:rsid w:val="00A07DA9"/>
    <w:rsid w:val="00A329C9"/>
    <w:rsid w:val="00A342E2"/>
    <w:rsid w:val="00A35C5B"/>
    <w:rsid w:val="00A37B34"/>
    <w:rsid w:val="00A40CF5"/>
    <w:rsid w:val="00A470A7"/>
    <w:rsid w:val="00A473CC"/>
    <w:rsid w:val="00A82202"/>
    <w:rsid w:val="00A832D8"/>
    <w:rsid w:val="00A87239"/>
    <w:rsid w:val="00A94542"/>
    <w:rsid w:val="00AA4903"/>
    <w:rsid w:val="00AA4BDA"/>
    <w:rsid w:val="00AB12B4"/>
    <w:rsid w:val="00AC06BB"/>
    <w:rsid w:val="00AC3ACC"/>
    <w:rsid w:val="00AD4F34"/>
    <w:rsid w:val="00AD7991"/>
    <w:rsid w:val="00AD7ECC"/>
    <w:rsid w:val="00AE108D"/>
    <w:rsid w:val="00AE1DD2"/>
    <w:rsid w:val="00AE3FF9"/>
    <w:rsid w:val="00AE547B"/>
    <w:rsid w:val="00AE63B6"/>
    <w:rsid w:val="00AF2B0D"/>
    <w:rsid w:val="00AF2DD6"/>
    <w:rsid w:val="00B01D8B"/>
    <w:rsid w:val="00B0338D"/>
    <w:rsid w:val="00B0682B"/>
    <w:rsid w:val="00B06B22"/>
    <w:rsid w:val="00B06F9F"/>
    <w:rsid w:val="00B13E76"/>
    <w:rsid w:val="00B140AF"/>
    <w:rsid w:val="00B226E1"/>
    <w:rsid w:val="00B23075"/>
    <w:rsid w:val="00B24932"/>
    <w:rsid w:val="00B37C0E"/>
    <w:rsid w:val="00B454CA"/>
    <w:rsid w:val="00B55871"/>
    <w:rsid w:val="00B565EB"/>
    <w:rsid w:val="00B57F96"/>
    <w:rsid w:val="00B614B1"/>
    <w:rsid w:val="00B74D02"/>
    <w:rsid w:val="00B807AF"/>
    <w:rsid w:val="00B90349"/>
    <w:rsid w:val="00BA7C85"/>
    <w:rsid w:val="00BC6C4C"/>
    <w:rsid w:val="00BE027D"/>
    <w:rsid w:val="00BF3DB8"/>
    <w:rsid w:val="00BF533F"/>
    <w:rsid w:val="00C048E2"/>
    <w:rsid w:val="00C12F1C"/>
    <w:rsid w:val="00C22264"/>
    <w:rsid w:val="00C231D9"/>
    <w:rsid w:val="00C26FF1"/>
    <w:rsid w:val="00C422BC"/>
    <w:rsid w:val="00C531E8"/>
    <w:rsid w:val="00C63371"/>
    <w:rsid w:val="00C7294C"/>
    <w:rsid w:val="00C7721B"/>
    <w:rsid w:val="00C80B64"/>
    <w:rsid w:val="00C825D9"/>
    <w:rsid w:val="00C9093C"/>
    <w:rsid w:val="00CA1496"/>
    <w:rsid w:val="00CA612B"/>
    <w:rsid w:val="00CA6A4E"/>
    <w:rsid w:val="00CB4B70"/>
    <w:rsid w:val="00CB5BB7"/>
    <w:rsid w:val="00CC19EC"/>
    <w:rsid w:val="00CE0378"/>
    <w:rsid w:val="00CF740D"/>
    <w:rsid w:val="00D10F52"/>
    <w:rsid w:val="00D20260"/>
    <w:rsid w:val="00D32102"/>
    <w:rsid w:val="00D46185"/>
    <w:rsid w:val="00D679FB"/>
    <w:rsid w:val="00D77681"/>
    <w:rsid w:val="00DB3DB0"/>
    <w:rsid w:val="00DB5820"/>
    <w:rsid w:val="00DC300E"/>
    <w:rsid w:val="00DC5920"/>
    <w:rsid w:val="00DE3517"/>
    <w:rsid w:val="00DE6C5C"/>
    <w:rsid w:val="00DE79D1"/>
    <w:rsid w:val="00DF3719"/>
    <w:rsid w:val="00DF3FF3"/>
    <w:rsid w:val="00E05C6A"/>
    <w:rsid w:val="00E05E73"/>
    <w:rsid w:val="00E12E32"/>
    <w:rsid w:val="00E23324"/>
    <w:rsid w:val="00E245C7"/>
    <w:rsid w:val="00E307EE"/>
    <w:rsid w:val="00E30917"/>
    <w:rsid w:val="00E33A22"/>
    <w:rsid w:val="00E376DF"/>
    <w:rsid w:val="00E558DE"/>
    <w:rsid w:val="00E638E4"/>
    <w:rsid w:val="00E70F0F"/>
    <w:rsid w:val="00E72F21"/>
    <w:rsid w:val="00E73319"/>
    <w:rsid w:val="00E83142"/>
    <w:rsid w:val="00E87A23"/>
    <w:rsid w:val="00E96E93"/>
    <w:rsid w:val="00ED0CF3"/>
    <w:rsid w:val="00ED1474"/>
    <w:rsid w:val="00ED7098"/>
    <w:rsid w:val="00EE4858"/>
    <w:rsid w:val="00EE4A1A"/>
    <w:rsid w:val="00F172FB"/>
    <w:rsid w:val="00F17B6A"/>
    <w:rsid w:val="00F252F0"/>
    <w:rsid w:val="00F25CA4"/>
    <w:rsid w:val="00F3590F"/>
    <w:rsid w:val="00F66499"/>
    <w:rsid w:val="00F72156"/>
    <w:rsid w:val="00F73EF2"/>
    <w:rsid w:val="00F8041E"/>
    <w:rsid w:val="00F863B5"/>
    <w:rsid w:val="00FB60AC"/>
    <w:rsid w:val="00FB6A1E"/>
    <w:rsid w:val="00FC3980"/>
    <w:rsid w:val="00FC52FA"/>
    <w:rsid w:val="00FD2859"/>
    <w:rsid w:val="00FD74B3"/>
    <w:rsid w:val="00FE15CE"/>
    <w:rsid w:val="0261662C"/>
    <w:rsid w:val="030F6E19"/>
    <w:rsid w:val="0332443F"/>
    <w:rsid w:val="03A65780"/>
    <w:rsid w:val="049B686C"/>
    <w:rsid w:val="04CD7F63"/>
    <w:rsid w:val="04FD02EF"/>
    <w:rsid w:val="056D0BF7"/>
    <w:rsid w:val="060C7EB6"/>
    <w:rsid w:val="07155C37"/>
    <w:rsid w:val="074F71D8"/>
    <w:rsid w:val="08CE1B6B"/>
    <w:rsid w:val="09045F63"/>
    <w:rsid w:val="09436A8B"/>
    <w:rsid w:val="0A873DBB"/>
    <w:rsid w:val="0AE972EE"/>
    <w:rsid w:val="0B03428F"/>
    <w:rsid w:val="0B381EF4"/>
    <w:rsid w:val="0B4A7320"/>
    <w:rsid w:val="0BCA3494"/>
    <w:rsid w:val="0DB55A7E"/>
    <w:rsid w:val="0EC96114"/>
    <w:rsid w:val="0F73174D"/>
    <w:rsid w:val="0FB0474F"/>
    <w:rsid w:val="106D0892"/>
    <w:rsid w:val="12865A44"/>
    <w:rsid w:val="12A04F4F"/>
    <w:rsid w:val="132F0080"/>
    <w:rsid w:val="14535FF1"/>
    <w:rsid w:val="14A16D5C"/>
    <w:rsid w:val="16013F56"/>
    <w:rsid w:val="16F27AFC"/>
    <w:rsid w:val="177547E0"/>
    <w:rsid w:val="17B62F17"/>
    <w:rsid w:val="17F86BE4"/>
    <w:rsid w:val="18C33745"/>
    <w:rsid w:val="19B968F6"/>
    <w:rsid w:val="1A2A7C8C"/>
    <w:rsid w:val="1A8968D9"/>
    <w:rsid w:val="1AB86BAD"/>
    <w:rsid w:val="1BEE5B9E"/>
    <w:rsid w:val="1C4526C3"/>
    <w:rsid w:val="1D9962E4"/>
    <w:rsid w:val="1E174E22"/>
    <w:rsid w:val="1ED16BFC"/>
    <w:rsid w:val="1EE44415"/>
    <w:rsid w:val="1FC41B50"/>
    <w:rsid w:val="1FCB0871"/>
    <w:rsid w:val="20B45708"/>
    <w:rsid w:val="20C9753D"/>
    <w:rsid w:val="22345CC3"/>
    <w:rsid w:val="22D8603F"/>
    <w:rsid w:val="23460683"/>
    <w:rsid w:val="235A47CA"/>
    <w:rsid w:val="24262DDA"/>
    <w:rsid w:val="24420051"/>
    <w:rsid w:val="244514B2"/>
    <w:rsid w:val="246823A5"/>
    <w:rsid w:val="248B0E8F"/>
    <w:rsid w:val="25CB75A5"/>
    <w:rsid w:val="268048F4"/>
    <w:rsid w:val="274D1A03"/>
    <w:rsid w:val="275A1718"/>
    <w:rsid w:val="27E40050"/>
    <w:rsid w:val="28CA642A"/>
    <w:rsid w:val="28D211AB"/>
    <w:rsid w:val="296C777B"/>
    <w:rsid w:val="2C202E47"/>
    <w:rsid w:val="2C6820E3"/>
    <w:rsid w:val="2C840FE5"/>
    <w:rsid w:val="2DD613CD"/>
    <w:rsid w:val="302F5718"/>
    <w:rsid w:val="309D28DD"/>
    <w:rsid w:val="31046251"/>
    <w:rsid w:val="316B2BFE"/>
    <w:rsid w:val="31F055CF"/>
    <w:rsid w:val="342F3728"/>
    <w:rsid w:val="344F7CD1"/>
    <w:rsid w:val="348A2D98"/>
    <w:rsid w:val="34A2025B"/>
    <w:rsid w:val="35081F3D"/>
    <w:rsid w:val="359B1442"/>
    <w:rsid w:val="35EE57ED"/>
    <w:rsid w:val="36A5575F"/>
    <w:rsid w:val="37F3448A"/>
    <w:rsid w:val="38507FCD"/>
    <w:rsid w:val="3B5322AF"/>
    <w:rsid w:val="3B585B17"/>
    <w:rsid w:val="3CAF5C0A"/>
    <w:rsid w:val="3D344362"/>
    <w:rsid w:val="3DB6584A"/>
    <w:rsid w:val="3DBF3FDB"/>
    <w:rsid w:val="3DF127E1"/>
    <w:rsid w:val="3DF35051"/>
    <w:rsid w:val="3E3F6209"/>
    <w:rsid w:val="3F06588A"/>
    <w:rsid w:val="3FA26286"/>
    <w:rsid w:val="409C46F8"/>
    <w:rsid w:val="40DC3396"/>
    <w:rsid w:val="426E5C20"/>
    <w:rsid w:val="43FB2CD2"/>
    <w:rsid w:val="45CE5353"/>
    <w:rsid w:val="461865CE"/>
    <w:rsid w:val="46F479C6"/>
    <w:rsid w:val="4700303E"/>
    <w:rsid w:val="48EB6CEF"/>
    <w:rsid w:val="49A5461D"/>
    <w:rsid w:val="49B857A8"/>
    <w:rsid w:val="4DDE00FE"/>
    <w:rsid w:val="4DF72F6D"/>
    <w:rsid w:val="4F023F02"/>
    <w:rsid w:val="508F3C78"/>
    <w:rsid w:val="51F85506"/>
    <w:rsid w:val="524338AF"/>
    <w:rsid w:val="52E31D12"/>
    <w:rsid w:val="536A6801"/>
    <w:rsid w:val="53C9715A"/>
    <w:rsid w:val="54E3424B"/>
    <w:rsid w:val="54EC1C13"/>
    <w:rsid w:val="556C3E81"/>
    <w:rsid w:val="55807633"/>
    <w:rsid w:val="576653CE"/>
    <w:rsid w:val="58C252AC"/>
    <w:rsid w:val="58F24A5D"/>
    <w:rsid w:val="590E560F"/>
    <w:rsid w:val="594A6647"/>
    <w:rsid w:val="59CA71FB"/>
    <w:rsid w:val="5AA8626D"/>
    <w:rsid w:val="5B4377F2"/>
    <w:rsid w:val="5C0E4BFB"/>
    <w:rsid w:val="5C134AF7"/>
    <w:rsid w:val="5C6F1771"/>
    <w:rsid w:val="5D331AE8"/>
    <w:rsid w:val="5D8F4F70"/>
    <w:rsid w:val="5E203FF8"/>
    <w:rsid w:val="5E391E6B"/>
    <w:rsid w:val="5EE10DD4"/>
    <w:rsid w:val="5FB5552E"/>
    <w:rsid w:val="5FED5F7E"/>
    <w:rsid w:val="607566F6"/>
    <w:rsid w:val="61EB473F"/>
    <w:rsid w:val="629D1EDE"/>
    <w:rsid w:val="62E66672"/>
    <w:rsid w:val="63161E38"/>
    <w:rsid w:val="63D51FDC"/>
    <w:rsid w:val="63F21DB5"/>
    <w:rsid w:val="6476132D"/>
    <w:rsid w:val="64E169E0"/>
    <w:rsid w:val="65DF0A5F"/>
    <w:rsid w:val="65E34ECD"/>
    <w:rsid w:val="66135392"/>
    <w:rsid w:val="66523DCD"/>
    <w:rsid w:val="67B42F98"/>
    <w:rsid w:val="68B72B88"/>
    <w:rsid w:val="68CE6DD6"/>
    <w:rsid w:val="68F4217F"/>
    <w:rsid w:val="69692D79"/>
    <w:rsid w:val="69BC31C5"/>
    <w:rsid w:val="6A14469A"/>
    <w:rsid w:val="6A7D5401"/>
    <w:rsid w:val="6AFE0AFA"/>
    <w:rsid w:val="6B12759D"/>
    <w:rsid w:val="6C405285"/>
    <w:rsid w:val="6C7C0F1C"/>
    <w:rsid w:val="6D552DF0"/>
    <w:rsid w:val="6D796141"/>
    <w:rsid w:val="6E4A6D55"/>
    <w:rsid w:val="6EC46A44"/>
    <w:rsid w:val="70C57A65"/>
    <w:rsid w:val="713954C7"/>
    <w:rsid w:val="719F71CB"/>
    <w:rsid w:val="724644E3"/>
    <w:rsid w:val="7323134A"/>
    <w:rsid w:val="74CE7A47"/>
    <w:rsid w:val="75AB52C9"/>
    <w:rsid w:val="75DF3517"/>
    <w:rsid w:val="75F665F6"/>
    <w:rsid w:val="76361FD5"/>
    <w:rsid w:val="76A77CDE"/>
    <w:rsid w:val="76B90300"/>
    <w:rsid w:val="775872BA"/>
    <w:rsid w:val="775C2E66"/>
    <w:rsid w:val="77B2563F"/>
    <w:rsid w:val="780103C1"/>
    <w:rsid w:val="781070CD"/>
    <w:rsid w:val="78684A3D"/>
    <w:rsid w:val="78966528"/>
    <w:rsid w:val="7BA14395"/>
    <w:rsid w:val="7C47676B"/>
    <w:rsid w:val="7C6106D5"/>
    <w:rsid w:val="7D92659D"/>
    <w:rsid w:val="7EF53904"/>
    <w:rsid w:val="7F297289"/>
    <w:rsid w:val="7F9F7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semiHidden="0"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semiHidden="0"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1"/>
    <w:qFormat/>
    <w:uiPriority w:val="0"/>
    <w:pPr>
      <w:keepNext/>
      <w:keepLines/>
      <w:spacing w:before="240" w:after="64" w:line="320" w:lineRule="auto"/>
      <w:outlineLvl w:val="6"/>
    </w:pPr>
    <w:rPr>
      <w:b/>
      <w:bCs/>
      <w:sz w:val="24"/>
    </w:rPr>
  </w:style>
  <w:style w:type="paragraph" w:styleId="11">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473"/>
    <w:semiHidden/>
    <w:unhideWhenUsed/>
    <w:qFormat/>
    <w:uiPriority w:val="99"/>
    <w:pPr>
      <w:snapToGrid w:val="0"/>
      <w:jc w:val="left"/>
    </w:pPr>
  </w:style>
  <w:style w:type="paragraph" w:styleId="3">
    <w:name w:val="macro"/>
    <w:link w:val="360"/>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semiHidden/>
    <w:unhideWhenUsed/>
    <w:qFormat/>
    <w:uiPriority w:val="99"/>
    <w:pPr>
      <w:ind w:left="100" w:leftChars="400" w:hanging="200" w:hangingChars="200"/>
      <w:contextualSpacing/>
    </w:pPr>
  </w:style>
  <w:style w:type="paragraph" w:styleId="14">
    <w:name w:val="toc 7"/>
    <w:basedOn w:val="15"/>
    <w:semiHidden/>
    <w:qFormat/>
    <w:uiPriority w:val="0"/>
    <w:pPr>
      <w:ind w:left="500" w:leftChars="500"/>
    </w:pPr>
  </w:style>
  <w:style w:type="paragraph" w:styleId="15">
    <w:name w:val="toc 6"/>
    <w:basedOn w:val="16"/>
    <w:semiHidden/>
    <w:qFormat/>
    <w:uiPriority w:val="0"/>
    <w:pPr>
      <w:ind w:left="400" w:leftChars="400"/>
    </w:pPr>
  </w:style>
  <w:style w:type="paragraph" w:styleId="16">
    <w:name w:val="toc 5"/>
    <w:basedOn w:val="17"/>
    <w:semiHidden/>
    <w:qFormat/>
    <w:uiPriority w:val="0"/>
    <w:pPr>
      <w:ind w:left="300" w:leftChars="300"/>
    </w:pPr>
  </w:style>
  <w:style w:type="paragraph" w:styleId="17">
    <w:name w:val="toc 4"/>
    <w:basedOn w:val="18"/>
    <w:semiHidden/>
    <w:qFormat/>
    <w:uiPriority w:val="0"/>
    <w:pPr>
      <w:ind w:left="200" w:leftChars="200"/>
    </w:pPr>
  </w:style>
  <w:style w:type="paragraph" w:styleId="18">
    <w:name w:val="toc 3"/>
    <w:basedOn w:val="19"/>
    <w:qFormat/>
    <w:uiPriority w:val="39"/>
    <w:pPr>
      <w:ind w:left="100" w:leftChars="100"/>
    </w:pPr>
  </w:style>
  <w:style w:type="paragraph" w:styleId="19">
    <w:name w:val="toc 2"/>
    <w:basedOn w:val="1"/>
    <w:next w:val="1"/>
    <w:qFormat/>
    <w:uiPriority w:val="39"/>
  </w:style>
  <w:style w:type="paragraph" w:styleId="20">
    <w:name w:val="List Number 2"/>
    <w:basedOn w:val="1"/>
    <w:semiHidden/>
    <w:unhideWhenUsed/>
    <w:qFormat/>
    <w:uiPriority w:val="99"/>
    <w:pPr>
      <w:numPr>
        <w:ilvl w:val="0"/>
        <w:numId w:val="1"/>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492"/>
    <w:semiHidden/>
    <w:unhideWhenUsed/>
    <w:qFormat/>
    <w:uiPriority w:val="99"/>
    <w:pPr>
      <w:jc w:val="center"/>
    </w:pPr>
  </w:style>
  <w:style w:type="paragraph" w:styleId="23">
    <w:name w:val="List Bullet 4"/>
    <w:basedOn w:val="1"/>
    <w:semiHidden/>
    <w:unhideWhenUsed/>
    <w:qFormat/>
    <w:uiPriority w:val="99"/>
    <w:pPr>
      <w:numPr>
        <w:ilvl w:val="0"/>
        <w:numId w:val="2"/>
      </w:numPr>
      <w:contextualSpacing/>
    </w:pPr>
  </w:style>
  <w:style w:type="paragraph" w:styleId="24">
    <w:name w:val="index 8"/>
    <w:basedOn w:val="1"/>
    <w:next w:val="1"/>
    <w:semiHidden/>
    <w:unhideWhenUsed/>
    <w:qFormat/>
    <w:uiPriority w:val="99"/>
    <w:pPr>
      <w:ind w:left="1400" w:leftChars="1400"/>
    </w:pPr>
  </w:style>
  <w:style w:type="paragraph" w:styleId="25">
    <w:name w:val="E-mail Signature"/>
    <w:basedOn w:val="1"/>
    <w:link w:val="358"/>
    <w:semiHidden/>
    <w:unhideWhenUsed/>
    <w:qFormat/>
    <w:uiPriority w:val="99"/>
  </w:style>
  <w:style w:type="paragraph" w:styleId="26">
    <w:name w:val="List Number"/>
    <w:basedOn w:val="1"/>
    <w:semiHidden/>
    <w:unhideWhenUsed/>
    <w:qFormat/>
    <w:uiPriority w:val="99"/>
    <w:pPr>
      <w:numPr>
        <w:ilvl w:val="0"/>
        <w:numId w:val="3"/>
      </w:numPr>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qFormat/>
    <w:uiPriority w:val="99"/>
    <w:pPr>
      <w:ind w:left="800" w:leftChars="800"/>
    </w:pPr>
  </w:style>
  <w:style w:type="paragraph" w:styleId="30">
    <w:name w:val="List Bullet"/>
    <w:basedOn w:val="1"/>
    <w:semiHidden/>
    <w:unhideWhenUsed/>
    <w:qFormat/>
    <w:uiPriority w:val="99"/>
    <w:pPr>
      <w:numPr>
        <w:ilvl w:val="0"/>
        <w:numId w:val="4"/>
      </w:numPr>
      <w:contextualSpacing/>
    </w:pPr>
  </w:style>
  <w:style w:type="paragraph" w:styleId="31">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4"/>
    <w:semiHidden/>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368"/>
    <w:unhideWhenUsed/>
    <w:qFormat/>
    <w:uiPriority w:val="99"/>
    <w:pPr>
      <w:jc w:val="left"/>
    </w:pPr>
  </w:style>
  <w:style w:type="paragraph" w:styleId="35">
    <w:name w:val="index 6"/>
    <w:basedOn w:val="1"/>
    <w:next w:val="1"/>
    <w:semiHidden/>
    <w:unhideWhenUsed/>
    <w:qFormat/>
    <w:uiPriority w:val="99"/>
    <w:pPr>
      <w:ind w:left="1000" w:leftChars="1000"/>
    </w:pPr>
  </w:style>
  <w:style w:type="paragraph" w:styleId="36">
    <w:name w:val="Salutation"/>
    <w:basedOn w:val="1"/>
    <w:next w:val="1"/>
    <w:link w:val="356"/>
    <w:semiHidden/>
    <w:unhideWhenUsed/>
    <w:qFormat/>
    <w:uiPriority w:val="99"/>
  </w:style>
  <w:style w:type="paragraph" w:styleId="37">
    <w:name w:val="Body Text 3"/>
    <w:basedOn w:val="1"/>
    <w:link w:val="489"/>
    <w:semiHidden/>
    <w:unhideWhenUsed/>
    <w:qFormat/>
    <w:uiPriority w:val="99"/>
    <w:pPr>
      <w:spacing w:after="120"/>
    </w:pPr>
    <w:rPr>
      <w:sz w:val="16"/>
      <w:szCs w:val="16"/>
    </w:rPr>
  </w:style>
  <w:style w:type="paragraph" w:styleId="38">
    <w:name w:val="Closing"/>
    <w:basedOn w:val="1"/>
    <w:link w:val="361"/>
    <w:semiHidden/>
    <w:unhideWhenUsed/>
    <w:qFormat/>
    <w:uiPriority w:val="99"/>
    <w:pPr>
      <w:ind w:left="100" w:leftChars="2100"/>
    </w:pPr>
  </w:style>
  <w:style w:type="paragraph" w:styleId="39">
    <w:name w:val="List Bullet 3"/>
    <w:basedOn w:val="1"/>
    <w:semiHidden/>
    <w:unhideWhenUsed/>
    <w:qFormat/>
    <w:uiPriority w:val="99"/>
    <w:pPr>
      <w:numPr>
        <w:ilvl w:val="0"/>
        <w:numId w:val="5"/>
      </w:numPr>
      <w:contextualSpacing/>
    </w:pPr>
  </w:style>
  <w:style w:type="paragraph" w:styleId="40">
    <w:name w:val="Body Text"/>
    <w:basedOn w:val="1"/>
    <w:link w:val="333"/>
    <w:semiHidden/>
    <w:unhideWhenUsed/>
    <w:qFormat/>
    <w:uiPriority w:val="99"/>
    <w:pPr>
      <w:spacing w:after="120"/>
    </w:pPr>
  </w:style>
  <w:style w:type="paragraph" w:styleId="41">
    <w:name w:val="Body Text Indent"/>
    <w:basedOn w:val="1"/>
    <w:link w:val="486"/>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6"/>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qFormat/>
    <w:uiPriority w:val="99"/>
    <w:pPr>
      <w:numPr>
        <w:ilvl w:val="0"/>
        <w:numId w:val="7"/>
      </w:numPr>
      <w:contextualSpacing/>
    </w:pPr>
  </w:style>
  <w:style w:type="paragraph" w:styleId="47">
    <w:name w:val="HTML Address"/>
    <w:basedOn w:val="1"/>
    <w:semiHidden/>
    <w:qFormat/>
    <w:uiPriority w:val="0"/>
    <w:rPr>
      <w:i/>
      <w:iCs/>
    </w:rPr>
  </w:style>
  <w:style w:type="paragraph" w:styleId="48">
    <w:name w:val="index 4"/>
    <w:basedOn w:val="1"/>
    <w:next w:val="1"/>
    <w:semiHidden/>
    <w:unhideWhenUsed/>
    <w:qFormat/>
    <w:uiPriority w:val="99"/>
    <w:pPr>
      <w:ind w:left="600" w:leftChars="600"/>
    </w:pPr>
  </w:style>
  <w:style w:type="paragraph" w:styleId="49">
    <w:name w:val="Plain Text"/>
    <w:basedOn w:val="1"/>
    <w:link w:val="357"/>
    <w:semiHidden/>
    <w:unhideWhenUsed/>
    <w:qFormat/>
    <w:uiPriority w:val="99"/>
    <w:rPr>
      <w:rFonts w:ascii="宋体" w:hAnsi="Courier New" w:cs="Courier New"/>
      <w:szCs w:val="21"/>
    </w:rPr>
  </w:style>
  <w:style w:type="paragraph" w:styleId="50">
    <w:name w:val="List Bullet 5"/>
    <w:basedOn w:val="1"/>
    <w:semiHidden/>
    <w:unhideWhenUsed/>
    <w:qFormat/>
    <w:uiPriority w:val="99"/>
    <w:pPr>
      <w:numPr>
        <w:ilvl w:val="0"/>
        <w:numId w:val="8"/>
      </w:numPr>
      <w:contextualSpacing/>
    </w:pPr>
  </w:style>
  <w:style w:type="paragraph" w:styleId="51">
    <w:name w:val="List Number 4"/>
    <w:basedOn w:val="1"/>
    <w:semiHidden/>
    <w:unhideWhenUsed/>
    <w:qFormat/>
    <w:uiPriority w:val="99"/>
    <w:pPr>
      <w:numPr>
        <w:ilvl w:val="0"/>
        <w:numId w:val="9"/>
      </w:numPr>
      <w:contextualSpacing/>
    </w:pPr>
  </w:style>
  <w:style w:type="paragraph" w:styleId="52">
    <w:name w:val="toc 8"/>
    <w:basedOn w:val="14"/>
    <w:semiHidden/>
    <w:qFormat/>
    <w:uiPriority w:val="0"/>
  </w:style>
  <w:style w:type="paragraph" w:styleId="53">
    <w:name w:val="index 3"/>
    <w:basedOn w:val="1"/>
    <w:next w:val="1"/>
    <w:semiHidden/>
    <w:unhideWhenUsed/>
    <w:qFormat/>
    <w:uiPriority w:val="99"/>
    <w:pPr>
      <w:ind w:left="400" w:leftChars="400"/>
    </w:pPr>
  </w:style>
  <w:style w:type="paragraph" w:styleId="54">
    <w:name w:val="Date"/>
    <w:basedOn w:val="1"/>
    <w:next w:val="1"/>
    <w:link w:val="420"/>
    <w:semiHidden/>
    <w:unhideWhenUsed/>
    <w:qFormat/>
    <w:uiPriority w:val="99"/>
    <w:pPr>
      <w:ind w:left="100" w:leftChars="2500"/>
    </w:pPr>
  </w:style>
  <w:style w:type="paragraph" w:styleId="55">
    <w:name w:val="Body Text Indent 2"/>
    <w:basedOn w:val="1"/>
    <w:link w:val="490"/>
    <w:semiHidden/>
    <w:unhideWhenUsed/>
    <w:qFormat/>
    <w:uiPriority w:val="99"/>
    <w:pPr>
      <w:spacing w:after="120" w:line="480" w:lineRule="auto"/>
      <w:ind w:left="420" w:leftChars="200"/>
    </w:pPr>
  </w:style>
  <w:style w:type="paragraph" w:styleId="56">
    <w:name w:val="List Continue 5"/>
    <w:basedOn w:val="1"/>
    <w:semiHidden/>
    <w:unhideWhenUsed/>
    <w:qFormat/>
    <w:uiPriority w:val="99"/>
    <w:pPr>
      <w:spacing w:after="120"/>
      <w:ind w:left="2100" w:leftChars="1000"/>
      <w:contextualSpacing/>
    </w:pPr>
  </w:style>
  <w:style w:type="paragraph" w:styleId="57">
    <w:name w:val="Balloon Text"/>
    <w:basedOn w:val="1"/>
    <w:link w:val="367"/>
    <w:semiHidden/>
    <w:unhideWhenUsed/>
    <w:qFormat/>
    <w:uiPriority w:val="99"/>
    <w:rPr>
      <w:sz w:val="18"/>
      <w:szCs w:val="18"/>
    </w:rPr>
  </w:style>
  <w:style w:type="paragraph" w:styleId="58">
    <w:name w:val="footer"/>
    <w:basedOn w:val="1"/>
    <w:semiHidden/>
    <w:qFormat/>
    <w:uiPriority w:val="0"/>
    <w:pPr>
      <w:tabs>
        <w:tab w:val="center" w:pos="4153"/>
        <w:tab w:val="right" w:pos="8306"/>
      </w:tabs>
      <w:snapToGrid w:val="0"/>
      <w:ind w:right="210" w:rightChars="100"/>
      <w:jc w:val="right"/>
    </w:pPr>
    <w:rPr>
      <w:sz w:val="18"/>
      <w:szCs w:val="18"/>
    </w:rPr>
  </w:style>
  <w:style w:type="paragraph" w:styleId="59">
    <w:name w:val="envelope return"/>
    <w:basedOn w:val="1"/>
    <w:semiHidden/>
    <w:unhideWhenUsed/>
    <w:qFormat/>
    <w:uiPriority w:val="99"/>
    <w:pPr>
      <w:snapToGrid w:val="0"/>
    </w:pPr>
    <w:rPr>
      <w:rFonts w:asciiTheme="majorHAnsi" w:hAnsiTheme="majorHAnsi" w:eastAsiaTheme="majorEastAsia" w:cstheme="majorBidi"/>
    </w:rPr>
  </w:style>
  <w:style w:type="paragraph" w:styleId="60">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1">
    <w:name w:val="Signature"/>
    <w:basedOn w:val="1"/>
    <w:link w:val="370"/>
    <w:semiHidden/>
    <w:unhideWhenUsed/>
    <w:qFormat/>
    <w:uiPriority w:val="99"/>
    <w:pPr>
      <w:ind w:left="100" w:leftChars="2100"/>
    </w:pPr>
  </w:style>
  <w:style w:type="paragraph" w:styleId="62">
    <w:name w:val="toc 1"/>
    <w:basedOn w:val="1"/>
    <w:next w:val="1"/>
    <w:qFormat/>
    <w:uiPriority w:val="39"/>
    <w:pPr>
      <w:spacing w:before="25" w:beforeLines="25" w:after="25" w:afterLines="25"/>
      <w:jc w:val="both"/>
    </w:pPr>
    <w:rPr>
      <w:rFonts w:ascii="宋体" w:hAnsi="Times New Roman" w:eastAsia="宋体" w:cs="Times New Roman"/>
      <w:sz w:val="21"/>
      <w:lang w:val="en-US" w:eastAsia="zh-CN" w:bidi="ar-SA"/>
    </w:r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semiHidden/>
    <w:unhideWhenUsed/>
    <w:qFormat/>
    <w:uiPriority w:val="99"/>
    <w:rPr>
      <w:rFonts w:ascii="宋体" w:hAnsi="宋体"/>
    </w:rPr>
  </w:style>
  <w:style w:type="paragraph" w:styleId="66">
    <w:name w:val="Subtitle"/>
    <w:basedOn w:val="1"/>
    <w:next w:val="1"/>
    <w:link w:val="359"/>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0"/>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91"/>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semiHidden/>
    <w:qFormat/>
    <w:uiPriority w:val="0"/>
  </w:style>
  <w:style w:type="paragraph" w:styleId="75">
    <w:name w:val="toc 9"/>
    <w:basedOn w:val="52"/>
    <w:semiHidden/>
    <w:qFormat/>
    <w:uiPriority w:val="0"/>
  </w:style>
  <w:style w:type="paragraph" w:styleId="76">
    <w:name w:val="Body Text 2"/>
    <w:basedOn w:val="1"/>
    <w:link w:val="488"/>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8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9"/>
    <w:semiHidden/>
    <w:unhideWhenUsed/>
    <w:qFormat/>
    <w:uiPriority w:val="99"/>
    <w:rPr>
      <w:b/>
      <w:bCs/>
    </w:rPr>
  </w:style>
  <w:style w:type="paragraph" w:styleId="86">
    <w:name w:val="Body Text First Indent"/>
    <w:basedOn w:val="40"/>
    <w:link w:val="485"/>
    <w:semiHidden/>
    <w:unhideWhenUsed/>
    <w:qFormat/>
    <w:uiPriority w:val="99"/>
    <w:pPr>
      <w:ind w:firstLine="420" w:firstLineChars="100"/>
    </w:pPr>
  </w:style>
  <w:style w:type="paragraph" w:styleId="87">
    <w:name w:val="Body Text First Indent 2"/>
    <w:basedOn w:val="41"/>
    <w:link w:val="487"/>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link w:val="513"/>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9"/>
    </w:p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8"/>
    <w:qFormat/>
    <w:uiPriority w:val="0"/>
    <w:pPr>
      <w:numPr>
        <w:ilvl w:val="1"/>
        <w:numId w:val="12"/>
      </w:numPr>
      <w:wordWrap w:val="0"/>
      <w:overflowPunct w:val="0"/>
      <w:autoSpaceDE w:val="0"/>
      <w:spacing w:before="50" w:beforeLines="50" w:after="50" w:afterLines="50"/>
      <w:jc w:val="both"/>
      <w:textAlignment w:val="baseline"/>
    </w:pPr>
    <w:rPr>
      <w:rFonts w:ascii="黑体" w:hAnsi="Times New Roman" w:eastAsia="黑体" w:cs="Times New Roman"/>
      <w:kern w:val="21"/>
      <w:sz w:val="21"/>
      <w:lang w:val="en-US" w:eastAsia="zh-CN" w:bidi="ar-SA"/>
    </w:rPr>
  </w:style>
  <w:style w:type="paragraph" w:customStyle="1" w:styleId="277">
    <w:name w:val="附录一级条标题"/>
    <w:basedOn w:val="276"/>
    <w:next w:val="258"/>
    <w:qFormat/>
    <w:uiPriority w:val="0"/>
    <w:pPr>
      <w:numPr>
        <w:ilvl w:val="2"/>
      </w:numPr>
      <w:autoSpaceDN w:val="0"/>
    </w:pPr>
  </w:style>
  <w:style w:type="paragraph" w:customStyle="1" w:styleId="278">
    <w:name w:val="附录二级条标题"/>
    <w:basedOn w:val="1"/>
    <w:next w:val="258"/>
    <w:qFormat/>
    <w:uiPriority w:val="0"/>
    <w:pPr>
      <w:widowControl/>
      <w:numPr>
        <w:ilvl w:val="3"/>
        <w:numId w:val="12"/>
      </w:numPr>
      <w:wordWrap w:val="0"/>
      <w:overflowPunct w:val="0"/>
      <w:autoSpaceDE w:val="0"/>
      <w:autoSpaceDN w:val="0"/>
      <w:spacing w:before="50" w:beforeLines="50" w:after="50" w:afterLines="50"/>
      <w:textAlignment w:val="baseline"/>
    </w:pPr>
    <w:rPr>
      <w:rFonts w:ascii="黑体" w:eastAsia="黑体"/>
      <w:kern w:val="21"/>
      <w:szCs w:val="20"/>
    </w:rPr>
  </w:style>
  <w:style w:type="paragraph" w:customStyle="1" w:styleId="279">
    <w:name w:val="附录三级条标题"/>
    <w:basedOn w:val="278"/>
    <w:next w:val="258"/>
    <w:qFormat/>
    <w:uiPriority w:val="0"/>
    <w:pPr>
      <w:numPr>
        <w:ilvl w:val="4"/>
      </w:numPr>
    </w:pPr>
  </w:style>
  <w:style w:type="paragraph" w:customStyle="1" w:styleId="280">
    <w:name w:val="附录四级条标题"/>
    <w:basedOn w:val="279"/>
    <w:next w:val="258"/>
    <w:qFormat/>
    <w:uiPriority w:val="0"/>
    <w:pPr>
      <w:numPr>
        <w:ilvl w:val="5"/>
      </w:numPr>
    </w:pPr>
  </w:style>
  <w:style w:type="paragraph" w:customStyle="1" w:styleId="281">
    <w:name w:val="附录图标题"/>
    <w:basedOn w:val="1"/>
    <w:next w:val="1"/>
    <w:qFormat/>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qFormat/>
    <w:uiPriority w:val="0"/>
    <w:pPr>
      <w:widowControl w:val="0"/>
      <w:numPr>
        <w:ilvl w:val="0"/>
        <w:numId w:val="1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pPr>
  </w:style>
  <w:style w:type="paragraph" w:customStyle="1" w:styleId="291">
    <w:name w:val="实施日期"/>
    <w:basedOn w:val="264"/>
    <w:qFormat/>
    <w:uiPriority w:val="0"/>
    <w:pPr>
      <w:jc w:val="right"/>
    </w:pPr>
  </w:style>
  <w:style w:type="paragraph" w:customStyle="1" w:styleId="292">
    <w:name w:val="示例"/>
    <w:next w:val="29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qFormat/>
    <w:uiPriority w:val="0"/>
    <w:pPr>
      <w:ind w:firstLine="420"/>
    </w:pPr>
    <w:rPr>
      <w:sz w:val="18"/>
    </w:rPr>
  </w:style>
  <w:style w:type="paragraph" w:customStyle="1" w:styleId="294">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qFormat/>
    <w:uiPriority w:val="0"/>
    <w:pPr>
      <w:numPr>
        <w:ilvl w:val="4"/>
      </w:numPr>
    </w:pPr>
  </w:style>
  <w:style w:type="paragraph" w:customStyle="1" w:styleId="296">
    <w:name w:val="条文脚注"/>
    <w:basedOn w:val="69"/>
    <w:link w:val="332"/>
    <w:qFormat/>
    <w:uiPriority w:val="0"/>
    <w:pPr>
      <w:numPr>
        <w:ilvl w:val="0"/>
        <w:numId w:val="18"/>
      </w:numPr>
      <w:ind w:firstLine="0" w:firstLineChars="0"/>
      <w:jc w:val="both"/>
    </w:pPr>
    <w:rPr>
      <w:rFonts w:ascii="宋体"/>
    </w:rPr>
  </w:style>
  <w:style w:type="paragraph" w:customStyle="1" w:styleId="297">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qFormat/>
    <w:uiPriority w:val="0"/>
    <w:pPr>
      <w:numPr>
        <w:ilvl w:val="5"/>
      </w:numPr>
    </w:pPr>
  </w:style>
  <w:style w:type="paragraph" w:customStyle="1" w:styleId="301">
    <w:name w:val="正文表标题"/>
    <w:next w:val="258"/>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qFormat/>
    <w:uiPriority w:val="0"/>
    <w:pPr>
      <w:numPr>
        <w:ilvl w:val="0"/>
        <w:numId w:val="20"/>
      </w:numPr>
      <w:tabs>
        <w:tab w:val="clear" w:pos="360"/>
      </w:tabs>
    </w:pPr>
  </w:style>
  <w:style w:type="paragraph" w:customStyle="1" w:styleId="303">
    <w:name w:val="注："/>
    <w:next w:val="1"/>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2"/>
      </w:numPr>
      <w:autoSpaceDE w:val="0"/>
      <w:autoSpaceDN w:val="0"/>
      <w:jc w:val="both"/>
    </w:pPr>
    <w:rPr>
      <w:rFonts w:ascii="黑体" w:hAnsi="Times New Roman" w:cs="Times New Roman" w:eastAsiaTheme="minorEastAsia"/>
      <w:sz w:val="18"/>
      <w:szCs w:val="18"/>
      <w:lang w:val="en-US" w:eastAsia="zh-CN" w:bidi="ar-SA"/>
    </w:rPr>
  </w:style>
  <w:style w:type="paragraph" w:customStyle="1" w:styleId="305">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引言一级条标题"/>
    <w:basedOn w:val="1"/>
    <w:next w:val="258"/>
    <w:qFormat/>
    <w:uiPriority w:val="0"/>
    <w:pPr>
      <w:widowControl/>
      <w:numPr>
        <w:ilvl w:val="0"/>
        <w:numId w:val="23"/>
      </w:numPr>
      <w:tabs>
        <w:tab w:val="clear" w:pos="360"/>
      </w:tabs>
      <w:spacing w:before="50" w:beforeLines="50" w:after="50" w:afterLines="50"/>
    </w:pPr>
    <w:rPr>
      <w:rFonts w:eastAsia="黑体"/>
    </w:rPr>
  </w:style>
  <w:style w:type="paragraph" w:customStyle="1" w:styleId="307">
    <w:name w:val="示例×："/>
    <w:basedOn w:val="1"/>
    <w:next w:val="293"/>
    <w:qFormat/>
    <w:uiPriority w:val="0"/>
    <w:pPr>
      <w:widowControl/>
      <w:numPr>
        <w:ilvl w:val="0"/>
        <w:numId w:val="24"/>
      </w:numPr>
    </w:pPr>
    <w:rPr>
      <w:rFonts w:ascii="宋体"/>
      <w:kern w:val="0"/>
      <w:sz w:val="18"/>
      <w:szCs w:val="18"/>
    </w:rPr>
  </w:style>
  <w:style w:type="paragraph" w:customStyle="1" w:styleId="308">
    <w:name w:val="工程建设章标题"/>
    <w:next w:val="258"/>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9">
    <w:name w:val="工程建设节标题"/>
    <w:basedOn w:val="308"/>
    <w:next w:val="258"/>
    <w:qFormat/>
    <w:uiPriority w:val="0"/>
    <w:pPr>
      <w:numPr>
        <w:ilvl w:val="2"/>
      </w:numPr>
      <w:spacing w:before="400" w:after="400" w:line="240" w:lineRule="auto"/>
      <w:outlineLvl w:val="2"/>
    </w:pPr>
    <w:rPr>
      <w:sz w:val="21"/>
    </w:rPr>
  </w:style>
  <w:style w:type="paragraph" w:customStyle="1" w:styleId="310">
    <w:name w:val="工程建设条标题"/>
    <w:basedOn w:val="309"/>
    <w:next w:val="258"/>
    <w:qFormat/>
    <w:uiPriority w:val="0"/>
    <w:pPr>
      <w:numPr>
        <w:ilvl w:val="3"/>
      </w:numPr>
      <w:spacing w:before="0" w:after="0"/>
      <w:jc w:val="left"/>
      <w:outlineLvl w:val="3"/>
    </w:pPr>
    <w:rPr>
      <w:b w:val="0"/>
    </w:rPr>
  </w:style>
  <w:style w:type="paragraph" w:customStyle="1" w:styleId="311">
    <w:name w:val="工程建设表标题"/>
    <w:basedOn w:val="310"/>
    <w:qFormat/>
    <w:uiPriority w:val="0"/>
    <w:pPr>
      <w:numPr>
        <w:ilvl w:val="4"/>
      </w:numPr>
      <w:jc w:val="center"/>
      <w:outlineLvl w:val="4"/>
    </w:pPr>
  </w:style>
  <w:style w:type="paragraph" w:customStyle="1" w:styleId="312">
    <w:name w:val="工程建设图标题"/>
    <w:basedOn w:val="310"/>
    <w:qFormat/>
    <w:uiPriority w:val="0"/>
    <w:pPr>
      <w:numPr>
        <w:ilvl w:val="5"/>
      </w:numPr>
      <w:jc w:val="center"/>
      <w:outlineLvl w:val="5"/>
    </w:pPr>
  </w:style>
  <w:style w:type="paragraph" w:customStyle="1" w:styleId="313">
    <w:name w:val="工程建设公式标题"/>
    <w:basedOn w:val="310"/>
    <w:qFormat/>
    <w:uiPriority w:val="0"/>
    <w:pPr>
      <w:numPr>
        <w:ilvl w:val="6"/>
      </w:numPr>
      <w:jc w:val="center"/>
      <w:outlineLvl w:val="6"/>
    </w:pPr>
  </w:style>
  <w:style w:type="paragraph" w:customStyle="1" w:styleId="314">
    <w:name w:val="工程建设无节条标题"/>
    <w:basedOn w:val="1"/>
    <w:next w:val="258"/>
    <w:qFormat/>
    <w:uiPriority w:val="0"/>
    <w:pPr>
      <w:numPr>
        <w:ilvl w:val="8"/>
        <w:numId w:val="25"/>
      </w:numPr>
      <w:tabs>
        <w:tab w:val="clear" w:pos="720"/>
      </w:tabs>
      <w:outlineLvl w:val="3"/>
    </w:pPr>
  </w:style>
  <w:style w:type="paragraph" w:customStyle="1" w:styleId="315">
    <w:name w:val="工程建设款标题"/>
    <w:basedOn w:val="310"/>
    <w:qFormat/>
    <w:uiPriority w:val="0"/>
    <w:pPr>
      <w:numPr>
        <w:ilvl w:val="7"/>
      </w:numPr>
      <w:outlineLvl w:val="9"/>
    </w:pPr>
  </w:style>
  <w:style w:type="paragraph" w:customStyle="1" w:styleId="316">
    <w:name w:val="名称"/>
    <w:basedOn w:val="256"/>
    <w:next w:val="258"/>
    <w:qFormat/>
    <w:uiPriority w:val="0"/>
    <w:pPr>
      <w:spacing w:line="460" w:lineRule="exact"/>
      <w:outlineLvl w:val="9"/>
    </w:pPr>
  </w:style>
  <w:style w:type="paragraph" w:customStyle="1" w:styleId="317">
    <w:name w:val="正文表标题续表"/>
    <w:basedOn w:val="301"/>
    <w:next w:val="258"/>
    <w:qFormat/>
    <w:uiPriority w:val="0"/>
    <w:pPr>
      <w:numPr>
        <w:ilvl w:val="2"/>
      </w:numPr>
    </w:pPr>
  </w:style>
  <w:style w:type="paragraph" w:customStyle="1" w:styleId="318">
    <w:name w:val="附录表标题续表"/>
    <w:basedOn w:val="275"/>
    <w:next w:val="258"/>
    <w:qFormat/>
    <w:uiPriority w:val="0"/>
    <w:pPr>
      <w:numPr>
        <w:ilvl w:val="2"/>
      </w:numPr>
    </w:pPr>
  </w:style>
  <w:style w:type="paragraph" w:customStyle="1" w:styleId="319">
    <w:name w:val="术语定义二级条标题"/>
    <w:basedOn w:val="261"/>
    <w:next w:val="258"/>
    <w:qFormat/>
    <w:uiPriority w:val="0"/>
    <w:pPr>
      <w:spacing w:before="0" w:beforeLines="0" w:after="0" w:afterLines="0"/>
    </w:pPr>
  </w:style>
  <w:style w:type="paragraph" w:customStyle="1" w:styleId="320">
    <w:name w:val="术语定义三级条标题"/>
    <w:basedOn w:val="290"/>
    <w:next w:val="258"/>
    <w:qFormat/>
    <w:uiPriority w:val="0"/>
    <w:pPr>
      <w:spacing w:before="0" w:beforeLines="0" w:after="0" w:afterLines="0"/>
    </w:pPr>
  </w:style>
  <w:style w:type="paragraph" w:customStyle="1" w:styleId="321">
    <w:name w:val="式中"/>
    <w:qFormat/>
    <w:uiPriority w:val="0"/>
    <w:pPr>
      <w:ind w:left="200" w:leftChars="200"/>
    </w:pPr>
    <w:rPr>
      <w:rFonts w:ascii="宋体" w:hAnsi="Times New Roman" w:eastAsia="宋体" w:cs="Times New Roman"/>
      <w:sz w:val="21"/>
      <w:lang w:val="en-US" w:eastAsia="zh-CN" w:bidi="ar-SA"/>
    </w:rPr>
  </w:style>
  <w:style w:type="paragraph" w:customStyle="1" w:styleId="322">
    <w:name w:val="术语定义四级条标题"/>
    <w:basedOn w:val="295"/>
    <w:next w:val="258"/>
    <w:qFormat/>
    <w:uiPriority w:val="0"/>
    <w:pPr>
      <w:spacing w:before="0" w:beforeLines="0" w:after="0" w:afterLines="0"/>
    </w:pPr>
  </w:style>
  <w:style w:type="paragraph" w:customStyle="1" w:styleId="323">
    <w:name w:val="术语定义五级条标题"/>
    <w:basedOn w:val="300"/>
    <w:next w:val="258"/>
    <w:qFormat/>
    <w:uiPriority w:val="0"/>
    <w:pPr>
      <w:spacing w:before="0" w:beforeLines="0" w:after="0" w:afterLines="0"/>
    </w:pPr>
  </w:style>
  <w:style w:type="paragraph" w:customStyle="1" w:styleId="324">
    <w:name w:val="术语定义一级条标题"/>
    <w:basedOn w:val="260"/>
    <w:next w:val="258"/>
    <w:qFormat/>
    <w:uiPriority w:val="0"/>
    <w:pPr>
      <w:spacing w:before="0" w:beforeLines="0" w:after="0" w:afterLines="0"/>
      <w:outlineLvl w:val="9"/>
    </w:pPr>
  </w:style>
  <w:style w:type="paragraph" w:customStyle="1" w:styleId="325">
    <w:name w:val="条文说明"/>
    <w:basedOn w:val="316"/>
    <w:qFormat/>
    <w:uiPriority w:val="0"/>
  </w:style>
  <w:style w:type="paragraph" w:customStyle="1" w:styleId="326">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7">
    <w:name w:val="二级无标题条"/>
    <w:basedOn w:val="261"/>
    <w:qFormat/>
    <w:uiPriority w:val="0"/>
    <w:pPr>
      <w:spacing w:before="0" w:beforeLines="0" w:after="0" w:afterLines="0"/>
    </w:pPr>
    <w:rPr>
      <w:rFonts w:eastAsiaTheme="majorEastAsia"/>
    </w:rPr>
  </w:style>
  <w:style w:type="paragraph" w:customStyle="1" w:styleId="328">
    <w:name w:val="三级无标题条"/>
    <w:basedOn w:val="290"/>
    <w:qFormat/>
    <w:uiPriority w:val="0"/>
    <w:pPr>
      <w:spacing w:before="0" w:beforeLines="0" w:after="0" w:afterLines="0"/>
    </w:pPr>
    <w:rPr>
      <w:rFonts w:eastAsiaTheme="majorEastAsia"/>
    </w:rPr>
  </w:style>
  <w:style w:type="paragraph" w:customStyle="1" w:styleId="329">
    <w:name w:val="四级无标题条"/>
    <w:basedOn w:val="295"/>
    <w:qFormat/>
    <w:uiPriority w:val="0"/>
    <w:pPr>
      <w:spacing w:before="0" w:beforeLines="0" w:after="0" w:afterLines="0"/>
    </w:pPr>
    <w:rPr>
      <w:rFonts w:eastAsiaTheme="majorEastAsia"/>
    </w:rPr>
  </w:style>
  <w:style w:type="paragraph" w:customStyle="1" w:styleId="330">
    <w:name w:val="五级无标题条"/>
    <w:basedOn w:val="300"/>
    <w:qFormat/>
    <w:uiPriority w:val="0"/>
    <w:pPr>
      <w:spacing w:before="0" w:beforeLines="0" w:after="0" w:afterLines="0"/>
    </w:pPr>
    <w:rPr>
      <w:rFonts w:eastAsiaTheme="majorEastAsia"/>
    </w:rPr>
  </w:style>
  <w:style w:type="paragraph" w:customStyle="1" w:styleId="331">
    <w:name w:val="一级无标题条"/>
    <w:basedOn w:val="260"/>
    <w:qFormat/>
    <w:uiPriority w:val="0"/>
    <w:pPr>
      <w:spacing w:before="0" w:beforeLines="0" w:after="0" w:afterLines="0"/>
      <w:outlineLvl w:val="9"/>
    </w:pPr>
    <w:rPr>
      <w:rFonts w:eastAsiaTheme="majorEastAsia"/>
    </w:rPr>
  </w:style>
  <w:style w:type="character" w:customStyle="1" w:styleId="332">
    <w:name w:val="条文脚注 Char"/>
    <w:basedOn w:val="333"/>
    <w:link w:val="296"/>
    <w:qFormat/>
    <w:uiPriority w:val="0"/>
    <w:rPr>
      <w:rFonts w:ascii="宋体"/>
      <w:kern w:val="2"/>
      <w:sz w:val="18"/>
      <w:szCs w:val="18"/>
    </w:rPr>
  </w:style>
  <w:style w:type="character" w:customStyle="1" w:styleId="333">
    <w:name w:val="正文文本 Char"/>
    <w:basedOn w:val="231"/>
    <w:link w:val="40"/>
    <w:semiHidden/>
    <w:qFormat/>
    <w:uiPriority w:val="99"/>
    <w:rPr>
      <w:kern w:val="2"/>
      <w:sz w:val="21"/>
      <w:szCs w:val="24"/>
    </w:rPr>
  </w:style>
  <w:style w:type="paragraph" w:customStyle="1" w:styleId="334">
    <w:name w:val="ICS"/>
    <w:basedOn w:val="273"/>
    <w:qFormat/>
    <w:uiPriority w:val="0"/>
    <w:pPr>
      <w:jc w:val="left"/>
    </w:pPr>
    <w:rPr>
      <w:rFonts w:ascii="黑体" w:eastAsia="黑体"/>
      <w:sz w:val="21"/>
    </w:rPr>
  </w:style>
  <w:style w:type="paragraph" w:customStyle="1" w:styleId="335">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6">
    <w:name w:val="发布"/>
    <w:basedOn w:val="40"/>
    <w:qFormat/>
    <w:uiPriority w:val="0"/>
    <w:pPr>
      <w:spacing w:after="0" w:line="280" w:lineRule="exact"/>
      <w:ind w:left="284"/>
    </w:pPr>
    <w:rPr>
      <w:rFonts w:ascii="黑体" w:eastAsia="黑体"/>
      <w:kern w:val="3"/>
      <w:sz w:val="28"/>
    </w:rPr>
  </w:style>
  <w:style w:type="paragraph" w:customStyle="1" w:styleId="337">
    <w:name w:val="标准称谓DB"/>
    <w:next w:val="1"/>
    <w:link w:val="338"/>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8">
    <w:name w:val="标准称谓DB Char"/>
    <w:basedOn w:val="231"/>
    <w:link w:val="337"/>
    <w:qFormat/>
    <w:uiPriority w:val="0"/>
    <w:rPr>
      <w:rFonts w:ascii="Britannic Bold" w:hAnsi="Britannic Bold" w:eastAsia="黑体"/>
      <w:bCs/>
      <w:w w:val="135"/>
      <w:sz w:val="44"/>
    </w:rPr>
  </w:style>
  <w:style w:type="paragraph" w:customStyle="1" w:styleId="339">
    <w:name w:val="标准称谓QB"/>
    <w:next w:val="1"/>
    <w:link w:val="340"/>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40">
    <w:name w:val="标准称谓QB Char"/>
    <w:basedOn w:val="231"/>
    <w:link w:val="339"/>
    <w:qFormat/>
    <w:uiPriority w:val="0"/>
    <w:rPr>
      <w:rFonts w:ascii="Arial Black" w:hAnsi="Arial Black" w:eastAsia="黑体"/>
      <w:bCs/>
      <w:w w:val="135"/>
      <w:sz w:val="44"/>
    </w:rPr>
  </w:style>
  <w:style w:type="paragraph" w:customStyle="1" w:styleId="341">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3">
    <w:name w:val="发布部门QB"/>
    <w:next w:val="1"/>
    <w:qFormat/>
    <w:uiPriority w:val="0"/>
    <w:pPr>
      <w:snapToGrid w:val="0"/>
      <w:jc w:val="center"/>
    </w:pPr>
    <w:rPr>
      <w:rFonts w:ascii="宋体" w:hAnsi="Times New Roman" w:eastAsia="宋体" w:cs="Times New Roman"/>
      <w:b/>
      <w:sz w:val="36"/>
      <w:lang w:val="en-US" w:eastAsia="zh-CN" w:bidi="ar-SA"/>
    </w:rPr>
  </w:style>
  <w:style w:type="paragraph" w:customStyle="1" w:styleId="344">
    <w:name w:val="标准标志DB"/>
    <w:next w:val="1"/>
    <w:qFormat/>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5">
    <w:name w:val="标准标志QB"/>
    <w:next w:val="1"/>
    <w:qFormat/>
    <w:uiPriority w:val="0"/>
    <w:pPr>
      <w:shd w:val="solid" w:color="FFFFFF" w:fill="FFFFFF"/>
      <w:spacing w:line="0" w:lineRule="atLeast"/>
      <w:jc w:val="right"/>
    </w:pPr>
    <w:rPr>
      <w:rFonts w:ascii="Arial Black" w:hAnsi="Britannic Bold" w:eastAsia="Times New Roman" w:cs="Times New Roman"/>
      <w:b/>
      <w:w w:val="110"/>
      <w:kern w:val="2"/>
      <w:sz w:val="113"/>
      <w:lang w:val="en-US" w:eastAsia="zh-CN" w:bidi="ar-SA"/>
    </w:rPr>
  </w:style>
  <w:style w:type="paragraph" w:customStyle="1" w:styleId="346">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7">
    <w:name w:val="引言二级条标题"/>
    <w:basedOn w:val="306"/>
    <w:next w:val="258"/>
    <w:qFormat/>
    <w:uiPriority w:val="0"/>
    <w:pPr>
      <w:numPr>
        <w:ilvl w:val="1"/>
      </w:numPr>
      <w:spacing w:before="156" w:after="156"/>
    </w:pPr>
    <w:rPr>
      <w:rFonts w:ascii="黑体"/>
    </w:rPr>
  </w:style>
  <w:style w:type="paragraph" w:customStyle="1" w:styleId="348">
    <w:name w:val="示例X"/>
    <w:basedOn w:val="258"/>
    <w:next w:val="293"/>
    <w:qFormat/>
    <w:uiPriority w:val="0"/>
    <w:rPr>
      <w:sz w:val="18"/>
    </w:rPr>
  </w:style>
  <w:style w:type="paragraph" w:customStyle="1" w:styleId="349">
    <w:name w:val="附录表标号"/>
    <w:basedOn w:val="1"/>
    <w:next w:val="258"/>
    <w:qFormat/>
    <w:uiPriority w:val="0"/>
    <w:pPr>
      <w:numPr>
        <w:ilvl w:val="0"/>
        <w:numId w:val="13"/>
      </w:numPr>
      <w:snapToGrid w:val="0"/>
      <w:spacing w:line="14" w:lineRule="exact"/>
      <w:jc w:val="center"/>
    </w:pPr>
    <w:rPr>
      <w:color w:val="FFFFFF"/>
    </w:rPr>
  </w:style>
  <w:style w:type="paragraph" w:customStyle="1" w:styleId="350">
    <w:name w:val="附录图标号"/>
    <w:basedOn w:val="1"/>
    <w:next w:val="258"/>
    <w:qFormat/>
    <w:uiPriority w:val="0"/>
    <w:pPr>
      <w:numPr>
        <w:ilvl w:val="0"/>
        <w:numId w:val="14"/>
      </w:numPr>
      <w:snapToGrid w:val="0"/>
      <w:spacing w:line="14" w:lineRule="exact"/>
      <w:jc w:val="center"/>
    </w:pPr>
    <w:rPr>
      <w:color w:val="FFFFFF"/>
    </w:rPr>
  </w:style>
  <w:style w:type="paragraph" w:customStyle="1" w:styleId="351">
    <w:name w:val="重要提示"/>
    <w:basedOn w:val="258"/>
    <w:next w:val="258"/>
    <w:qFormat/>
    <w:uiPriority w:val="0"/>
    <w:rPr>
      <w:rFonts w:eastAsia="黑体"/>
    </w:rPr>
  </w:style>
  <w:style w:type="paragraph" w:customStyle="1" w:styleId="352">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3">
    <w:name w:val="TOC Heading"/>
    <w:basedOn w:val="4"/>
    <w:next w:val="1"/>
    <w:unhideWhenUsed/>
    <w:qFormat/>
    <w:uiPriority w:val="39"/>
    <w:pPr>
      <w:outlineLvl w:val="9"/>
    </w:pPr>
  </w:style>
  <w:style w:type="character" w:customStyle="1" w:styleId="354">
    <w:name w:val="Subtle Reference"/>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5">
    <w:name w:val="Subtle Emphasis"/>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6">
    <w:name w:val="称呼 Char"/>
    <w:basedOn w:val="231"/>
    <w:link w:val="36"/>
    <w:semiHidden/>
    <w:qFormat/>
    <w:uiPriority w:val="99"/>
    <w:rPr>
      <w:kern w:val="2"/>
      <w:sz w:val="21"/>
      <w:szCs w:val="24"/>
    </w:rPr>
  </w:style>
  <w:style w:type="character" w:customStyle="1" w:styleId="357">
    <w:name w:val="纯文本 Char"/>
    <w:basedOn w:val="231"/>
    <w:link w:val="49"/>
    <w:semiHidden/>
    <w:qFormat/>
    <w:uiPriority w:val="99"/>
    <w:rPr>
      <w:rFonts w:ascii="宋体" w:hAnsi="Courier New" w:cs="Courier New"/>
      <w:kern w:val="2"/>
      <w:sz w:val="21"/>
      <w:szCs w:val="21"/>
    </w:rPr>
  </w:style>
  <w:style w:type="character" w:customStyle="1" w:styleId="358">
    <w:name w:val="电子邮件签名 Char"/>
    <w:basedOn w:val="231"/>
    <w:link w:val="25"/>
    <w:semiHidden/>
    <w:qFormat/>
    <w:uiPriority w:val="99"/>
    <w:rPr>
      <w:kern w:val="2"/>
      <w:sz w:val="21"/>
      <w:szCs w:val="24"/>
    </w:rPr>
  </w:style>
  <w:style w:type="character" w:customStyle="1" w:styleId="359">
    <w:name w:val="副标题 Char"/>
    <w:basedOn w:val="231"/>
    <w:link w:val="66"/>
    <w:qFormat/>
    <w:uiPriority w:val="11"/>
    <w:rPr>
      <w:rFonts w:asciiTheme="majorHAnsi" w:hAnsiTheme="majorHAnsi" w:cstheme="majorBidi"/>
      <w:b/>
      <w:bCs/>
      <w:kern w:val="28"/>
      <w:sz w:val="32"/>
      <w:szCs w:val="32"/>
    </w:rPr>
  </w:style>
  <w:style w:type="character" w:customStyle="1" w:styleId="360">
    <w:name w:val="宏文本 Char"/>
    <w:basedOn w:val="231"/>
    <w:link w:val="3"/>
    <w:semiHidden/>
    <w:qFormat/>
    <w:uiPriority w:val="99"/>
    <w:rPr>
      <w:rFonts w:ascii="Courier New" w:hAnsi="Courier New" w:cs="Courier New"/>
      <w:kern w:val="2"/>
      <w:sz w:val="24"/>
      <w:szCs w:val="24"/>
    </w:rPr>
  </w:style>
  <w:style w:type="character" w:customStyle="1" w:styleId="361">
    <w:name w:val="结束语 Char"/>
    <w:basedOn w:val="231"/>
    <w:link w:val="38"/>
    <w:semiHidden/>
    <w:qFormat/>
    <w:uiPriority w:val="99"/>
    <w:rPr>
      <w:kern w:val="2"/>
      <w:sz w:val="21"/>
      <w:szCs w:val="24"/>
    </w:rPr>
  </w:style>
  <w:style w:type="paragraph" w:styleId="362">
    <w:name w:val="List Paragraph"/>
    <w:basedOn w:val="1"/>
    <w:qFormat/>
    <w:uiPriority w:val="99"/>
    <w:pPr>
      <w:ind w:firstLine="420" w:firstLineChars="200"/>
    </w:pPr>
  </w:style>
  <w:style w:type="character" w:customStyle="1" w:styleId="363">
    <w:name w:val="Intense Reference"/>
    <w:basedOn w:val="231"/>
    <w:qFormat/>
    <w:uiPriority w:val="32"/>
    <w:rPr>
      <w:b/>
      <w:bCs/>
      <w:smallCaps/>
      <w:color w:val="5B9BD5" w:themeColor="accent1"/>
      <w:spacing w:val="5"/>
      <w14:textFill>
        <w14:solidFill>
          <w14:schemeClr w14:val="accent1"/>
        </w14:solidFill>
      </w14:textFill>
    </w:rPr>
  </w:style>
  <w:style w:type="character" w:customStyle="1" w:styleId="364">
    <w:name w:val="Intense Emphasis"/>
    <w:basedOn w:val="231"/>
    <w:qFormat/>
    <w:uiPriority w:val="21"/>
    <w:rPr>
      <w:i/>
      <w:iCs/>
      <w:color w:val="5B9BD5" w:themeColor="accent1"/>
      <w14:textFill>
        <w14:solidFill>
          <w14:schemeClr w14:val="accent1"/>
        </w14:solidFill>
      </w14:textFill>
    </w:rPr>
  </w:style>
  <w:style w:type="paragraph" w:styleId="365">
    <w:name w:val="Intense Quote"/>
    <w:basedOn w:val="1"/>
    <w:next w:val="1"/>
    <w:link w:val="366"/>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6">
    <w:name w:val="明显引用 Char"/>
    <w:basedOn w:val="231"/>
    <w:link w:val="365"/>
    <w:qFormat/>
    <w:uiPriority w:val="30"/>
    <w:rPr>
      <w:i/>
      <w:iCs/>
      <w:color w:val="5B9BD5" w:themeColor="accent1"/>
      <w:kern w:val="2"/>
      <w:sz w:val="21"/>
      <w:szCs w:val="24"/>
      <w14:textFill>
        <w14:solidFill>
          <w14:schemeClr w14:val="accent1"/>
        </w14:solidFill>
      </w14:textFill>
    </w:rPr>
  </w:style>
  <w:style w:type="character" w:customStyle="1" w:styleId="367">
    <w:name w:val="批注框文本 Char"/>
    <w:basedOn w:val="231"/>
    <w:link w:val="57"/>
    <w:semiHidden/>
    <w:qFormat/>
    <w:uiPriority w:val="99"/>
    <w:rPr>
      <w:kern w:val="2"/>
      <w:sz w:val="18"/>
      <w:szCs w:val="18"/>
    </w:rPr>
  </w:style>
  <w:style w:type="character" w:customStyle="1" w:styleId="368">
    <w:name w:val="批注文字 Char"/>
    <w:basedOn w:val="231"/>
    <w:link w:val="34"/>
    <w:qFormat/>
    <w:uiPriority w:val="99"/>
    <w:rPr>
      <w:kern w:val="2"/>
      <w:sz w:val="21"/>
      <w:szCs w:val="24"/>
    </w:rPr>
  </w:style>
  <w:style w:type="character" w:customStyle="1" w:styleId="369">
    <w:name w:val="批注主题 Char"/>
    <w:basedOn w:val="368"/>
    <w:link w:val="85"/>
    <w:semiHidden/>
    <w:qFormat/>
    <w:uiPriority w:val="99"/>
    <w:rPr>
      <w:b/>
      <w:bCs/>
      <w:kern w:val="2"/>
      <w:sz w:val="21"/>
      <w:szCs w:val="24"/>
    </w:rPr>
  </w:style>
  <w:style w:type="character" w:customStyle="1" w:styleId="370">
    <w:name w:val="签名 Char"/>
    <w:basedOn w:val="231"/>
    <w:link w:val="61"/>
    <w:semiHidden/>
    <w:qFormat/>
    <w:uiPriority w:val="99"/>
    <w:rPr>
      <w:kern w:val="2"/>
      <w:sz w:val="21"/>
      <w:szCs w:val="24"/>
    </w:rPr>
  </w:style>
  <w:style w:type="table" w:customStyle="1" w:styleId="371">
    <w:name w:val="List Table 1 Light"/>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2">
    <w:name w:val="List Table 1 Light Accent 1"/>
    <w:basedOn w:val="8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3">
    <w:name w:val="List Table 1 Light Accent 2"/>
    <w:basedOn w:val="88"/>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4">
    <w:name w:val="List Table 1 Light Accent 3"/>
    <w:basedOn w:val="88"/>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5">
    <w:name w:val="List Table 1 Light Accent 4"/>
    <w:basedOn w:val="88"/>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6">
    <w:name w:val="List Table 1 Light Accent 5"/>
    <w:basedOn w:val="88"/>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7">
    <w:name w:val="List Table 1 Light Accent 6"/>
    <w:basedOn w:val="88"/>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8">
    <w:name w:val="List Table 2"/>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9">
    <w:name w:val="List Table 2 Accent 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80">
    <w:name w:val="List Table 2 Accent 2"/>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1">
    <w:name w:val="List Table 2 Accent 3"/>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2">
    <w:name w:val="List Table 2 Accent 4"/>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3">
    <w:name w:val="List Table 2 Accent 5"/>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4">
    <w:name w:val="List Table 2 Accent 6"/>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5">
    <w:name w:val="List Table 3"/>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6">
    <w:name w:val="List Table 3 Accent 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7">
    <w:name w:val="List Table 3 Accent 2"/>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8">
    <w:name w:val="List Table 3 Accent 3"/>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9">
    <w:name w:val="List Table 3 Accent 4"/>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90">
    <w:name w:val="List Table 3 Accent 5"/>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91">
    <w:name w:val="List Table 3 Accent 6"/>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2">
    <w:name w:val="List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3">
    <w:name w:val="List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4">
    <w:name w:val="List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5">
    <w:name w:val="List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6">
    <w:name w:val="List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7">
    <w:name w:val="List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8">
    <w:name w:val="List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9">
    <w:name w:val="List Table 5 Dark"/>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List Table 5 Dark Accent 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List Table 5 Dark Accent 2"/>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List Table 5 Dark Accent 3"/>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List Table 5 Dark Accent 4"/>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List Table 5 Dark Accent 5"/>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5">
    <w:name w:val="List Table 5 Dark Accent 6"/>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6">
    <w:name w:val="List Table 6 Colorful"/>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7">
    <w:name w:val="List Table 6 Colorful Accent 1"/>
    <w:basedOn w:val="88"/>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8">
    <w:name w:val="List Table 6 Colorful Accent 2"/>
    <w:basedOn w:val="88"/>
    <w:qFormat/>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9">
    <w:name w:val="List Table 6 Colorful Accent 3"/>
    <w:basedOn w:val="88"/>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10">
    <w:name w:val="List Table 6 Colorful Accent 4"/>
    <w:basedOn w:val="88"/>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11">
    <w:name w:val="List Table 6 Colorful Accent 5"/>
    <w:basedOn w:val="88"/>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2">
    <w:name w:val="List Table 6 Colorful Accent 6"/>
    <w:basedOn w:val="88"/>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3">
    <w:name w:val="List Table 7 Colorful"/>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List Table 7 Colorful Accent 1"/>
    <w:basedOn w:val="88"/>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List Table 7 Colorful Accent 2"/>
    <w:basedOn w:val="88"/>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List Table 7 Colorful Accent 3"/>
    <w:basedOn w:val="88"/>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List Table 7 Colorful Accent 4"/>
    <w:basedOn w:val="88"/>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8">
    <w:name w:val="List Table 7 Colorful Accent 5"/>
    <w:basedOn w:val="88"/>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9">
    <w:name w:val="List Table 7 Colorful Accent 6"/>
    <w:basedOn w:val="88"/>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20">
    <w:name w:val="日期 Char"/>
    <w:basedOn w:val="231"/>
    <w:link w:val="54"/>
    <w:semiHidden/>
    <w:qFormat/>
    <w:uiPriority w:val="99"/>
    <w:rPr>
      <w:kern w:val="2"/>
      <w:sz w:val="21"/>
      <w:szCs w:val="24"/>
    </w:rPr>
  </w:style>
  <w:style w:type="character" w:customStyle="1" w:styleId="421">
    <w:name w:val="Book Title"/>
    <w:basedOn w:val="231"/>
    <w:qFormat/>
    <w:uiPriority w:val="33"/>
    <w:rPr>
      <w:b/>
      <w:bCs/>
      <w:i/>
      <w:iCs/>
      <w:spacing w:val="5"/>
    </w:rPr>
  </w:style>
  <w:style w:type="paragraph" w:customStyle="1" w:styleId="422">
    <w:name w:val="Bibliography"/>
    <w:basedOn w:val="1"/>
    <w:next w:val="1"/>
    <w:semiHidden/>
    <w:unhideWhenUsed/>
    <w:qFormat/>
    <w:uiPriority w:val="37"/>
  </w:style>
  <w:style w:type="table" w:customStyle="1" w:styleId="423">
    <w:name w:val="Grid Table 1 Light"/>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4">
    <w:name w:val="Grid Table 1 Light Accent 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5">
    <w:name w:val="Grid Table 1 Light Accent 2"/>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6">
    <w:name w:val="Grid Table 1 Light Accent 3"/>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7">
    <w:name w:val="Grid Table 1 Light Accent 4"/>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8">
    <w:name w:val="Grid Table 1 Light Accent 5"/>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9">
    <w:name w:val="Grid Table 1 Light Accent 6"/>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30">
    <w:name w:val="Grid Table 2"/>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1">
    <w:name w:val="Grid Table 2 Accent 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2">
    <w:name w:val="Grid Table 2 Accent 2"/>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3">
    <w:name w:val="Grid Table 2 Accent 3"/>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4">
    <w:name w:val="Grid Table 2 Accent 4"/>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5">
    <w:name w:val="Grid Table 2 Accent 5"/>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6">
    <w:name w:val="Grid Table 2 Accent 6"/>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7">
    <w:name w:val="Grid Table 3"/>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8">
    <w:name w:val="Grid Table 3 Accent 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9">
    <w:name w:val="Grid Table 3 Accent 2"/>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40">
    <w:name w:val="Grid Table 3 Accent 3"/>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41">
    <w:name w:val="Grid Table 3 Accent 4"/>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2">
    <w:name w:val="Grid Table 3 Accent 5"/>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3">
    <w:name w:val="Grid Table 3 Accent 6"/>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4">
    <w:name w:val="Grid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5">
    <w:name w:val="Grid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6">
    <w:name w:val="Grid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7">
    <w:name w:val="Grid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8">
    <w:name w:val="Grid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9">
    <w:name w:val="Grid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50">
    <w:name w:val="Grid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51">
    <w:name w:val="Grid Table 5 Dark"/>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2">
    <w:name w:val="Grid Table 5 Dark Accent 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3">
    <w:name w:val="Grid Table 5 Dark Accent 2"/>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4">
    <w:name w:val="Grid Table 5 Dark Accent 3"/>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5">
    <w:name w:val="Grid Table 5 Dark Accent 4"/>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6">
    <w:name w:val="Grid Table 5 Dark Accent 5"/>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7">
    <w:name w:val="Grid Table 5 Dark Accent 6"/>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8">
    <w:name w:val="Grid Table 6 Colorful"/>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9">
    <w:name w:val="Grid Table 6 Colorful Accent 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60">
    <w:name w:val="Grid Table 6 Colorful Accent 2"/>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61">
    <w:name w:val="Grid Table 6 Colorful Accent 3"/>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2">
    <w:name w:val="Grid Table 6 Colorful Accent 4"/>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3">
    <w:name w:val="Grid Table 6 Colorful Accent 5"/>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4">
    <w:name w:val="Grid Table 6 Colorful Accent 6"/>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5">
    <w:name w:val="Grid Table 7 Colorful"/>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6">
    <w:name w:val="Grid Table 7 Colorful Accent 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7">
    <w:name w:val="Grid Table 7 Colorful Accent 2"/>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8">
    <w:name w:val="Grid Table 7 Colorful Accent 3"/>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9">
    <w:name w:val="Grid Table 7 Colorful Accent 4"/>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70">
    <w:name w:val="Grid Table 7 Colorful Accent 5"/>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71">
    <w:name w:val="Grid Table 7 Colorful Accent 6"/>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2">
    <w:name w:val="Grid Table Light"/>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73">
    <w:name w:val="尾注文本 Char"/>
    <w:basedOn w:val="231"/>
    <w:link w:val="2"/>
    <w:semiHidden/>
    <w:qFormat/>
    <w:uiPriority w:val="99"/>
    <w:rPr>
      <w:kern w:val="2"/>
      <w:sz w:val="21"/>
      <w:szCs w:val="24"/>
    </w:rPr>
  </w:style>
  <w:style w:type="character" w:customStyle="1" w:styleId="474">
    <w:name w:val="文档结构图 Char"/>
    <w:basedOn w:val="231"/>
    <w:link w:val="32"/>
    <w:semiHidden/>
    <w:qFormat/>
    <w:uiPriority w:val="99"/>
    <w:rPr>
      <w:rFonts w:ascii="Microsoft YaHei UI" w:eastAsia="Microsoft YaHei UI"/>
      <w:kern w:val="2"/>
      <w:sz w:val="18"/>
      <w:szCs w:val="18"/>
    </w:rPr>
  </w:style>
  <w:style w:type="table" w:customStyle="1" w:styleId="475">
    <w:name w:val="Plain Table 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6">
    <w:name w:val="Plain Table 2"/>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7">
    <w:name w:val="Plain Table 3"/>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8">
    <w:name w:val="Plain Table 4"/>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9">
    <w:name w:val="Plain Table 5"/>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8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1">
    <w:name w:val="信息标题 Char"/>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styleId="482">
    <w:name w:val="Quote"/>
    <w:basedOn w:val="1"/>
    <w:next w:val="1"/>
    <w:link w:val="48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3">
    <w:name w:val="引用 Char"/>
    <w:basedOn w:val="231"/>
    <w:link w:val="482"/>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4">
    <w:name w:val="Placeholder Text"/>
    <w:basedOn w:val="231"/>
    <w:semiHidden/>
    <w:qFormat/>
    <w:uiPriority w:val="99"/>
    <w:rPr>
      <w:color w:val="808080"/>
    </w:rPr>
  </w:style>
  <w:style w:type="character" w:customStyle="1" w:styleId="485">
    <w:name w:val="正文首行缩进 Char"/>
    <w:basedOn w:val="333"/>
    <w:link w:val="86"/>
    <w:semiHidden/>
    <w:qFormat/>
    <w:uiPriority w:val="99"/>
    <w:rPr>
      <w:kern w:val="2"/>
      <w:sz w:val="21"/>
      <w:szCs w:val="24"/>
    </w:rPr>
  </w:style>
  <w:style w:type="character" w:customStyle="1" w:styleId="486">
    <w:name w:val="正文文本缩进 Char"/>
    <w:basedOn w:val="231"/>
    <w:link w:val="41"/>
    <w:semiHidden/>
    <w:qFormat/>
    <w:uiPriority w:val="99"/>
    <w:rPr>
      <w:kern w:val="2"/>
      <w:sz w:val="21"/>
      <w:szCs w:val="24"/>
    </w:rPr>
  </w:style>
  <w:style w:type="character" w:customStyle="1" w:styleId="487">
    <w:name w:val="正文首行缩进 2 Char"/>
    <w:basedOn w:val="486"/>
    <w:link w:val="87"/>
    <w:semiHidden/>
    <w:qFormat/>
    <w:uiPriority w:val="99"/>
    <w:rPr>
      <w:kern w:val="2"/>
      <w:sz w:val="21"/>
      <w:szCs w:val="24"/>
    </w:rPr>
  </w:style>
  <w:style w:type="character" w:customStyle="1" w:styleId="488">
    <w:name w:val="正文文本 2 Char"/>
    <w:basedOn w:val="231"/>
    <w:link w:val="76"/>
    <w:semiHidden/>
    <w:qFormat/>
    <w:uiPriority w:val="99"/>
    <w:rPr>
      <w:kern w:val="2"/>
      <w:sz w:val="21"/>
      <w:szCs w:val="24"/>
    </w:rPr>
  </w:style>
  <w:style w:type="character" w:customStyle="1" w:styleId="489">
    <w:name w:val="正文文本 3 Char"/>
    <w:basedOn w:val="231"/>
    <w:link w:val="37"/>
    <w:semiHidden/>
    <w:qFormat/>
    <w:uiPriority w:val="99"/>
    <w:rPr>
      <w:kern w:val="2"/>
      <w:sz w:val="16"/>
      <w:szCs w:val="16"/>
    </w:rPr>
  </w:style>
  <w:style w:type="character" w:customStyle="1" w:styleId="490">
    <w:name w:val="正文文本缩进 2 Char"/>
    <w:basedOn w:val="231"/>
    <w:link w:val="55"/>
    <w:semiHidden/>
    <w:qFormat/>
    <w:uiPriority w:val="99"/>
    <w:rPr>
      <w:kern w:val="2"/>
      <w:sz w:val="21"/>
      <w:szCs w:val="24"/>
    </w:rPr>
  </w:style>
  <w:style w:type="character" w:customStyle="1" w:styleId="491">
    <w:name w:val="正文文本缩进 3 Char"/>
    <w:basedOn w:val="231"/>
    <w:link w:val="71"/>
    <w:semiHidden/>
    <w:qFormat/>
    <w:uiPriority w:val="99"/>
    <w:rPr>
      <w:kern w:val="2"/>
      <w:sz w:val="16"/>
      <w:szCs w:val="16"/>
    </w:rPr>
  </w:style>
  <w:style w:type="character" w:customStyle="1" w:styleId="492">
    <w:name w:val="注释标题 Char"/>
    <w:basedOn w:val="231"/>
    <w:link w:val="22"/>
    <w:semiHidden/>
    <w:qFormat/>
    <w:uiPriority w:val="99"/>
    <w:rPr>
      <w:kern w:val="2"/>
      <w:sz w:val="21"/>
      <w:szCs w:val="24"/>
    </w:rPr>
  </w:style>
  <w:style w:type="paragraph" w:customStyle="1" w:styleId="493">
    <w:name w:val="附录无标题章"/>
    <w:basedOn w:val="276"/>
    <w:qFormat/>
    <w:uiPriority w:val="0"/>
    <w:pPr>
      <w:spacing w:before="0" w:beforeLines="0" w:after="0" w:afterLines="0"/>
    </w:pPr>
    <w:rPr>
      <w:rFonts w:asciiTheme="majorEastAsia" w:eastAsiaTheme="majorEastAsia"/>
    </w:rPr>
  </w:style>
  <w:style w:type="paragraph" w:customStyle="1" w:styleId="494">
    <w:name w:val="附录一级无标题条"/>
    <w:basedOn w:val="277"/>
    <w:qFormat/>
    <w:uiPriority w:val="0"/>
    <w:pPr>
      <w:spacing w:before="0" w:beforeLines="0" w:after="0" w:afterLines="0"/>
    </w:pPr>
    <w:rPr>
      <w:rFonts w:asciiTheme="majorEastAsia" w:eastAsiaTheme="majorEastAsia"/>
    </w:rPr>
  </w:style>
  <w:style w:type="paragraph" w:customStyle="1" w:styleId="495">
    <w:name w:val="附录二级无标题条"/>
    <w:basedOn w:val="278"/>
    <w:qFormat/>
    <w:uiPriority w:val="0"/>
    <w:pPr>
      <w:spacing w:before="0" w:beforeLines="0" w:after="0" w:afterLines="0"/>
    </w:pPr>
    <w:rPr>
      <w:rFonts w:asciiTheme="majorEastAsia" w:eastAsiaTheme="majorEastAsia"/>
    </w:rPr>
  </w:style>
  <w:style w:type="paragraph" w:customStyle="1" w:styleId="496">
    <w:name w:val="附录三级无标题条"/>
    <w:basedOn w:val="279"/>
    <w:qFormat/>
    <w:uiPriority w:val="0"/>
    <w:pPr>
      <w:spacing w:before="0" w:beforeLines="0" w:after="0" w:afterLines="0"/>
    </w:pPr>
    <w:rPr>
      <w:rFonts w:asciiTheme="majorEastAsia" w:eastAsiaTheme="majorEastAsia"/>
    </w:rPr>
  </w:style>
  <w:style w:type="paragraph" w:customStyle="1" w:styleId="497">
    <w:name w:val="附录四级无标题条"/>
    <w:basedOn w:val="280"/>
    <w:qFormat/>
    <w:uiPriority w:val="0"/>
    <w:pPr>
      <w:spacing w:before="0" w:beforeLines="0" w:after="0" w:afterLines="0"/>
    </w:pPr>
    <w:rPr>
      <w:rFonts w:asciiTheme="majorEastAsia" w:eastAsiaTheme="majorEastAsia"/>
    </w:rPr>
  </w:style>
  <w:style w:type="paragraph" w:customStyle="1" w:styleId="498">
    <w:name w:val="标准标志TB"/>
    <w:basedOn w:val="1"/>
    <w:qFormat/>
    <w:uiPriority w:val="0"/>
    <w:pPr>
      <w:widowControl/>
      <w:shd w:val="solid" w:color="FFFFFF" w:fill="FFFFFF"/>
      <w:spacing w:line="0" w:lineRule="atLeast"/>
      <w:jc w:val="right"/>
    </w:pPr>
    <w:rPr>
      <w:rFonts w:eastAsia="Arial Unicode MS"/>
      <w:b/>
      <w:w w:val="130"/>
      <w:sz w:val="96"/>
      <w:szCs w:val="20"/>
    </w:rPr>
  </w:style>
  <w:style w:type="paragraph" w:customStyle="1" w:styleId="499">
    <w:name w:val="标准称谓TB"/>
    <w:basedOn w:val="1"/>
    <w:qFormat/>
    <w:uiPriority w:val="0"/>
    <w:pPr>
      <w:kinsoku w:val="0"/>
      <w:overflowPunct w:val="0"/>
      <w:autoSpaceDE w:val="0"/>
      <w:autoSpaceDN w:val="0"/>
      <w:spacing w:line="0" w:lineRule="atLeast"/>
      <w:jc w:val="center"/>
    </w:pPr>
    <w:rPr>
      <w:rFonts w:ascii="黑体" w:hAnsi="黑体" w:eastAsia="黑体"/>
      <w:bCs/>
      <w:spacing w:val="40"/>
      <w:kern w:val="0"/>
      <w:sz w:val="72"/>
      <w:szCs w:val="20"/>
    </w:rPr>
  </w:style>
  <w:style w:type="paragraph" w:customStyle="1" w:styleId="500">
    <w:name w:val="发布GB"/>
    <w:basedOn w:val="40"/>
    <w:qFormat/>
    <w:uiPriority w:val="0"/>
    <w:pPr>
      <w:spacing w:after="0" w:line="280" w:lineRule="exact"/>
      <w:ind w:left="284"/>
    </w:pPr>
    <w:rPr>
      <w:rFonts w:ascii="黑体" w:eastAsia="黑体"/>
      <w:kern w:val="3"/>
      <w:sz w:val="28"/>
    </w:rPr>
  </w:style>
  <w:style w:type="paragraph" w:customStyle="1" w:styleId="501">
    <w:name w:val="发布DB"/>
    <w:basedOn w:val="500"/>
    <w:qFormat/>
    <w:uiPriority w:val="0"/>
    <w:pPr>
      <w:ind w:left="567"/>
    </w:pPr>
  </w:style>
  <w:style w:type="paragraph" w:customStyle="1" w:styleId="502">
    <w:name w:val="发布HB"/>
    <w:basedOn w:val="500"/>
    <w:qFormat/>
    <w:uiPriority w:val="0"/>
    <w:pPr>
      <w:ind w:left="567"/>
    </w:pPr>
  </w:style>
  <w:style w:type="paragraph" w:customStyle="1" w:styleId="503">
    <w:name w:val="发布QB"/>
    <w:basedOn w:val="500"/>
    <w:qFormat/>
    <w:uiPriority w:val="0"/>
    <w:pPr>
      <w:ind w:left="567"/>
    </w:pPr>
  </w:style>
  <w:style w:type="paragraph" w:customStyle="1" w:styleId="504">
    <w:name w:val="发布TB"/>
    <w:basedOn w:val="500"/>
    <w:qFormat/>
    <w:uiPriority w:val="0"/>
    <w:pPr>
      <w:ind w:left="567"/>
    </w:pPr>
  </w:style>
  <w:style w:type="paragraph" w:customStyle="1" w:styleId="505">
    <w:name w:val="发布部门TB"/>
    <w:basedOn w:val="1"/>
    <w:qFormat/>
    <w:uiPriority w:val="0"/>
    <w:pPr>
      <w:widowControl/>
      <w:spacing w:line="360" w:lineRule="exact"/>
      <w:jc w:val="center"/>
    </w:pPr>
    <w:rPr>
      <w:rFonts w:ascii="黑体" w:hAnsi="黑体" w:eastAsia="黑体"/>
      <w:spacing w:val="20"/>
      <w:w w:val="135"/>
      <w:kern w:val="0"/>
      <w:sz w:val="36"/>
      <w:szCs w:val="20"/>
    </w:rPr>
  </w:style>
  <w:style w:type="paragraph" w:customStyle="1" w:styleId="506">
    <w:name w:val="标准标志CEC"/>
    <w:basedOn w:val="1"/>
    <w:qFormat/>
    <w:uiPriority w:val="0"/>
    <w:pPr>
      <w:jc w:val="right"/>
    </w:pPr>
    <w:rPr>
      <w:rFonts w:eastAsia="Times New Roman"/>
      <w:b/>
      <w:sz w:val="96"/>
    </w:rPr>
  </w:style>
  <w:style w:type="paragraph" w:customStyle="1" w:styleId="507">
    <w:name w:val="标准称谓CEC"/>
    <w:basedOn w:val="1"/>
    <w:qFormat/>
    <w:uiPriority w:val="0"/>
    <w:pPr>
      <w:jc w:val="center"/>
    </w:pPr>
    <w:rPr>
      <w:rFonts w:eastAsia="黑体"/>
      <w:b/>
      <w:w w:val="132"/>
      <w:kern w:val="0"/>
      <w:sz w:val="52"/>
    </w:rPr>
  </w:style>
  <w:style w:type="paragraph" w:customStyle="1" w:styleId="508">
    <w:name w:val="发布CEC"/>
    <w:basedOn w:val="500"/>
    <w:qFormat/>
    <w:uiPriority w:val="0"/>
  </w:style>
  <w:style w:type="paragraph" w:customStyle="1" w:styleId="509">
    <w:name w:val="发布部门CEC"/>
    <w:basedOn w:val="1"/>
    <w:qFormat/>
    <w:uiPriority w:val="0"/>
    <w:pPr>
      <w:snapToGrid w:val="0"/>
    </w:pPr>
    <w:rPr>
      <w:b/>
      <w:w w:val="135"/>
      <w:kern w:val="0"/>
      <w:sz w:val="36"/>
    </w:rPr>
  </w:style>
  <w:style w:type="paragraph" w:customStyle="1" w:styleId="510">
    <w:name w:val="标准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511">
    <w:name w:val="附录公式标号"/>
    <w:basedOn w:val="362"/>
    <w:qFormat/>
    <w:uiPriority w:val="0"/>
    <w:pPr>
      <w:numPr>
        <w:ilvl w:val="0"/>
        <w:numId w:val="27"/>
      </w:numPr>
      <w:snapToGrid w:val="0"/>
      <w:spacing w:line="14" w:lineRule="atLeast"/>
      <w:ind w:firstLineChars="0"/>
    </w:pPr>
    <w:rPr>
      <w:color w:val="FFFFFF" w:themeColor="background1"/>
      <w:sz w:val="2"/>
      <w14:textFill>
        <w14:solidFill>
          <w14:schemeClr w14:val="bg1"/>
        </w14:solidFill>
      </w14:textFill>
    </w:rPr>
  </w:style>
  <w:style w:type="paragraph" w:customStyle="1" w:styleId="512">
    <w:name w:val="附录公式编号"/>
    <w:basedOn w:val="40"/>
    <w:qFormat/>
    <w:uiPriority w:val="0"/>
    <w:pPr>
      <w:numPr>
        <w:ilvl w:val="1"/>
        <w:numId w:val="27"/>
      </w:numPr>
    </w:pPr>
  </w:style>
  <w:style w:type="character" w:customStyle="1" w:styleId="513">
    <w:name w:val="段 Char"/>
    <w:link w:val="258"/>
    <w:qFormat/>
    <w:uiPriority w:val="0"/>
    <w:rPr>
      <w:rFonts w:ascii="宋体"/>
      <w:sz w:val="21"/>
    </w:rPr>
  </w:style>
  <w:style w:type="character" w:customStyle="1" w:styleId="514">
    <w:name w:val="Unresolved Mention"/>
    <w:basedOn w:val="231"/>
    <w:semiHidden/>
    <w:unhideWhenUsed/>
    <w:qFormat/>
    <w:uiPriority w:val="99"/>
    <w:rPr>
      <w:color w:val="605E5C"/>
      <w:shd w:val="clear" w:color="auto" w:fill="E1DFDD"/>
    </w:rPr>
  </w:style>
  <w:style w:type="paragraph" w:customStyle="1" w:styleId="515">
    <w:name w:val="列项——（一级）"/>
    <w:qFormat/>
    <w:uiPriority w:val="0"/>
    <w:pPr>
      <w:widowControl w:val="0"/>
      <w:numPr>
        <w:ilvl w:val="0"/>
        <w:numId w:val="28"/>
      </w:numPr>
      <w:jc w:val="both"/>
    </w:pPr>
    <w:rPr>
      <w:rFonts w:ascii="宋体" w:hAnsi="Times New Roman" w:eastAsia="宋体" w:cs="Times New Roman"/>
      <w:sz w:val="21"/>
      <w:lang w:val="en-US" w:eastAsia="zh-CN" w:bidi="ar-SA"/>
    </w:rPr>
  </w:style>
  <w:style w:type="paragraph" w:customStyle="1" w:styleId="516">
    <w:name w:val="列项●（二级）"/>
    <w:qFormat/>
    <w:uiPriority w:val="0"/>
    <w:pPr>
      <w:numPr>
        <w:ilvl w:val="1"/>
        <w:numId w:val="28"/>
      </w:numPr>
      <w:tabs>
        <w:tab w:val="left" w:pos="840"/>
      </w:tabs>
      <w:jc w:val="both"/>
    </w:pPr>
    <w:rPr>
      <w:rFonts w:ascii="宋体" w:hAnsi="Times New Roman" w:eastAsia="宋体" w:cs="Times New Roman"/>
      <w:sz w:val="21"/>
      <w:lang w:val="en-US" w:eastAsia="zh-CN" w:bidi="ar-SA"/>
    </w:rPr>
  </w:style>
  <w:style w:type="paragraph" w:customStyle="1" w:styleId="517">
    <w:name w:val="列项◆（三级）"/>
    <w:basedOn w:val="1"/>
    <w:qFormat/>
    <w:uiPriority w:val="0"/>
    <w:pPr>
      <w:numPr>
        <w:ilvl w:val="2"/>
        <w:numId w:val="28"/>
      </w:numPr>
    </w:pPr>
    <w:rPr>
      <w:rFonts w:ascii="宋体"/>
      <w:szCs w:val="21"/>
    </w:rPr>
  </w:style>
  <w:style w:type="paragraph" w:customStyle="1" w:styleId="518">
    <w:name w:val="终结线"/>
    <w:basedOn w:val="1"/>
    <w:qFormat/>
    <w:uiPriority w:val="0"/>
    <w:pPr>
      <w:framePr w:hSpace="181" w:vSpace="181" w:wrap="around" w:vAnchor="text" w:hAnchor="margin" w:xAlign="center" w:y="285"/>
    </w:pPr>
    <w:rPr>
      <w:rFonts w:eastAsia="宋体" w:cs="Times New Roman"/>
      <w:szCs w:val="24"/>
    </w:rPr>
  </w:style>
  <w:style w:type="paragraph" w:customStyle="1" w:styleId="519">
    <w:name w:val="正文文本1"/>
    <w:basedOn w:val="1"/>
    <w:next w:val="40"/>
    <w:qFormat/>
    <w:uiPriority w:val="1"/>
    <w:pPr>
      <w:ind w:left="116"/>
      <w:jc w:val="left"/>
    </w:pPr>
    <w:rPr>
      <w:rFonts w:ascii="宋体" w:hAnsi="宋体" w:eastAsia="宋体"/>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4" Type="http://schemas.openxmlformats.org/officeDocument/2006/relationships/glossaryDocument" Target="glossary/document.xml"/><Relationship Id="rId63" Type="http://schemas.openxmlformats.org/officeDocument/2006/relationships/fontTable" Target="fontTable.xml"/><Relationship Id="rId62" Type="http://schemas.openxmlformats.org/officeDocument/2006/relationships/customXml" Target="../customXml/item2.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footer" Target="footer1.xml"/><Relationship Id="rId59" Type="http://schemas.openxmlformats.org/officeDocument/2006/relationships/image" Target="media/image19.wmf"/><Relationship Id="rId58" Type="http://schemas.openxmlformats.org/officeDocument/2006/relationships/oleObject" Target="embeddings/oleObject18.bin"/><Relationship Id="rId57" Type="http://schemas.openxmlformats.org/officeDocument/2006/relationships/image" Target="media/image18.wmf"/><Relationship Id="rId56" Type="http://schemas.openxmlformats.org/officeDocument/2006/relationships/oleObject" Target="embeddings/oleObject17.bin"/><Relationship Id="rId55" Type="http://schemas.openxmlformats.org/officeDocument/2006/relationships/image" Target="media/image17.wmf"/><Relationship Id="rId54" Type="http://schemas.openxmlformats.org/officeDocument/2006/relationships/oleObject" Target="embeddings/oleObject16.bin"/><Relationship Id="rId53" Type="http://schemas.openxmlformats.org/officeDocument/2006/relationships/image" Target="media/image16.wmf"/><Relationship Id="rId52" Type="http://schemas.openxmlformats.org/officeDocument/2006/relationships/oleObject" Target="embeddings/oleObject15.bin"/><Relationship Id="rId51" Type="http://schemas.openxmlformats.org/officeDocument/2006/relationships/image" Target="media/image15.wmf"/><Relationship Id="rId50" Type="http://schemas.openxmlformats.org/officeDocument/2006/relationships/oleObject" Target="embeddings/oleObject14.bin"/><Relationship Id="rId5" Type="http://schemas.openxmlformats.org/officeDocument/2006/relationships/header" Target="header3.xml"/><Relationship Id="rId49" Type="http://schemas.openxmlformats.org/officeDocument/2006/relationships/image" Target="media/image14.wmf"/><Relationship Id="rId48" Type="http://schemas.openxmlformats.org/officeDocument/2006/relationships/oleObject" Target="embeddings/oleObject13.bin"/><Relationship Id="rId47" Type="http://schemas.openxmlformats.org/officeDocument/2006/relationships/image" Target="media/image13.wmf"/><Relationship Id="rId46" Type="http://schemas.openxmlformats.org/officeDocument/2006/relationships/oleObject" Target="embeddings/oleObject12.bin"/><Relationship Id="rId45" Type="http://schemas.openxmlformats.org/officeDocument/2006/relationships/image" Target="media/image12.wmf"/><Relationship Id="rId44" Type="http://schemas.openxmlformats.org/officeDocument/2006/relationships/oleObject" Target="embeddings/oleObject11.bin"/><Relationship Id="rId43" Type="http://schemas.openxmlformats.org/officeDocument/2006/relationships/image" Target="media/image11.wmf"/><Relationship Id="rId42" Type="http://schemas.openxmlformats.org/officeDocument/2006/relationships/oleObject" Target="embeddings/oleObject10.bin"/><Relationship Id="rId41" Type="http://schemas.openxmlformats.org/officeDocument/2006/relationships/image" Target="media/image10.wmf"/><Relationship Id="rId40" Type="http://schemas.openxmlformats.org/officeDocument/2006/relationships/oleObject" Target="embeddings/oleObject9.bin"/><Relationship Id="rId4" Type="http://schemas.openxmlformats.org/officeDocument/2006/relationships/header" Target="header2.xml"/><Relationship Id="rId39" Type="http://schemas.openxmlformats.org/officeDocument/2006/relationships/image" Target="media/image9.wmf"/><Relationship Id="rId38" Type="http://schemas.openxmlformats.org/officeDocument/2006/relationships/oleObject" Target="embeddings/oleObject8.bin"/><Relationship Id="rId37" Type="http://schemas.openxmlformats.org/officeDocument/2006/relationships/image" Target="media/image8.wmf"/><Relationship Id="rId36" Type="http://schemas.openxmlformats.org/officeDocument/2006/relationships/oleObject" Target="embeddings/oleObject7.bin"/><Relationship Id="rId35" Type="http://schemas.openxmlformats.org/officeDocument/2006/relationships/image" Target="media/image7.wmf"/><Relationship Id="rId34" Type="http://schemas.openxmlformats.org/officeDocument/2006/relationships/oleObject" Target="embeddings/oleObject6.bin"/><Relationship Id="rId33" Type="http://schemas.openxmlformats.org/officeDocument/2006/relationships/image" Target="media/image6.wmf"/><Relationship Id="rId32" Type="http://schemas.openxmlformats.org/officeDocument/2006/relationships/oleObject" Target="embeddings/oleObject5.bin"/><Relationship Id="rId31" Type="http://schemas.openxmlformats.org/officeDocument/2006/relationships/image" Target="media/image5.wmf"/><Relationship Id="rId30" Type="http://schemas.openxmlformats.org/officeDocument/2006/relationships/oleObject" Target="embeddings/oleObject4.bin"/><Relationship Id="rId3" Type="http://schemas.openxmlformats.org/officeDocument/2006/relationships/header" Target="header1.xml"/><Relationship Id="rId29" Type="http://schemas.openxmlformats.org/officeDocument/2006/relationships/image" Target="media/image4.wmf"/><Relationship Id="rId28" Type="http://schemas.openxmlformats.org/officeDocument/2006/relationships/oleObject" Target="embeddings/oleObject3.bin"/><Relationship Id="rId27" Type="http://schemas.openxmlformats.org/officeDocument/2006/relationships/image" Target="media/image3.wmf"/><Relationship Id="rId26" Type="http://schemas.openxmlformats.org/officeDocument/2006/relationships/oleObject" Target="embeddings/oleObject2.bin"/><Relationship Id="rId25" Type="http://schemas.openxmlformats.org/officeDocument/2006/relationships/image" Target="media/image2.wmf"/><Relationship Id="rId24" Type="http://schemas.openxmlformats.org/officeDocument/2006/relationships/oleObject" Target="embeddings/oleObject1.bin"/><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ppData\Roaming\&#26631;&#20934;&#32534;&#20889;&#27169;&#26495;\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8B50BDDE2984F14824977729F4D0D62"/>
        <w:style w:val=""/>
        <w:category>
          <w:name w:val="常规"/>
          <w:gallery w:val="placeholder"/>
        </w:category>
        <w:types>
          <w:type w:val="bbPlcHdr"/>
        </w:types>
        <w:behaviors>
          <w:behavior w:val="content"/>
        </w:behaviors>
        <w:description w:val=""/>
        <w:guid w:val="{D859351B-6C49-4430-969E-A57E4FCDFF64}"/>
      </w:docPartPr>
      <w:docPartBody>
        <w:p w14:paraId="0ECB28DA">
          <w:pPr>
            <w:pStyle w:val="9"/>
          </w:pPr>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A4"/>
    <w:rsid w:val="004F1E24"/>
    <w:rsid w:val="00657E46"/>
    <w:rsid w:val="00AF20A4"/>
    <w:rsid w:val="00C82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AF92B6925F04615AFE5C7F0E6FC9E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839E96C79F245F9A2C9583943E3D7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27CB717CE6B44028BD781451FE25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904E17F0F4E4193A023203C22C3B9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E8B50BDDE2984F14824977729F4D0D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51E7CE545B94C67A3BB3E8A84D1E44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3ED365-70C4-43B0-A64F-D0CF70070E07}">
  <ds:schemaRefs/>
</ds:datastoreItem>
</file>

<file path=docProps/app.xml><?xml version="1.0" encoding="utf-8"?>
<Properties xmlns="http://schemas.openxmlformats.org/officeDocument/2006/extended-properties" xmlns:vt="http://schemas.openxmlformats.org/officeDocument/2006/docPropsVTypes">
  <Template>bzbx20</Template>
  <Company>Microsoft</Company>
  <Pages>26</Pages>
  <Words>10402</Words>
  <Characters>12255</Characters>
  <Lines>83</Lines>
  <Paragraphs>23</Paragraphs>
  <TotalTime>4</TotalTime>
  <ScaleCrop>false</ScaleCrop>
  <LinksUpToDate>false</LinksUpToDate>
  <CharactersWithSpaces>12582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2022-10-14T02:40:00Z</dcterms:created>
  <dc:creator>GY</dc:creator>
  <cp:lastModifiedBy>Mr.piu</cp:lastModifiedBy>
  <cp:lastPrinted>2021-02-08T04:27:00Z</cp:lastPrinted>
  <dcterms:modified xsi:type="dcterms:W3CDTF">2026-04-07T08:42:53Z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条文说明标记">
    <vt:lpwstr>无</vt:lpwstr>
  </property>
  <property fmtid="{D5CDD505-2E9C-101B-9397-08002B2CF9AE}" pid="3" name="文件标记">
    <vt:lpwstr>蓝元软件</vt:lpwstr>
  </property>
  <property fmtid="{D5CDD505-2E9C-101B-9397-08002B2CF9AE}" pid="4" name="标准版本">
    <vt:lpwstr>2020</vt:lpwstr>
  </property>
  <property fmtid="{D5CDD505-2E9C-101B-9397-08002B2CF9AE}" pid="5" name="ICS">
    <vt:lpwstr>ICS</vt:lpwstr>
  </property>
  <property fmtid="{D5CDD505-2E9C-101B-9397-08002B2CF9AE}" pid="6" name="CCS">
    <vt:lpwstr>CCS</vt:lpwstr>
  </property>
  <property fmtid="{D5CDD505-2E9C-101B-9397-08002B2CF9AE}" pid="7" name="BAH">
    <vt:lpwstr>备案号：</vt:lpwstr>
  </property>
  <property fmtid="{D5CDD505-2E9C-101B-9397-08002B2CF9AE}" pid="8" name="BT">
    <vt:lpwstr>中国电机工程学会标准</vt:lpwstr>
  </property>
  <property fmtid="{D5CDD505-2E9C-101B-9397-08002B2CF9AE}" pid="9" name="BZBH">
    <vt:lpwstr>T/XXX</vt:lpwstr>
  </property>
  <property fmtid="{D5CDD505-2E9C-101B-9397-08002B2CF9AE}" pid="10" name="TDBH">
    <vt:lpwstr>代替 T/XXX</vt:lpwstr>
  </property>
  <property fmtid="{D5CDD505-2E9C-101B-9397-08002B2CF9AE}" pid="11" name="BZMC">
    <vt:lpwstr>标准名称</vt:lpwstr>
  </property>
  <property fmtid="{D5CDD505-2E9C-101B-9397-08002B2CF9AE}" pid="12" name="YWMC">
    <vt:lpwstr>英文名称</vt:lpwstr>
  </property>
  <property fmtid="{D5CDD505-2E9C-101B-9397-08002B2CF9AE}" pid="13" name="CBCD">
    <vt:lpwstr>（与国际标准一致性程度的标识）</vt:lpwstr>
  </property>
  <property fmtid="{D5CDD505-2E9C-101B-9397-08002B2CF9AE}" pid="14" name="WGLB">
    <vt:lpwstr>（送审稿）</vt:lpwstr>
  </property>
  <property fmtid="{D5CDD505-2E9C-101B-9397-08002B2CF9AE}" pid="15" name="FBRQ">
    <vt:lpwstr>20XX—XX—XX</vt:lpwstr>
  </property>
  <property fmtid="{D5CDD505-2E9C-101B-9397-08002B2CF9AE}" pid="16" name="SSRQ">
    <vt:lpwstr>20XX—XX—XX</vt:lpwstr>
  </property>
  <property fmtid="{D5CDD505-2E9C-101B-9397-08002B2CF9AE}" pid="17" name="BZLX">
    <vt:lpwstr>T/CSEE</vt:lpwstr>
  </property>
  <property fmtid="{D5CDD505-2E9C-101B-9397-08002B2CF9AE}" pid="18" name="标准类型">
    <vt:lpwstr>TB</vt:lpwstr>
  </property>
  <property fmtid="{D5CDD505-2E9C-101B-9397-08002B2CF9AE}" pid="19" name="FBDW">
    <vt:lpwstr>中国电机工程学会</vt:lpwstr>
  </property>
  <property fmtid="{D5CDD505-2E9C-101B-9397-08002B2CF9AE}" pid="20" name="IMAGE">
    <vt:lpwstr/>
  </property>
  <property fmtid="{D5CDD505-2E9C-101B-9397-08002B2CF9AE}" pid="21" name="KSOTemplateDocerSaveRecord">
    <vt:lpwstr>eyJoZGlkIjoiMzNjMWY2MWNkYzNjMDQzNzczNzVlMjMyZGMxYzgyMTgiLCJ1c2VySWQiOiI3MDE2NjU1ODYifQ==</vt:lpwstr>
  </property>
  <property fmtid="{D5CDD505-2E9C-101B-9397-08002B2CF9AE}" pid="22" name="KSOProductBuildVer">
    <vt:lpwstr>2052-12.1.0.25225</vt:lpwstr>
  </property>
  <property fmtid="{D5CDD505-2E9C-101B-9397-08002B2CF9AE}" pid="23" name="ICV">
    <vt:lpwstr>13CB6338406C4B33BC0D37AF3DA4A2A9_13</vt:lpwstr>
  </property>
</Properties>
</file>