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240" w:lineRule="auto"/>
        <w:ind w:firstLine="64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</w:pPr>
      <w:bookmarkStart w:id="0" w:name="_GoBack"/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CSEE</w:t>
      </w:r>
      <w:r>
        <w:rPr>
          <w:rFonts w:hint="eastAsia" w:ascii="Cambria" w:hAnsi="Cambria" w:eastAsia="宋体" w:cs="Times New Roman"/>
          <w:b/>
          <w:bCs/>
          <w:sz w:val="32"/>
          <w:szCs w:val="32"/>
          <w14:ligatures w14:val="none"/>
        </w:rPr>
        <w:t>标准</w:t>
      </w: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征求意见表</w:t>
      </w:r>
    </w:p>
    <w:bookmarkEnd w:id="0"/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after="0" w:line="300" w:lineRule="exact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标准名称：尿素水解溶液中氯离子的测定 电位滴定法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请将表格反馈至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牛怡琳，15518878811，949139107@qq.com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注：单位意见需加盖单位公章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5A15"/>
    <w:rsid w:val="7EA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2026-04-21T09:35:00Z</dcterms:created>
  <dc:creator>欢の</dc:creator>
  <cp:lastModifiedBy>欢の</cp:lastModifiedBy>
  <dcterms:modified xsi:type="dcterms:W3CDTF">2026-04-21T09:35:55Z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F6C2BE381983EE8B4FD4E6694F04E4FE</vt:lpwstr>
  </property>
</Properties>
</file>