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pPr>
    </w:p>
    <w:p>
      <w:pPr>
        <w:pStyle w:val="12"/>
        <w:ind w:firstLine="0" w:firstLineChars="0"/>
        <w:jc w:val="center"/>
        <w:rPr>
          <w:rFonts w:ascii="黑体" w:eastAsia="黑体"/>
          <w:sz w:val="44"/>
          <w:szCs w:val="44"/>
        </w:rPr>
      </w:pPr>
      <w:r>
        <w:rPr>
          <w:rFonts w:hint="eastAsia" w:ascii="黑体" w:hAnsi="黑体" w:eastAsia="黑体" w:cs="黑体"/>
          <w:snapToGrid w:val="0"/>
          <w:color w:val="000000"/>
          <w:spacing w:val="-2"/>
          <w:kern w:val="0"/>
          <w:sz w:val="44"/>
          <w:szCs w:val="44"/>
          <w:lang w:val="en-US" w:eastAsia="en-US" w:bidi="ar-SA"/>
        </w:rPr>
        <w:t>调相机</w:t>
      </w:r>
      <w:r>
        <w:rPr>
          <w:rFonts w:hint="eastAsia" w:ascii="黑体" w:hAnsi="黑体" w:eastAsia="黑体" w:cs="黑体"/>
          <w:snapToGrid w:val="0"/>
          <w:color w:val="000000"/>
          <w:spacing w:val="-2"/>
          <w:kern w:val="0"/>
          <w:sz w:val="44"/>
          <w:szCs w:val="44"/>
          <w:lang w:val="en-US" w:eastAsia="zh-CN" w:bidi="ar-SA"/>
        </w:rPr>
        <w:t>冷却水系统技术</w:t>
      </w:r>
      <w:r>
        <w:rPr>
          <w:rFonts w:hint="eastAsia" w:ascii="黑体" w:hAnsi="黑体" w:eastAsia="黑体" w:cs="黑体"/>
          <w:snapToGrid w:val="0"/>
          <w:color w:val="000000"/>
          <w:spacing w:val="-2"/>
          <w:kern w:val="0"/>
          <w:sz w:val="44"/>
          <w:szCs w:val="44"/>
          <w:lang w:val="en-US" w:eastAsia="en-US" w:bidi="ar-SA"/>
        </w:rPr>
        <w:t>监督</w:t>
      </w:r>
      <w:r>
        <w:rPr>
          <w:rFonts w:hint="eastAsia" w:ascii="黑体" w:hAnsi="黑体" w:eastAsia="黑体" w:cs="黑体"/>
          <w:snapToGrid w:val="0"/>
          <w:color w:val="000000"/>
          <w:spacing w:val="-2"/>
          <w:kern w:val="0"/>
          <w:sz w:val="44"/>
          <w:szCs w:val="44"/>
          <w:lang w:val="en-US" w:eastAsia="zh-CN" w:bidi="ar-SA"/>
        </w:rPr>
        <w:t>导则</w:t>
      </w:r>
    </w:p>
    <w:p>
      <w:pPr>
        <w:pStyle w:val="12"/>
      </w:pPr>
    </w:p>
    <w:p>
      <w:pPr>
        <w:pStyle w:val="12"/>
      </w:pPr>
    </w:p>
    <w:p>
      <w:pPr>
        <w:pStyle w:val="13"/>
        <w:numPr>
          <w:ilvl w:val="0"/>
          <w:numId w:val="0"/>
        </w:numPr>
        <w:jc w:val="center"/>
        <w:rPr>
          <w:sz w:val="28"/>
          <w:szCs w:val="28"/>
        </w:rPr>
      </w:pPr>
      <w:bookmarkStart w:id="0" w:name="_Toc298937333"/>
      <w:bookmarkStart w:id="1" w:name="_Toc298937368"/>
      <w:bookmarkStart w:id="2" w:name="_Toc304825093"/>
      <w:bookmarkStart w:id="3" w:name="_Toc298937473"/>
      <w:bookmarkStart w:id="4" w:name="_Toc298938794"/>
      <w:bookmarkStart w:id="5" w:name="_Toc298937560"/>
      <w:bookmarkStart w:id="6" w:name="_Toc309996019"/>
      <w:bookmarkStart w:id="7" w:name="_Toc309995410"/>
      <w:bookmarkStart w:id="8" w:name="_Toc318613715"/>
      <w:bookmarkStart w:id="9" w:name="_Toc309993200"/>
      <w:bookmarkStart w:id="10" w:name="_Toc309995492"/>
      <w:bookmarkStart w:id="11" w:name="_Toc309994571"/>
      <w:bookmarkStart w:id="12" w:name="_Toc309997060"/>
      <w:bookmarkStart w:id="13" w:name="_Toc310002657"/>
      <w:bookmarkStart w:id="14" w:name="_Toc298937620"/>
      <w:bookmarkStart w:id="15" w:name="_Toc298937430"/>
      <w:bookmarkStart w:id="16" w:name="_Toc309995598"/>
      <w:bookmarkStart w:id="17" w:name="_Toc304825020"/>
      <w:bookmarkStart w:id="18" w:name="_Toc304828086"/>
      <w:bookmarkStart w:id="19" w:name="_Toc304402675"/>
      <w:bookmarkStart w:id="20" w:name="_Toc320020914"/>
      <w:bookmarkStart w:id="21" w:name="_Toc298938646"/>
      <w:bookmarkStart w:id="22" w:name="_Toc304824981"/>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12"/>
        <w:ind w:firstLine="560"/>
        <w:jc w:val="center"/>
        <w:rPr>
          <w:rFonts w:ascii="黑体" w:eastAsia="黑体"/>
          <w:sz w:val="28"/>
          <w:szCs w:val="28"/>
        </w:rPr>
      </w:pPr>
    </w:p>
    <w:p>
      <w:pPr>
        <w:pStyle w:val="12"/>
        <w:ind w:firstLine="560"/>
        <w:jc w:val="center"/>
        <w:rPr>
          <w:rFonts w:ascii="黑体" w:eastAsia="黑体"/>
          <w:sz w:val="28"/>
          <w:szCs w:val="28"/>
        </w:rPr>
      </w:pPr>
    </w:p>
    <w:p>
      <w:pPr>
        <w:pStyle w:val="12"/>
        <w:sectPr>
          <w:headerReference r:id="rId3" w:type="default"/>
          <w:footerReference r:id="rId5" w:type="default"/>
          <w:headerReference r:id="rId4" w:type="even"/>
          <w:pgSz w:w="11906" w:h="16838"/>
          <w:pgMar w:top="567" w:right="1134" w:bottom="1134" w:left="1417" w:header="1418" w:footer="1134" w:gutter="0"/>
          <w:cols w:space="720" w:num="1"/>
          <w:formProt w:val="0"/>
          <w:docGrid w:type="lines" w:linePitch="312" w:charSpace="0"/>
        </w:sectPr>
      </w:pPr>
    </w:p>
    <w:p>
      <w:pPr>
        <w:pStyle w:val="14"/>
      </w:pPr>
      <w:bookmarkStart w:id="23" w:name="_Toc513731109"/>
      <w:bookmarkStart w:id="24" w:name="_Toc309992160"/>
      <w:bookmarkStart w:id="25" w:name="_Toc513731021"/>
      <w:bookmarkStart w:id="26" w:name="_Toc26815"/>
      <w:r>
        <w:rPr>
          <w:rFonts w:hint="eastAsia"/>
        </w:rPr>
        <w:t>目次</w:t>
      </w:r>
      <w:bookmarkEnd w:id="23"/>
      <w:bookmarkEnd w:id="24"/>
      <w:bookmarkEnd w:id="25"/>
      <w:bookmarkEnd w:id="26"/>
    </w:p>
    <w:p>
      <w:pPr>
        <w:pStyle w:val="6"/>
        <w:tabs>
          <w:tab w:val="right" w:leader="dot" w:pos="9355"/>
          <w:tab w:val="clear" w:pos="9241"/>
        </w:tabs>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pPr>
        <w:pStyle w:val="6"/>
        <w:tabs>
          <w:tab w:val="right" w:leader="dot" w:pos="9355"/>
          <w:tab w:val="clear" w:pos="9241"/>
        </w:tabs>
      </w:pPr>
      <w:r>
        <w:rPr>
          <w:rFonts w:hAnsi="宋体"/>
          <w:szCs w:val="21"/>
        </w:rPr>
        <w:fldChar w:fldCharType="begin"/>
      </w:r>
      <w:r>
        <w:rPr>
          <w:rFonts w:hAnsi="宋体"/>
          <w:szCs w:val="21"/>
        </w:rPr>
        <w:instrText xml:space="preserve"> HYPERLINK \l _Toc21469 </w:instrText>
      </w:r>
      <w:r>
        <w:rPr>
          <w:rFonts w:hAnsi="宋体"/>
          <w:szCs w:val="21"/>
        </w:rPr>
        <w:fldChar w:fldCharType="separate"/>
      </w:r>
      <w:r>
        <w:rPr>
          <w:rFonts w:hint="eastAsia" w:ascii="宋体" w:hAnsi="宋体"/>
          <w:szCs w:val="21"/>
        </w:rPr>
        <w:t>1 编制背景</w:t>
      </w:r>
      <w:r>
        <w:tab/>
      </w:r>
      <w:r>
        <w:fldChar w:fldCharType="begin"/>
      </w:r>
      <w:r>
        <w:instrText xml:space="preserve"> PAGEREF _Toc21469 \h </w:instrText>
      </w:r>
      <w:r>
        <w:fldChar w:fldCharType="separate"/>
      </w:r>
      <w:r>
        <w:t>1</w:t>
      </w:r>
      <w:r>
        <w:fldChar w:fldCharType="end"/>
      </w:r>
      <w:r>
        <w:rPr>
          <w:rFonts w:hAnsi="宋体"/>
          <w:szCs w:val="21"/>
        </w:rPr>
        <w:fldChar w:fldCharType="end"/>
      </w:r>
    </w:p>
    <w:p>
      <w:pPr>
        <w:pStyle w:val="6"/>
        <w:tabs>
          <w:tab w:val="right" w:leader="dot" w:pos="9355"/>
          <w:tab w:val="clear" w:pos="9241"/>
        </w:tabs>
      </w:pPr>
      <w:r>
        <w:rPr>
          <w:rFonts w:hAnsi="宋体"/>
          <w:szCs w:val="21"/>
        </w:rPr>
        <w:fldChar w:fldCharType="begin"/>
      </w:r>
      <w:r>
        <w:rPr>
          <w:rFonts w:hAnsi="宋体"/>
          <w:szCs w:val="21"/>
        </w:rPr>
        <w:instrText xml:space="preserve"> HYPERLINK \l _Toc19411 </w:instrText>
      </w:r>
      <w:r>
        <w:rPr>
          <w:rFonts w:hAnsi="宋体"/>
          <w:szCs w:val="21"/>
        </w:rPr>
        <w:fldChar w:fldCharType="separate"/>
      </w:r>
      <w:r>
        <w:rPr>
          <w:rFonts w:hint="eastAsia" w:ascii="宋体" w:hAnsi="宋体"/>
          <w:szCs w:val="21"/>
        </w:rPr>
        <w:t>2 编制主要原则</w:t>
      </w:r>
      <w:r>
        <w:tab/>
      </w:r>
      <w:r>
        <w:fldChar w:fldCharType="begin"/>
      </w:r>
      <w:r>
        <w:instrText xml:space="preserve"> PAGEREF _Toc19411 \h </w:instrText>
      </w:r>
      <w:r>
        <w:fldChar w:fldCharType="separate"/>
      </w:r>
      <w:r>
        <w:t>1</w:t>
      </w:r>
      <w:r>
        <w:fldChar w:fldCharType="end"/>
      </w:r>
      <w:r>
        <w:rPr>
          <w:rFonts w:hAnsi="宋体"/>
          <w:szCs w:val="21"/>
        </w:rPr>
        <w:fldChar w:fldCharType="end"/>
      </w:r>
    </w:p>
    <w:p>
      <w:pPr>
        <w:pStyle w:val="6"/>
        <w:tabs>
          <w:tab w:val="right" w:leader="dot" w:pos="9355"/>
          <w:tab w:val="clear" w:pos="9241"/>
        </w:tabs>
      </w:pPr>
      <w:r>
        <w:rPr>
          <w:rFonts w:hAnsi="宋体"/>
          <w:szCs w:val="21"/>
        </w:rPr>
        <w:fldChar w:fldCharType="begin"/>
      </w:r>
      <w:r>
        <w:rPr>
          <w:rFonts w:hAnsi="宋体"/>
          <w:szCs w:val="21"/>
        </w:rPr>
        <w:instrText xml:space="preserve"> HYPERLINK \l _Toc5999 </w:instrText>
      </w:r>
      <w:r>
        <w:rPr>
          <w:rFonts w:hAnsi="宋体"/>
          <w:szCs w:val="21"/>
        </w:rPr>
        <w:fldChar w:fldCharType="separate"/>
      </w:r>
      <w:r>
        <w:rPr>
          <w:rFonts w:hint="eastAsia" w:ascii="宋体" w:hAnsi="宋体"/>
          <w:szCs w:val="21"/>
        </w:rPr>
        <w:t>3 主要工作过程</w:t>
      </w:r>
      <w:r>
        <w:tab/>
      </w:r>
      <w:r>
        <w:fldChar w:fldCharType="begin"/>
      </w:r>
      <w:r>
        <w:instrText xml:space="preserve"> PAGEREF _Toc5999 \h </w:instrText>
      </w:r>
      <w:r>
        <w:fldChar w:fldCharType="separate"/>
      </w:r>
      <w:r>
        <w:t>2</w:t>
      </w:r>
      <w:r>
        <w:fldChar w:fldCharType="end"/>
      </w:r>
      <w:r>
        <w:rPr>
          <w:rFonts w:hAnsi="宋体"/>
          <w:szCs w:val="21"/>
        </w:rPr>
        <w:fldChar w:fldCharType="end"/>
      </w:r>
    </w:p>
    <w:p>
      <w:pPr>
        <w:pStyle w:val="6"/>
        <w:tabs>
          <w:tab w:val="right" w:leader="dot" w:pos="9355"/>
          <w:tab w:val="clear" w:pos="9241"/>
        </w:tabs>
      </w:pPr>
      <w:r>
        <w:rPr>
          <w:rFonts w:hAnsi="宋体"/>
          <w:szCs w:val="21"/>
        </w:rPr>
        <w:fldChar w:fldCharType="begin"/>
      </w:r>
      <w:r>
        <w:rPr>
          <w:rFonts w:hAnsi="宋体"/>
          <w:szCs w:val="21"/>
        </w:rPr>
        <w:instrText xml:space="preserve"> HYPERLINK \l _Toc15316 </w:instrText>
      </w:r>
      <w:r>
        <w:rPr>
          <w:rFonts w:hAnsi="宋体"/>
          <w:szCs w:val="21"/>
        </w:rPr>
        <w:fldChar w:fldCharType="separate"/>
      </w:r>
      <w:r>
        <w:rPr>
          <w:rFonts w:hint="eastAsia" w:ascii="宋体" w:hAnsi="宋体"/>
          <w:szCs w:val="21"/>
        </w:rPr>
        <w:t>4</w:t>
      </w:r>
      <w:r>
        <w:rPr>
          <w:rFonts w:hint="eastAsia"/>
        </w:rPr>
        <w:t xml:space="preserve"> 标准结构和内容说明</w:t>
      </w:r>
      <w:r>
        <w:tab/>
      </w:r>
      <w:r>
        <w:fldChar w:fldCharType="begin"/>
      </w:r>
      <w:r>
        <w:instrText xml:space="preserve"> PAGEREF _Toc15316 \h </w:instrText>
      </w:r>
      <w:r>
        <w:fldChar w:fldCharType="separate"/>
      </w:r>
      <w:r>
        <w:t>2</w:t>
      </w:r>
      <w:r>
        <w:fldChar w:fldCharType="end"/>
      </w:r>
      <w:r>
        <w:rPr>
          <w:rFonts w:hAnsi="宋体"/>
          <w:szCs w:val="21"/>
        </w:rPr>
        <w:fldChar w:fldCharType="end"/>
      </w:r>
    </w:p>
    <w:p>
      <w:pPr>
        <w:pStyle w:val="6"/>
        <w:tabs>
          <w:tab w:val="right" w:leader="dot" w:pos="9355"/>
          <w:tab w:val="clear" w:pos="9241"/>
        </w:tabs>
      </w:pPr>
      <w:r>
        <w:rPr>
          <w:rFonts w:hAnsi="宋体"/>
          <w:szCs w:val="21"/>
        </w:rPr>
        <w:fldChar w:fldCharType="begin"/>
      </w:r>
      <w:r>
        <w:rPr>
          <w:rFonts w:hAnsi="宋体"/>
          <w:szCs w:val="21"/>
        </w:rPr>
        <w:instrText xml:space="preserve"> HYPERLINK \l _Toc5094 </w:instrText>
      </w:r>
      <w:r>
        <w:rPr>
          <w:rFonts w:hAnsi="宋体"/>
          <w:szCs w:val="21"/>
        </w:rPr>
        <w:fldChar w:fldCharType="separate"/>
      </w:r>
      <w:r>
        <w:rPr>
          <w:rFonts w:hint="eastAsia" w:ascii="宋体" w:hAnsi="宋体"/>
          <w:szCs w:val="21"/>
        </w:rPr>
        <w:t>5相关</w:t>
      </w:r>
      <w:r>
        <w:rPr>
          <w:rFonts w:hint="eastAsia"/>
        </w:rPr>
        <w:t>标准对比说明</w:t>
      </w:r>
      <w:r>
        <w:tab/>
      </w:r>
      <w:r>
        <w:fldChar w:fldCharType="begin"/>
      </w:r>
      <w:r>
        <w:instrText xml:space="preserve"> PAGEREF _Toc5094 \h </w:instrText>
      </w:r>
      <w:r>
        <w:fldChar w:fldCharType="separate"/>
      </w:r>
      <w:r>
        <w:t>3</w:t>
      </w:r>
      <w:r>
        <w:fldChar w:fldCharType="end"/>
      </w:r>
      <w:r>
        <w:rPr>
          <w:rFonts w:hAnsi="宋体"/>
          <w:szCs w:val="21"/>
        </w:rPr>
        <w:fldChar w:fldCharType="end"/>
      </w:r>
    </w:p>
    <w:p>
      <w:pPr>
        <w:pStyle w:val="6"/>
        <w:tabs>
          <w:tab w:val="right" w:leader="dot" w:pos="9355"/>
          <w:tab w:val="clear" w:pos="9241"/>
        </w:tabs>
      </w:pPr>
      <w:r>
        <w:rPr>
          <w:rFonts w:hAnsi="宋体"/>
          <w:szCs w:val="21"/>
        </w:rPr>
        <w:fldChar w:fldCharType="begin"/>
      </w:r>
      <w:r>
        <w:rPr>
          <w:rFonts w:hAnsi="宋体"/>
          <w:szCs w:val="21"/>
        </w:rPr>
        <w:instrText xml:space="preserve"> HYPERLINK \l _Toc27419 </w:instrText>
      </w:r>
      <w:r>
        <w:rPr>
          <w:rFonts w:hAnsi="宋体"/>
          <w:szCs w:val="21"/>
        </w:rPr>
        <w:fldChar w:fldCharType="separate"/>
      </w:r>
      <w:r>
        <w:rPr>
          <w:rFonts w:hint="eastAsia" w:ascii="宋体" w:hAnsi="宋体"/>
          <w:szCs w:val="21"/>
        </w:rPr>
        <w:t>6标准实施措施说明</w:t>
      </w:r>
      <w:r>
        <w:tab/>
      </w:r>
      <w:r>
        <w:fldChar w:fldCharType="begin"/>
      </w:r>
      <w:r>
        <w:instrText xml:space="preserve"> PAGEREF _Toc27419 \h </w:instrText>
      </w:r>
      <w:r>
        <w:fldChar w:fldCharType="separate"/>
      </w:r>
      <w:r>
        <w:t>3</w:t>
      </w:r>
      <w:r>
        <w:fldChar w:fldCharType="end"/>
      </w:r>
      <w:r>
        <w:rPr>
          <w:rFonts w:hAnsi="宋体"/>
          <w:szCs w:val="21"/>
        </w:rPr>
        <w:fldChar w:fldCharType="end"/>
      </w:r>
    </w:p>
    <w:p>
      <w:pPr>
        <w:pStyle w:val="12"/>
        <w:rPr>
          <w:rFonts w:hAnsi="宋体"/>
          <w:szCs w:val="21"/>
        </w:rPr>
      </w:pPr>
      <w:r>
        <w:rPr>
          <w:rFonts w:hAnsi="宋体"/>
          <w:szCs w:val="21"/>
        </w:rPr>
        <w:fldChar w:fldCharType="end"/>
      </w:r>
    </w:p>
    <w:p>
      <w:pPr>
        <w:pStyle w:val="12"/>
        <w:rPr>
          <w:rFonts w:hAnsi="宋体"/>
          <w:szCs w:val="21"/>
        </w:rPr>
      </w:pPr>
    </w:p>
    <w:p>
      <w:pPr>
        <w:pStyle w:val="12"/>
        <w:rPr>
          <w:rFonts w:hAnsi="宋体"/>
          <w:szCs w:val="21"/>
        </w:rPr>
      </w:pPr>
    </w:p>
    <w:p>
      <w:pPr>
        <w:pStyle w:val="12"/>
        <w:rPr>
          <w:rFonts w:hAnsi="宋体"/>
          <w:szCs w:val="21"/>
        </w:rPr>
      </w:pPr>
    </w:p>
    <w:p>
      <w:pPr>
        <w:pStyle w:val="12"/>
        <w:rPr>
          <w:rFonts w:hAnsi="宋体"/>
          <w:szCs w:val="21"/>
        </w:rPr>
        <w:sectPr>
          <w:headerReference r:id="rId6" w:type="default"/>
          <w:footerReference r:id="rId7" w:type="default"/>
          <w:pgSz w:w="11906" w:h="16838"/>
          <w:pgMar w:top="567" w:right="1134" w:bottom="1134" w:left="1417" w:header="1418" w:footer="1134" w:gutter="0"/>
          <w:pgNumType w:start="28"/>
          <w:cols w:space="720" w:num="1"/>
          <w:formProt w:val="0"/>
          <w:docGrid w:type="lines" w:linePitch="312" w:charSpace="0"/>
        </w:sectPr>
      </w:pPr>
    </w:p>
    <w:p>
      <w:pPr>
        <w:pStyle w:val="16"/>
        <w:spacing w:before="312" w:after="312"/>
        <w:rPr>
          <w:rFonts w:ascii="宋体" w:hAnsi="宋体"/>
          <w:szCs w:val="21"/>
        </w:rPr>
      </w:pPr>
      <w:bookmarkStart w:id="27" w:name="_Toc21469"/>
      <w:bookmarkStart w:id="28" w:name="_Toc513731110"/>
      <w:r>
        <w:rPr>
          <w:rFonts w:hint="eastAsia" w:ascii="宋体" w:hAnsi="宋体"/>
          <w:szCs w:val="21"/>
        </w:rPr>
        <w:t>1 编制背景</w:t>
      </w:r>
      <w:bookmarkEnd w:id="27"/>
      <w:bookmarkEnd w:id="28"/>
    </w:p>
    <w:p>
      <w:pPr>
        <w:pStyle w:val="12"/>
        <w:rPr>
          <w:rFonts w:hint="eastAsia"/>
        </w:rPr>
      </w:pPr>
      <w:r>
        <w:rPr>
          <w:rFonts w:hint="eastAsia"/>
        </w:rPr>
        <w:t>本标准是根据</w:t>
      </w:r>
      <w:r>
        <w:rPr>
          <w:rFonts w:hint="default"/>
        </w:rPr>
        <w:t>中国电机工程学会电机</w:t>
      </w:r>
      <w:r>
        <w:rPr>
          <w:rFonts w:hint="eastAsia"/>
          <w:lang w:val="en-US" w:eastAsia="zh-CN"/>
        </w:rPr>
        <w:t>咨〔2024〕535 号</w:t>
      </w:r>
      <w:r>
        <w:rPr>
          <w:rFonts w:hint="eastAsia"/>
        </w:rPr>
        <w:t>文，</w:t>
      </w:r>
      <w:r>
        <w:rPr>
          <w:rFonts w:hint="eastAsia"/>
          <w:lang w:val="en-US" w:eastAsia="zh-CN"/>
        </w:rPr>
        <w:t>中国电机工程学会关于印发“中国电机工程</w:t>
      </w:r>
      <w:r>
        <w:rPr>
          <w:rFonts w:hint="default"/>
          <w:lang w:val="en-US" w:eastAsia="zh-CN"/>
        </w:rPr>
        <w:t>学会2024年标准计划（第二批）”的通知</w:t>
      </w:r>
      <w:r>
        <w:rPr>
          <w:rFonts w:hint="eastAsia"/>
        </w:rPr>
        <w:t>下达的制定任务，项目序号</w:t>
      </w:r>
      <w:r>
        <w:rPr>
          <w:rFonts w:hint="eastAsia"/>
          <w:lang w:val="en-US" w:eastAsia="zh-CN"/>
        </w:rPr>
        <w:t>10</w:t>
      </w:r>
      <w:r>
        <w:rPr>
          <w:rFonts w:hint="eastAsia"/>
        </w:rPr>
        <w:t>对“</w:t>
      </w:r>
      <w:r>
        <w:rPr>
          <w:rFonts w:hint="eastAsia"/>
          <w:lang w:val="en-US" w:eastAsia="en-US"/>
        </w:rPr>
        <w:t>调相机</w:t>
      </w:r>
      <w:r>
        <w:rPr>
          <w:rFonts w:hint="eastAsia"/>
          <w:lang w:val="en-US" w:eastAsia="zh-CN"/>
        </w:rPr>
        <w:t>冷却水系统技术</w:t>
      </w:r>
      <w:r>
        <w:rPr>
          <w:rFonts w:hint="eastAsia"/>
          <w:lang w:val="en-US" w:eastAsia="en-US"/>
        </w:rPr>
        <w:t>监督</w:t>
      </w:r>
      <w:r>
        <w:rPr>
          <w:rFonts w:hint="eastAsia"/>
          <w:lang w:val="en-US" w:eastAsia="zh-CN"/>
        </w:rPr>
        <w:t>导则</w:t>
      </w:r>
      <w:r>
        <w:rPr>
          <w:rFonts w:hint="eastAsia"/>
        </w:rPr>
        <w:t>”进行制定的。由</w:t>
      </w:r>
      <w:r>
        <w:rPr>
          <w:rFonts w:hint="eastAsia"/>
          <w:lang w:val="en-US" w:eastAsia="zh-CN"/>
        </w:rPr>
        <w:t>国网山东省电力公司电力科学研究院</w:t>
      </w:r>
      <w:r>
        <w:rPr>
          <w:rFonts w:hint="eastAsia"/>
        </w:rPr>
        <w:t>负责起草。</w:t>
      </w:r>
    </w:p>
    <w:p>
      <w:pPr>
        <w:pStyle w:val="12"/>
        <w:rPr>
          <w:rFonts w:hint="eastAsia"/>
        </w:rPr>
      </w:pPr>
      <w:r>
        <w:rPr>
          <w:rFonts w:hint="eastAsia"/>
        </w:rPr>
        <w:t>随着我国特高压电网的快速发展和新能源大规模并网，电网对无功补偿和电压支撑的需求日益迫切。调相机作为提供动态无功补偿、保障电网稳定性的关键设备，其可靠性运行至关重要。冷却水系统是调相机组的“血液循环系统”，直接关系到调相机定子、转子等核心部件的散热效果和运行温度，是保障调相机长期、安全、稳定运行的核心辅助系统。</w:t>
      </w:r>
    </w:p>
    <w:p>
      <w:pPr>
        <w:pStyle w:val="12"/>
        <w:rPr>
          <w:rFonts w:hint="eastAsia"/>
        </w:rPr>
      </w:pPr>
      <w:r>
        <w:rPr>
          <w:rFonts w:hint="eastAsia"/>
        </w:rPr>
        <w:t>目前，国内尚无专门针对调相机冷却水系统的技术监督标准或导则。各</w:t>
      </w:r>
      <w:r>
        <w:rPr>
          <w:rFonts w:hint="eastAsia"/>
          <w:lang w:val="en-US" w:eastAsia="zh-CN"/>
        </w:rPr>
        <w:t>调相机站</w:t>
      </w:r>
      <w:r>
        <w:rPr>
          <w:rFonts w:hint="eastAsia"/>
        </w:rPr>
        <w:t>对冷却水系统的管理多参照火力发电厂循环冷却水或发电机内冷水的相关标准，缺乏针对性、系统性和前瞻性。在实际运行中，已暴露出一些共性问题，如：水质指标控制不当，导致换热器及管道结垢、腐蚀，效率下降甚至堵塞</w:t>
      </w:r>
      <w:r>
        <w:rPr>
          <w:rFonts w:hint="eastAsia"/>
          <w:lang w:eastAsia="zh-CN"/>
        </w:rPr>
        <w:t>；</w:t>
      </w:r>
      <w:r>
        <w:rPr>
          <w:rFonts w:hint="eastAsia"/>
        </w:rPr>
        <w:t>系统设计或运维缺陷，导致渗漏水、电气绝缘下降等安全隐患</w:t>
      </w:r>
      <w:r>
        <w:rPr>
          <w:rFonts w:hint="eastAsia"/>
          <w:lang w:eastAsia="zh-CN"/>
        </w:rPr>
        <w:t>；</w:t>
      </w:r>
      <w:r>
        <w:rPr>
          <w:rFonts w:hint="eastAsia"/>
        </w:rPr>
        <w:t>监督体系不完善，预防性维护不足，故障发生时响应和处理滞后</w:t>
      </w:r>
      <w:r>
        <w:rPr>
          <w:rFonts w:hint="eastAsia"/>
          <w:lang w:eastAsia="zh-CN"/>
        </w:rPr>
        <w:t>；</w:t>
      </w:r>
      <w:r>
        <w:rPr>
          <w:rFonts w:hint="eastAsia"/>
        </w:rPr>
        <w:t>技术标准不统一，各站点管理水平和效果参差不齐。</w:t>
      </w:r>
    </w:p>
    <w:p>
      <w:pPr>
        <w:pStyle w:val="12"/>
        <w:rPr>
          <w:rFonts w:hint="eastAsia"/>
        </w:rPr>
      </w:pPr>
      <w:r>
        <w:rPr>
          <w:rFonts w:hint="eastAsia"/>
        </w:rPr>
        <w:t>因此，编制一份专门针对调相机冷却水系统的技术监督导则，为规划、设计、安装、调试、运行、检修及技术改造等全生命周期各个环节提供统一、科学、规范的技术依据，显得极为迫切和必要。</w:t>
      </w:r>
    </w:p>
    <w:p>
      <w:pPr>
        <w:pStyle w:val="16"/>
        <w:spacing w:before="312" w:after="312"/>
        <w:rPr>
          <w:rFonts w:ascii="宋体" w:hAnsi="宋体"/>
          <w:szCs w:val="21"/>
        </w:rPr>
      </w:pPr>
      <w:bookmarkStart w:id="29" w:name="_Toc19411"/>
      <w:bookmarkStart w:id="30" w:name="_Toc513731111"/>
      <w:r>
        <w:rPr>
          <w:rFonts w:hint="eastAsia" w:ascii="宋体" w:hAnsi="宋体"/>
          <w:szCs w:val="21"/>
        </w:rPr>
        <w:t>2 编制主要原则</w:t>
      </w:r>
      <w:bookmarkEnd w:id="29"/>
      <w:bookmarkEnd w:id="30"/>
    </w:p>
    <w:p>
      <w:pPr>
        <w:pStyle w:val="17"/>
        <w:numPr>
          <w:ilvl w:val="0"/>
          <w:numId w:val="0"/>
        </w:numPr>
        <w:spacing w:before="156" w:beforeLines="50" w:after="156" w:afterLines="50"/>
        <w:rPr>
          <w:rFonts w:hint="eastAsia"/>
          <w:lang w:val="en-US" w:eastAsia="zh-CN"/>
        </w:rPr>
      </w:pPr>
      <w:bookmarkStart w:id="31" w:name="_Toc23637"/>
      <w:bookmarkStart w:id="32" w:name="_Toc32601"/>
      <w:bookmarkStart w:id="33" w:name="_Toc18791"/>
      <w:bookmarkStart w:id="34" w:name="_Toc32730"/>
      <w:bookmarkStart w:id="35" w:name="_Toc14686"/>
      <w:bookmarkStart w:id="36" w:name="_Toc4409"/>
      <w:bookmarkStart w:id="37" w:name="_Toc25903"/>
      <w:bookmarkStart w:id="38" w:name="_Toc892"/>
      <w:r>
        <w:rPr>
          <w:rFonts w:hint="eastAsia"/>
        </w:rPr>
        <w:t xml:space="preserve">2.1 </w:t>
      </w:r>
      <w:r>
        <w:rPr>
          <w:rFonts w:hint="eastAsia"/>
          <w:lang w:val="en-US" w:eastAsia="zh-CN"/>
        </w:rPr>
        <w:t>制定程序</w:t>
      </w:r>
      <w:bookmarkEnd w:id="31"/>
      <w:bookmarkEnd w:id="32"/>
      <w:bookmarkEnd w:id="33"/>
      <w:bookmarkEnd w:id="34"/>
      <w:bookmarkEnd w:id="35"/>
      <w:bookmarkEnd w:id="36"/>
      <w:bookmarkEnd w:id="37"/>
      <w:bookmarkEnd w:id="38"/>
    </w:p>
    <w:p>
      <w:pPr>
        <w:pStyle w:val="12"/>
        <w:rPr>
          <w:rFonts w:hint="eastAsia"/>
          <w:lang w:val="en-US" w:eastAsia="zh-CN"/>
        </w:rPr>
      </w:pPr>
      <w:r>
        <w:rPr>
          <w:rFonts w:hint="default"/>
          <w:lang w:val="en-US" w:eastAsia="zh-CN"/>
        </w:rPr>
        <w:t>本次制定工作是按照《标准化工作导则》、《标准化工作指南》、《标准编写规则》等国家标准的最新版本的规定进行的</w:t>
      </w:r>
      <w:r>
        <w:rPr>
          <w:rFonts w:hint="eastAsia"/>
          <w:lang w:val="en-US" w:eastAsia="zh-CN"/>
        </w:rPr>
        <w:t>。标准的制定按照科学性、先进性、适用性和可操作性为原则。</w:t>
      </w:r>
      <w:r>
        <w:rPr>
          <w:rFonts w:hint="default"/>
          <w:lang w:val="en-US" w:eastAsia="zh-CN"/>
        </w:rPr>
        <w:t>按项目安排，本次标准制定过程中，查阅了相关的国内外标准、专利、文献等资料，并进行了</w:t>
      </w:r>
      <w:r>
        <w:rPr>
          <w:rFonts w:hint="eastAsia"/>
          <w:lang w:val="en-US" w:eastAsia="zh-CN"/>
        </w:rPr>
        <w:t>精密度、正确度等大量的</w:t>
      </w:r>
      <w:r>
        <w:rPr>
          <w:rFonts w:hint="default"/>
          <w:lang w:val="en-US" w:eastAsia="zh-CN"/>
        </w:rPr>
        <w:t>验证试验</w:t>
      </w:r>
      <w:r>
        <w:rPr>
          <w:rFonts w:hint="eastAsia"/>
          <w:lang w:val="en-US" w:eastAsia="zh-CN"/>
        </w:rPr>
        <w:t>。</w:t>
      </w:r>
    </w:p>
    <w:p>
      <w:pPr>
        <w:pStyle w:val="12"/>
        <w:rPr>
          <w:rFonts w:hint="default"/>
          <w:lang w:val="en-US" w:eastAsia="zh-CN"/>
        </w:rPr>
      </w:pPr>
      <w:r>
        <w:rPr>
          <w:rFonts w:hint="default"/>
          <w:lang w:val="en-US" w:eastAsia="zh-CN"/>
        </w:rPr>
        <w:t>《调相机冷却水系统技术监督导则》的主要技术内容和要求，严格以现行有效的国家标准、行业标准以及《防止电力生产事故的二十五项重点要求（2023版）》为编制基础。在技术层面，导则系统性地融入了上海发电机厂、东方电机厂、哈尔滨电机厂三大主机厂的设计依据，充分借鉴了广州高澜节能技术股份有限公司、河南晶锐冷却技术股份有限公司、北京国电富通科技发展有限责任公司等主流水冷设备制造厂家在换流站及调相机站领域的成熟制造经验，并统筹考虑了山东、湖南等二十余个调相机站长期积累的运维实践经验。</w:t>
      </w:r>
    </w:p>
    <w:p>
      <w:pPr>
        <w:pStyle w:val="12"/>
        <w:rPr>
          <w:rFonts w:hint="default"/>
          <w:lang w:val="en-US" w:eastAsia="zh-CN"/>
        </w:rPr>
      </w:pPr>
      <w:r>
        <w:rPr>
          <w:rFonts w:hint="default"/>
          <w:lang w:val="en-US" w:eastAsia="zh-CN"/>
        </w:rPr>
        <w:t>在此基础上提出T/CSEE 《</w:t>
      </w:r>
      <w:r>
        <w:rPr>
          <w:rFonts w:hint="eastAsia"/>
          <w:lang w:val="en-US" w:eastAsia="en-US"/>
        </w:rPr>
        <w:t>调相机</w:t>
      </w:r>
      <w:r>
        <w:rPr>
          <w:rFonts w:hint="eastAsia"/>
          <w:lang w:val="en-US" w:eastAsia="zh-CN"/>
        </w:rPr>
        <w:t>冷却水系统技术</w:t>
      </w:r>
      <w:r>
        <w:rPr>
          <w:rFonts w:hint="eastAsia"/>
          <w:lang w:val="en-US" w:eastAsia="en-US"/>
        </w:rPr>
        <w:t>监督</w:t>
      </w:r>
      <w:r>
        <w:rPr>
          <w:rFonts w:hint="eastAsia"/>
          <w:lang w:val="en-US" w:eastAsia="zh-CN"/>
        </w:rPr>
        <w:t>导则</w:t>
      </w:r>
      <w:r>
        <w:rPr>
          <w:rFonts w:hint="default"/>
          <w:lang w:val="en-US" w:eastAsia="zh-CN"/>
        </w:rPr>
        <w:t>》标准制定的草案，</w:t>
      </w:r>
      <w:r>
        <w:rPr>
          <w:rFonts w:hint="eastAsia"/>
          <w:lang w:val="en-US" w:eastAsia="zh-CN"/>
        </w:rPr>
        <w:t>项目组</w:t>
      </w:r>
      <w:r>
        <w:rPr>
          <w:rFonts w:hint="default"/>
          <w:lang w:val="en-US" w:eastAsia="zh-CN"/>
        </w:rPr>
        <w:t>经过充分讨论后，</w:t>
      </w:r>
      <w:r>
        <w:rPr>
          <w:rFonts w:hint="eastAsia"/>
          <w:lang w:val="en-US" w:eastAsia="zh-CN"/>
        </w:rPr>
        <w:t>于2026年4月</w:t>
      </w:r>
      <w:r>
        <w:rPr>
          <w:rFonts w:hint="default"/>
          <w:lang w:val="en-US" w:eastAsia="zh-CN"/>
        </w:rPr>
        <w:t>提出标准征求意见稿。</w:t>
      </w:r>
    </w:p>
    <w:p>
      <w:pPr>
        <w:pStyle w:val="17"/>
        <w:numPr>
          <w:ilvl w:val="0"/>
          <w:numId w:val="0"/>
        </w:numPr>
        <w:spacing w:before="156" w:beforeLines="50" w:after="156" w:afterLines="50"/>
        <w:rPr>
          <w:rFonts w:hint="eastAsia"/>
          <w:lang w:val="en-US" w:eastAsia="zh-CN"/>
        </w:rPr>
      </w:pPr>
      <w:bookmarkStart w:id="39" w:name="_Toc5254"/>
      <w:r>
        <w:rPr>
          <w:rFonts w:hint="eastAsia"/>
        </w:rPr>
        <w:t>2.</w:t>
      </w:r>
      <w:r>
        <w:rPr>
          <w:rFonts w:hint="eastAsia"/>
          <w:lang w:val="en-US" w:eastAsia="zh-CN"/>
        </w:rPr>
        <w:t>2</w:t>
      </w:r>
      <w:r>
        <w:rPr>
          <w:rFonts w:hint="eastAsia"/>
        </w:rPr>
        <w:t xml:space="preserve"> </w:t>
      </w:r>
      <w:r>
        <w:rPr>
          <w:rFonts w:hint="eastAsia"/>
          <w:lang w:val="en-US" w:eastAsia="zh-CN"/>
        </w:rPr>
        <w:t>制定原则</w:t>
      </w:r>
      <w:bookmarkEnd w:id="39"/>
    </w:p>
    <w:p>
      <w:pPr>
        <w:pStyle w:val="12"/>
        <w:rPr>
          <w:rFonts w:hint="eastAsia"/>
          <w:lang w:val="en-US" w:eastAsia="zh-CN"/>
        </w:rPr>
      </w:pPr>
      <w:r>
        <w:rPr>
          <w:rFonts w:hint="eastAsia"/>
          <w:lang w:val="en-US" w:eastAsia="zh-CN"/>
        </w:rPr>
        <w:t xml:space="preserve">本文件主要根据以下原则编制： </w:t>
      </w:r>
    </w:p>
    <w:p>
      <w:pPr>
        <w:pStyle w:val="12"/>
        <w:rPr>
          <w:rFonts w:hint="eastAsia"/>
          <w:lang w:val="en-US" w:eastAsia="zh-CN"/>
        </w:rPr>
      </w:pPr>
      <w:r>
        <w:rPr>
          <w:rFonts w:hint="eastAsia"/>
          <w:lang w:val="en-US" w:eastAsia="zh-CN"/>
        </w:rPr>
        <w:t>1</w:t>
      </w:r>
      <w:r>
        <w:rPr>
          <w:rFonts w:hint="default"/>
          <w:lang w:val="en-US" w:eastAsia="zh-CN"/>
        </w:rPr>
        <w:t>）</w:t>
      </w:r>
      <w:r>
        <w:rPr>
          <w:rFonts w:hint="eastAsia"/>
          <w:lang w:val="en-US" w:eastAsia="zh-CN"/>
        </w:rPr>
        <w:t xml:space="preserve"> 安全性原则</w:t>
      </w:r>
      <w:r>
        <w:rPr>
          <w:rFonts w:hint="default"/>
          <w:lang w:val="en-US" w:eastAsia="zh-CN"/>
        </w:rPr>
        <w:t>。</w:t>
      </w:r>
      <w:r>
        <w:rPr>
          <w:rFonts w:hint="eastAsia"/>
          <w:lang w:val="en-US" w:eastAsia="zh-CN"/>
        </w:rPr>
        <w:t>将安全放在首位，所有技术要求均以确保设备及人身安全为根本出发点。</w:t>
      </w:r>
      <w:bookmarkStart w:id="95" w:name="_GoBack"/>
      <w:bookmarkEnd w:id="95"/>
    </w:p>
    <w:p>
      <w:pPr>
        <w:pStyle w:val="12"/>
        <w:rPr>
          <w:rFonts w:hint="default"/>
          <w:lang w:val="en-US" w:eastAsia="zh-CN"/>
        </w:rPr>
      </w:pPr>
      <w:r>
        <w:rPr>
          <w:rFonts w:hint="eastAsia"/>
          <w:lang w:val="en-US" w:eastAsia="zh-CN"/>
        </w:rPr>
        <w:t>2）系统性原则。覆盖冷却水系统的全部组成部分（如水泵、换热器、管道、阀门、仪表、加药装置、过滤装置、控制单元等）和全生命周期过程。</w:t>
      </w:r>
    </w:p>
    <w:p>
      <w:pPr>
        <w:pStyle w:val="12"/>
        <w:rPr>
          <w:rFonts w:hint="default"/>
          <w:lang w:val="en-US" w:eastAsia="zh-CN"/>
        </w:rPr>
      </w:pPr>
      <w:r>
        <w:rPr>
          <w:rFonts w:hint="eastAsia"/>
          <w:lang w:val="en-US" w:eastAsia="zh-CN"/>
        </w:rPr>
        <w:t>3）针对性原则：针对调相机内冷水系统、开式外冷水系统、闭式外冷水系统的技术特点的差异性，提出不同的技术监督的内容和要求。</w:t>
      </w:r>
    </w:p>
    <w:p>
      <w:pPr>
        <w:pStyle w:val="12"/>
        <w:rPr>
          <w:rFonts w:hint="eastAsia"/>
          <w:lang w:val="en-US" w:eastAsia="zh-CN"/>
        </w:rPr>
      </w:pPr>
      <w:r>
        <w:rPr>
          <w:rFonts w:hint="eastAsia"/>
          <w:lang w:val="en-US" w:eastAsia="zh-CN"/>
        </w:rPr>
        <w:t>4）先进性原则。吸收和采纳国内外先进的技术标准和成熟的管理经验，并体现技术发展趋势。</w:t>
      </w:r>
    </w:p>
    <w:p>
      <w:pPr>
        <w:pStyle w:val="12"/>
        <w:rPr>
          <w:rFonts w:hint="eastAsia"/>
          <w:lang w:val="en-US" w:eastAsia="zh-CN"/>
        </w:rPr>
      </w:pPr>
      <w:r>
        <w:rPr>
          <w:rFonts w:hint="eastAsia"/>
          <w:lang w:val="en-US" w:eastAsia="zh-CN"/>
        </w:rPr>
        <w:t>5）可操作性原则。条款规定力求明确、具体，量化指标清晰，便于现场执行和检查考核。</w:t>
      </w:r>
    </w:p>
    <w:p>
      <w:pPr>
        <w:pStyle w:val="17"/>
        <w:numPr>
          <w:ilvl w:val="0"/>
          <w:numId w:val="0"/>
        </w:numPr>
        <w:spacing w:before="156" w:beforeLines="50" w:after="156" w:afterLines="50" w:line="240" w:lineRule="auto"/>
        <w:rPr>
          <w:rFonts w:hint="eastAsia" w:ascii="黑体" w:hAnsi="Times New Roman" w:eastAsia="黑体" w:cs="Times New Roman"/>
          <w:sz w:val="21"/>
          <w:szCs w:val="21"/>
          <w:lang w:val="en-US" w:eastAsia="zh-CN"/>
        </w:rPr>
      </w:pPr>
      <w:bookmarkStart w:id="40" w:name="_Toc18273"/>
      <w:bookmarkStart w:id="41" w:name="_Toc13142"/>
      <w:bookmarkStart w:id="42" w:name="_Toc3467"/>
      <w:bookmarkStart w:id="43" w:name="_Toc5695"/>
      <w:bookmarkStart w:id="44" w:name="_Toc113"/>
      <w:bookmarkStart w:id="45" w:name="_Toc20038"/>
      <w:bookmarkStart w:id="46" w:name="_Toc13583"/>
      <w:bookmarkStart w:id="47" w:name="_Toc29699"/>
      <w:r>
        <w:rPr>
          <w:rFonts w:hint="eastAsia" w:ascii="黑体" w:hAnsi="Times New Roman" w:eastAsia="黑体" w:cs="Times New Roman"/>
          <w:sz w:val="21"/>
          <w:szCs w:val="21"/>
        </w:rPr>
        <w:t>2.</w:t>
      </w:r>
      <w:r>
        <w:rPr>
          <w:rFonts w:hint="eastAsia" w:hAnsi="Times New Roman" w:cs="Times New Roman"/>
          <w:sz w:val="21"/>
          <w:szCs w:val="21"/>
          <w:lang w:val="en-US" w:eastAsia="zh-CN"/>
        </w:rPr>
        <w:t>3</w:t>
      </w:r>
      <w:r>
        <w:rPr>
          <w:rFonts w:hint="eastAsia" w:ascii="黑体" w:hAnsi="Times New Roman" w:eastAsia="黑体" w:cs="Times New Roman"/>
          <w:sz w:val="21"/>
          <w:szCs w:val="21"/>
        </w:rPr>
        <w:t xml:space="preserve"> </w:t>
      </w:r>
      <w:r>
        <w:rPr>
          <w:rFonts w:hint="eastAsia" w:ascii="黑体" w:hAnsi="Times New Roman" w:eastAsia="黑体" w:cs="Times New Roman"/>
          <w:sz w:val="21"/>
          <w:szCs w:val="21"/>
          <w:lang w:val="en-US" w:eastAsia="zh-CN"/>
        </w:rPr>
        <w:t>制定时间</w:t>
      </w:r>
      <w:bookmarkEnd w:id="40"/>
      <w:bookmarkEnd w:id="41"/>
      <w:bookmarkEnd w:id="42"/>
      <w:bookmarkEnd w:id="43"/>
      <w:bookmarkEnd w:id="44"/>
      <w:bookmarkEnd w:id="45"/>
      <w:bookmarkEnd w:id="46"/>
      <w:bookmarkEnd w:id="47"/>
    </w:p>
    <w:p>
      <w:pPr>
        <w:pStyle w:val="12"/>
        <w:rPr>
          <w:rFonts w:hint="eastAsia"/>
          <w:lang w:val="en-US" w:eastAsia="zh-CN"/>
        </w:rPr>
      </w:pPr>
      <w:r>
        <w:rPr>
          <w:rFonts w:hint="default"/>
          <w:lang w:val="en-US" w:eastAsia="zh-CN"/>
        </w:rPr>
        <w:t>202</w:t>
      </w:r>
      <w:r>
        <w:rPr>
          <w:rFonts w:hint="eastAsia"/>
          <w:lang w:val="en-US" w:eastAsia="zh-CN"/>
        </w:rPr>
        <w:t>5</w:t>
      </w:r>
      <w:r>
        <w:rPr>
          <w:rFonts w:hint="default"/>
          <w:lang w:val="en-US" w:eastAsia="zh-CN"/>
        </w:rPr>
        <w:t>年</w:t>
      </w:r>
      <w:r>
        <w:rPr>
          <w:rFonts w:hint="eastAsia"/>
          <w:lang w:val="en-US" w:eastAsia="zh-CN"/>
        </w:rPr>
        <w:t>1</w:t>
      </w:r>
      <w:r>
        <w:rPr>
          <w:rFonts w:hint="default"/>
          <w:lang w:val="en-US" w:eastAsia="zh-CN"/>
        </w:rPr>
        <w:t>月至202</w:t>
      </w:r>
      <w:r>
        <w:rPr>
          <w:rFonts w:hint="eastAsia"/>
          <w:lang w:val="en-US" w:eastAsia="zh-CN"/>
        </w:rPr>
        <w:t>6</w:t>
      </w:r>
      <w:r>
        <w:rPr>
          <w:rFonts w:hint="default"/>
          <w:lang w:val="en-US" w:eastAsia="zh-CN"/>
        </w:rPr>
        <w:t>年</w:t>
      </w:r>
      <w:r>
        <w:rPr>
          <w:rFonts w:hint="eastAsia"/>
          <w:lang w:val="en-US" w:eastAsia="zh-CN"/>
        </w:rPr>
        <w:t>12</w:t>
      </w:r>
      <w:r>
        <w:rPr>
          <w:rFonts w:hint="default"/>
          <w:lang w:val="en-US" w:eastAsia="zh-CN"/>
        </w:rPr>
        <w:t>月。</w:t>
      </w:r>
    </w:p>
    <w:p>
      <w:pPr>
        <w:pStyle w:val="16"/>
        <w:spacing w:before="312" w:after="312"/>
        <w:rPr>
          <w:rFonts w:ascii="宋体" w:hAnsi="宋体"/>
          <w:szCs w:val="21"/>
        </w:rPr>
      </w:pPr>
      <w:bookmarkStart w:id="48" w:name="_Toc513731112"/>
      <w:bookmarkStart w:id="49" w:name="_Toc5999"/>
      <w:r>
        <w:rPr>
          <w:rFonts w:hint="eastAsia" w:ascii="宋体" w:hAnsi="宋体"/>
          <w:szCs w:val="21"/>
        </w:rPr>
        <w:t>3 主要工作过程</w:t>
      </w:r>
      <w:bookmarkEnd w:id="48"/>
      <w:bookmarkEnd w:id="49"/>
    </w:p>
    <w:p>
      <w:pPr>
        <w:pStyle w:val="12"/>
        <w:rPr>
          <w:rFonts w:hint="eastAsia"/>
          <w:lang w:val="en-US" w:eastAsia="zh-CN"/>
        </w:rPr>
      </w:pPr>
      <w:r>
        <w:rPr>
          <w:rFonts w:hint="eastAsia"/>
          <w:lang w:val="en-US" w:eastAsia="zh-CN"/>
        </w:rPr>
        <w:t>（1）2025年1月，国网山东省电力公司电力科学研究院成立标准编制工作组，明确小组成员分工、制定工作进度计划。</w:t>
      </w:r>
    </w:p>
    <w:p>
      <w:pPr>
        <w:pStyle w:val="12"/>
        <w:rPr>
          <w:rFonts w:hint="eastAsia"/>
          <w:lang w:val="en-US" w:eastAsia="zh-CN"/>
        </w:rPr>
      </w:pPr>
      <w:r>
        <w:rPr>
          <w:rFonts w:hint="eastAsia"/>
          <w:lang w:val="en-US" w:eastAsia="zh-CN"/>
        </w:rPr>
        <w:t>（2）2025年3月，国网山东省电力公司电力科学研究院组织召开标准制定启动会，并对标准的结构进行了讨论。会上成立编写组，成员单位包括国网山东省电力公司电力科学研究院、国网湖南省电力有限公司电力公司电力科学研究院、国网浙江省电力有限公司电力公司电力科学研究院、西安西热水务有限公司、国网安徽省电力公司电力科学研究院、国网青海省电力公司电力公司电力科学研究院、江苏方天有限公司、北京国电富通</w:t>
      </w:r>
      <w:r>
        <w:rPr>
          <w:rFonts w:hint="default"/>
          <w:lang w:val="en-US" w:eastAsia="zh-CN"/>
        </w:rPr>
        <w:t>科技发展</w:t>
      </w:r>
      <w:r>
        <w:rPr>
          <w:rFonts w:hint="eastAsia"/>
          <w:lang w:val="en-US" w:eastAsia="zh-CN"/>
        </w:rPr>
        <w:t>有限公司等，具有广泛的代表性。</w:t>
      </w:r>
    </w:p>
    <w:p>
      <w:pPr>
        <w:pStyle w:val="12"/>
        <w:rPr>
          <w:rFonts w:hint="eastAsia"/>
          <w:lang w:val="en-US" w:eastAsia="zh-CN"/>
        </w:rPr>
      </w:pPr>
      <w:r>
        <w:rPr>
          <w:rFonts w:hint="eastAsia"/>
          <w:lang w:val="en-US" w:eastAsia="zh-CN"/>
        </w:rPr>
        <w:t>（3）2025年4月至7月，查阅、分析国内外大型发电机、调相机、特高压换流站的冷却水系统相关技术文献、资料和现有标准规范；调研国网公司22个调相机站53台调相机在运维中遇到的问题和挑战；编写和完善标准内容及要求。</w:t>
      </w:r>
    </w:p>
    <w:p>
      <w:pPr>
        <w:pStyle w:val="12"/>
        <w:rPr>
          <w:rFonts w:hint="eastAsia"/>
          <w:lang w:val="en-US" w:eastAsia="zh-CN"/>
        </w:rPr>
      </w:pPr>
      <w:r>
        <w:rPr>
          <w:rFonts w:hint="eastAsia"/>
          <w:lang w:val="en-US" w:eastAsia="zh-CN"/>
        </w:rPr>
        <w:t>（4）2025年8月，国网山东省电力公司电力科学研究院召开线上初稿讨论会，邀请业内专家对标准内容进行了评审，完善了</w:t>
      </w:r>
      <w:bookmarkStart w:id="50" w:name="_Toc14256"/>
      <w:bookmarkStart w:id="51" w:name="_Toc25081"/>
      <w:r>
        <w:rPr>
          <w:rFonts w:hint="eastAsia"/>
          <w:lang w:val="en-US" w:eastAsia="zh-CN"/>
        </w:rPr>
        <w:t>标准</w:t>
      </w:r>
      <w:bookmarkEnd w:id="50"/>
      <w:bookmarkEnd w:id="51"/>
      <w:r>
        <w:rPr>
          <w:rFonts w:hint="eastAsia"/>
          <w:lang w:val="en-US" w:eastAsia="zh-CN"/>
        </w:rPr>
        <w:t>的主要内容和技术要求，形成了标准讨论（初）稿。</w:t>
      </w:r>
    </w:p>
    <w:p>
      <w:pPr>
        <w:pStyle w:val="12"/>
        <w:rPr>
          <w:rFonts w:hint="eastAsia"/>
          <w:lang w:val="en-US" w:eastAsia="zh-CN"/>
        </w:rPr>
      </w:pPr>
      <w:r>
        <w:rPr>
          <w:rFonts w:hint="eastAsia"/>
          <w:lang w:val="en-US" w:eastAsia="zh-CN"/>
        </w:rPr>
        <w:t>（5）2025年9月-2026年4月，根据评审意见对标准内容条款进行修改完善，形成征求意见稿。</w:t>
      </w:r>
    </w:p>
    <w:p>
      <w:pPr>
        <w:pStyle w:val="16"/>
        <w:spacing w:before="312" w:after="312"/>
      </w:pPr>
      <w:bookmarkStart w:id="52" w:name="_Toc513731113"/>
      <w:bookmarkStart w:id="53" w:name="_Toc15316"/>
      <w:r>
        <w:rPr>
          <w:rFonts w:hint="eastAsia" w:ascii="宋体" w:hAnsi="宋体"/>
          <w:szCs w:val="21"/>
        </w:rPr>
        <w:t>4</w:t>
      </w:r>
      <w:r>
        <w:rPr>
          <w:rFonts w:hint="eastAsia"/>
        </w:rPr>
        <w:t xml:space="preserve"> 标准结构和内容说明</w:t>
      </w:r>
      <w:bookmarkEnd w:id="52"/>
      <w:bookmarkEnd w:id="53"/>
    </w:p>
    <w:p>
      <w:pPr>
        <w:pStyle w:val="12"/>
        <w:rPr>
          <w:rFonts w:hint="eastAsia"/>
          <w:lang w:val="en-US" w:eastAsia="zh-CN"/>
        </w:rPr>
      </w:pPr>
      <w:bookmarkStart w:id="54" w:name="_Toc2614"/>
      <w:bookmarkStart w:id="55" w:name="_Toc19843"/>
      <w:bookmarkStart w:id="56" w:name="_Toc5581"/>
      <w:bookmarkStart w:id="57" w:name="_Toc7394"/>
      <w:bookmarkStart w:id="58" w:name="_Toc8013"/>
      <w:r>
        <w:rPr>
          <w:rFonts w:hint="eastAsia"/>
          <w:lang w:val="en-US" w:eastAsia="zh-CN"/>
        </w:rPr>
        <w:t>本标准由范围、规范性引用文件、术语和定义、总则、技术监督内容技术监督预警与告警6部分组成。</w:t>
      </w:r>
    </w:p>
    <w:p>
      <w:pPr>
        <w:spacing w:line="360" w:lineRule="auto"/>
        <w:outlineLvl w:val="1"/>
        <w:rPr>
          <w:rFonts w:hint="eastAsia" w:ascii="黑体" w:hAnsi="黑体" w:eastAsia="黑体" w:cs="黑体"/>
          <w:b w:val="0"/>
          <w:bCs w:val="0"/>
          <w:i w:val="0"/>
          <w:color w:val="auto"/>
          <w:spacing w:val="0"/>
          <w:kern w:val="44"/>
          <w:sz w:val="21"/>
          <w:szCs w:val="21"/>
          <w:lang w:val="en-US" w:eastAsia="zh-CN" w:bidi="ar-SA"/>
        </w:rPr>
      </w:pPr>
      <w:bookmarkStart w:id="59" w:name="_Toc26260"/>
      <w:bookmarkStart w:id="60" w:name="_Toc14660"/>
      <w:r>
        <w:rPr>
          <w:rFonts w:hint="eastAsia" w:ascii="黑体" w:hAnsi="黑体" w:eastAsia="黑体" w:cs="黑体"/>
          <w:b w:val="0"/>
          <w:bCs w:val="0"/>
          <w:i w:val="0"/>
          <w:color w:val="auto"/>
          <w:spacing w:val="0"/>
          <w:kern w:val="44"/>
          <w:sz w:val="21"/>
          <w:szCs w:val="21"/>
          <w:lang w:val="en-US" w:eastAsia="zh-CN" w:bidi="ar-SA"/>
        </w:rPr>
        <w:t>4.1范围</w:t>
      </w:r>
      <w:bookmarkEnd w:id="59"/>
      <w:bookmarkEnd w:id="60"/>
    </w:p>
    <w:p>
      <w:pPr>
        <w:pStyle w:val="12"/>
        <w:ind w:firstLine="420"/>
        <w:rPr>
          <w:rFonts w:hint="eastAsia" w:ascii="Times New Roman" w:hAnsi="Times New Roman" w:cs="Times New Roman"/>
          <w:szCs w:val="21"/>
        </w:rPr>
      </w:pPr>
      <w:bookmarkStart w:id="61" w:name="_Toc5552"/>
      <w:r>
        <w:rPr>
          <w:rFonts w:hint="eastAsia" w:ascii="Times New Roman" w:hAnsi="Times New Roman" w:cs="Times New Roman"/>
          <w:szCs w:val="21"/>
        </w:rPr>
        <w:t>本</w:t>
      </w:r>
      <w:r>
        <w:rPr>
          <w:rFonts w:hint="eastAsia" w:ascii="Times New Roman" w:hAnsi="Times New Roman" w:cs="Times New Roman"/>
          <w:szCs w:val="21"/>
          <w:lang w:val="en-US" w:eastAsia="zh-CN"/>
        </w:rPr>
        <w:t>文件</w:t>
      </w:r>
      <w:r>
        <w:rPr>
          <w:rFonts w:hint="eastAsia" w:ascii="Times New Roman" w:hAnsi="Times New Roman" w:cs="Times New Roman"/>
          <w:szCs w:val="21"/>
        </w:rPr>
        <w:t>规定了调相机</w:t>
      </w:r>
      <w:r>
        <w:rPr>
          <w:rFonts w:hint="eastAsia" w:ascii="Times New Roman" w:hAnsi="Times New Roman" w:cs="Times New Roman"/>
          <w:szCs w:val="21"/>
          <w:lang w:val="en-US" w:eastAsia="zh-CN"/>
        </w:rPr>
        <w:t>冷却水系统技术</w:t>
      </w:r>
      <w:r>
        <w:rPr>
          <w:rFonts w:hint="eastAsia" w:ascii="Times New Roman" w:hAnsi="Times New Roman" w:cs="Times New Roman"/>
          <w:szCs w:val="21"/>
        </w:rPr>
        <w:t>监督工作的总则、</w:t>
      </w:r>
      <w:r>
        <w:rPr>
          <w:rFonts w:hint="eastAsia" w:ascii="Times New Roman" w:hAnsi="Times New Roman" w:cs="Times New Roman"/>
          <w:szCs w:val="21"/>
          <w:lang w:val="en-US" w:eastAsia="zh-CN"/>
        </w:rPr>
        <w:t>技术</w:t>
      </w:r>
      <w:r>
        <w:rPr>
          <w:rFonts w:hint="eastAsia" w:ascii="Times New Roman" w:hAnsi="Times New Roman" w:cs="Times New Roman"/>
          <w:szCs w:val="21"/>
        </w:rPr>
        <w:t xml:space="preserve">监督内容、预警与告警管理。 </w:t>
      </w:r>
    </w:p>
    <w:p>
      <w:pPr>
        <w:pStyle w:val="12"/>
        <w:rPr>
          <w:rFonts w:hint="eastAsia"/>
          <w:lang w:val="en-US" w:eastAsia="zh-CN"/>
        </w:rPr>
      </w:pPr>
      <w:r>
        <w:rPr>
          <w:rFonts w:hint="eastAsia"/>
          <w:lang w:val="en-US" w:eastAsia="zh-CN"/>
        </w:rPr>
        <w:t>本文件适用于300Mvar同步调相机组的冷却水系统，其他容量等级调相机组可参照执行。</w:t>
      </w:r>
    </w:p>
    <w:p>
      <w:pPr>
        <w:spacing w:line="360" w:lineRule="auto"/>
        <w:ind w:firstLine="420" w:firstLineChars="200"/>
        <w:rPr>
          <w:rFonts w:hint="eastAsia" w:ascii="黑体" w:hAnsi="黑体" w:eastAsia="黑体" w:cs="黑体"/>
          <w:b w:val="0"/>
          <w:bCs w:val="0"/>
          <w:i w:val="0"/>
          <w:color w:val="auto"/>
          <w:spacing w:val="0"/>
          <w:kern w:val="44"/>
          <w:sz w:val="21"/>
          <w:szCs w:val="21"/>
          <w:lang w:val="en-US" w:eastAsia="zh-CN" w:bidi="ar-SA"/>
        </w:rPr>
      </w:pPr>
      <w:r>
        <w:rPr>
          <w:rFonts w:hint="eastAsia" w:ascii="黑体" w:hAnsi="黑体" w:eastAsia="黑体" w:cs="黑体"/>
          <w:b w:val="0"/>
          <w:bCs w:val="0"/>
          <w:i w:val="0"/>
          <w:color w:val="auto"/>
          <w:spacing w:val="0"/>
          <w:kern w:val="44"/>
          <w:sz w:val="21"/>
          <w:szCs w:val="21"/>
          <w:lang w:val="en-US" w:eastAsia="zh-CN" w:bidi="ar-SA"/>
        </w:rPr>
        <w:t>4.2 规范性引用文件</w:t>
      </w:r>
      <w:bookmarkEnd w:id="61"/>
    </w:p>
    <w:p>
      <w:pPr>
        <w:pStyle w:val="12"/>
        <w:rPr>
          <w:rFonts w:hint="eastAsia"/>
          <w:lang w:val="en-US" w:eastAsia="zh-CN"/>
        </w:rPr>
      </w:pPr>
      <w:r>
        <w:rPr>
          <w:rFonts w:hint="eastAsia"/>
          <w:lang w:val="en-US" w:eastAsia="zh-CN"/>
        </w:rPr>
        <w:t>根据标准编制的范围和内容，查阅相关现行标准、规范、法律法规内容，将本标准涉及到的“GB/T 7064 隐极同步发电机技术要求”等16份现行标准内相适应的的条款直接按照引用列出。</w:t>
      </w:r>
    </w:p>
    <w:p>
      <w:pPr>
        <w:spacing w:line="360" w:lineRule="auto"/>
        <w:outlineLvl w:val="1"/>
        <w:rPr>
          <w:rFonts w:hint="eastAsia" w:ascii="Times New Roman" w:hAnsi="Times New Roman" w:eastAsia="宋体" w:cs="Times New Roman"/>
          <w:color w:val="auto"/>
          <w:sz w:val="21"/>
          <w:szCs w:val="21"/>
          <w:lang w:val="en-US" w:eastAsia="zh-CN"/>
        </w:rPr>
      </w:pPr>
      <w:bookmarkStart w:id="62" w:name="_Toc12628"/>
      <w:bookmarkStart w:id="63" w:name="_Toc14926"/>
      <w:r>
        <w:rPr>
          <w:rFonts w:hint="eastAsia" w:ascii="Times New Roman" w:hAnsi="Times New Roman" w:eastAsia="宋体" w:cs="Times New Roman"/>
          <w:color w:val="auto"/>
          <w:sz w:val="21"/>
          <w:szCs w:val="21"/>
          <w:lang w:val="en-US" w:eastAsia="zh-CN"/>
        </w:rPr>
        <w:t>4</w:t>
      </w:r>
      <w:r>
        <w:rPr>
          <w:rFonts w:hint="eastAsia" w:ascii="黑体" w:hAnsi="黑体" w:eastAsia="黑体" w:cs="黑体"/>
          <w:b w:val="0"/>
          <w:bCs w:val="0"/>
          <w:i w:val="0"/>
          <w:color w:val="auto"/>
          <w:spacing w:val="0"/>
          <w:kern w:val="44"/>
          <w:sz w:val="21"/>
          <w:szCs w:val="21"/>
          <w:lang w:val="en-US" w:eastAsia="zh-CN" w:bidi="ar-SA"/>
        </w:rPr>
        <w:t>.3 术语和定义</w:t>
      </w:r>
      <w:bookmarkEnd w:id="62"/>
      <w:bookmarkEnd w:id="63"/>
    </w:p>
    <w:p>
      <w:pPr>
        <w:pStyle w:val="12"/>
        <w:rPr>
          <w:rFonts w:hint="eastAsia"/>
          <w:lang w:val="en-US" w:eastAsia="zh-CN"/>
        </w:rPr>
      </w:pPr>
      <w:r>
        <w:rPr>
          <w:rFonts w:hint="eastAsia"/>
          <w:lang w:val="en-US" w:eastAsia="zh-CN"/>
        </w:rPr>
        <w:t>标准3.1 - 3.4条款，提出了“</w:t>
      </w:r>
      <w:bookmarkStart w:id="64" w:name="_Toc19166"/>
      <w:bookmarkStart w:id="65" w:name="_Toc28659"/>
      <w:bookmarkStart w:id="66" w:name="_Toc31321"/>
      <w:r>
        <w:rPr>
          <w:rFonts w:hint="eastAsia"/>
          <w:lang w:val="en-US" w:eastAsia="zh-CN"/>
        </w:rPr>
        <w:t>调相机</w:t>
      </w:r>
      <w:bookmarkEnd w:id="64"/>
      <w:bookmarkEnd w:id="65"/>
      <w:bookmarkEnd w:id="66"/>
      <w:r>
        <w:rPr>
          <w:rFonts w:hint="eastAsia"/>
          <w:lang w:val="en-US" w:eastAsia="zh-CN"/>
        </w:rPr>
        <w:t>”等4项术语，为便于准确理解，标准描述，对相关术语进行了简要定义。</w:t>
      </w:r>
    </w:p>
    <w:p>
      <w:pPr>
        <w:spacing w:line="360" w:lineRule="auto"/>
        <w:outlineLvl w:val="1"/>
        <w:rPr>
          <w:rFonts w:hint="eastAsia" w:ascii="Times New Roman" w:hAnsi="Times New Roman" w:eastAsia="宋体" w:cs="Times New Roman"/>
          <w:color w:val="auto"/>
          <w:sz w:val="21"/>
          <w:szCs w:val="21"/>
          <w:lang w:val="en-US" w:eastAsia="zh-CN"/>
        </w:rPr>
      </w:pPr>
      <w:bookmarkStart w:id="67" w:name="_Toc3890"/>
      <w:bookmarkStart w:id="68" w:name="_Toc22261"/>
      <w:r>
        <w:rPr>
          <w:rFonts w:hint="eastAsia" w:ascii="Times New Roman" w:hAnsi="Times New Roman" w:eastAsia="宋体" w:cs="Times New Roman"/>
          <w:color w:val="auto"/>
          <w:sz w:val="21"/>
          <w:szCs w:val="21"/>
          <w:lang w:val="en-US" w:eastAsia="zh-CN"/>
        </w:rPr>
        <w:t xml:space="preserve">4.4 </w:t>
      </w:r>
      <w:bookmarkEnd w:id="67"/>
      <w:bookmarkStart w:id="69" w:name="_Toc22235"/>
      <w:r>
        <w:rPr>
          <w:rFonts w:hint="eastAsia" w:ascii="黑体" w:hAnsi="黑体" w:eastAsia="黑体" w:cs="黑体"/>
          <w:b w:val="0"/>
          <w:bCs w:val="0"/>
          <w:i w:val="0"/>
          <w:color w:val="auto"/>
          <w:spacing w:val="0"/>
          <w:kern w:val="44"/>
          <w:sz w:val="21"/>
          <w:szCs w:val="21"/>
          <w:lang w:val="en-US" w:eastAsia="zh-CN" w:bidi="ar-SA"/>
        </w:rPr>
        <w:t>总则</w:t>
      </w:r>
      <w:bookmarkEnd w:id="68"/>
      <w:bookmarkEnd w:id="69"/>
    </w:p>
    <w:p>
      <w:pPr>
        <w:pStyle w:val="12"/>
        <w:rPr>
          <w:rFonts w:hint="eastAsia"/>
          <w:lang w:val="en-US" w:eastAsia="zh-CN"/>
        </w:rPr>
      </w:pPr>
      <w:bookmarkStart w:id="70" w:name="_Toc18695"/>
      <w:bookmarkStart w:id="71" w:name="_Toc21808"/>
      <w:bookmarkStart w:id="72" w:name="_Toc7780"/>
      <w:r>
        <w:rPr>
          <w:rFonts w:hint="eastAsia"/>
          <w:lang w:val="en-US" w:eastAsia="zh-CN"/>
        </w:rPr>
        <w:t>标准4.1 - 4.4条款，提出了调相机冷却水系统在设计、采购与制造、安装、调试、验收、运维和检修阶段监督工作的总体原则。</w:t>
      </w:r>
      <w:bookmarkEnd w:id="70"/>
      <w:bookmarkEnd w:id="71"/>
      <w:bookmarkEnd w:id="72"/>
    </w:p>
    <w:bookmarkEnd w:id="54"/>
    <w:bookmarkEnd w:id="55"/>
    <w:bookmarkEnd w:id="56"/>
    <w:bookmarkEnd w:id="57"/>
    <w:bookmarkEnd w:id="58"/>
    <w:p>
      <w:pPr>
        <w:spacing w:line="360" w:lineRule="auto"/>
        <w:outlineLvl w:val="1"/>
        <w:rPr>
          <w:rFonts w:hint="eastAsia" w:ascii="Times New Roman" w:hAnsi="Times New Roman" w:eastAsia="宋体" w:cs="Times New Roman"/>
          <w:color w:val="auto"/>
          <w:sz w:val="21"/>
          <w:szCs w:val="21"/>
          <w:lang w:val="en-US" w:eastAsia="zh-CN"/>
        </w:rPr>
      </w:pPr>
      <w:bookmarkStart w:id="73" w:name="_Toc5146"/>
      <w:bookmarkStart w:id="74" w:name="_Toc5070"/>
      <w:bookmarkStart w:id="75" w:name="_Toc12593"/>
      <w:bookmarkStart w:id="76" w:name="_Toc13076"/>
      <w:bookmarkStart w:id="77" w:name="_Toc24434"/>
      <w:bookmarkStart w:id="78" w:name="_Toc13874"/>
      <w:bookmarkStart w:id="79" w:name="_Toc6774"/>
      <w:bookmarkStart w:id="80" w:name="_Toc10077"/>
      <w:r>
        <w:rPr>
          <w:rFonts w:hint="eastAsia" w:ascii="Times New Roman" w:hAnsi="Times New Roman" w:eastAsia="宋体" w:cs="Times New Roman"/>
          <w:color w:val="auto"/>
          <w:sz w:val="21"/>
          <w:szCs w:val="21"/>
          <w:lang w:val="en-US" w:eastAsia="zh-CN"/>
        </w:rPr>
        <w:t xml:space="preserve">4.5 </w:t>
      </w:r>
      <w:bookmarkEnd w:id="73"/>
      <w:bookmarkEnd w:id="74"/>
      <w:bookmarkEnd w:id="75"/>
      <w:bookmarkEnd w:id="76"/>
      <w:bookmarkEnd w:id="77"/>
      <w:bookmarkEnd w:id="78"/>
      <w:bookmarkEnd w:id="79"/>
      <w:bookmarkStart w:id="81" w:name="_Toc30852"/>
      <w:r>
        <w:rPr>
          <w:rFonts w:hint="eastAsia" w:ascii="黑体" w:hAnsi="黑体" w:eastAsia="黑体" w:cs="黑体"/>
          <w:b w:val="0"/>
          <w:bCs w:val="0"/>
          <w:i w:val="0"/>
          <w:color w:val="auto"/>
          <w:spacing w:val="0"/>
          <w:kern w:val="44"/>
          <w:sz w:val="21"/>
          <w:szCs w:val="21"/>
          <w:lang w:val="en-US" w:eastAsia="zh-CN" w:bidi="ar-SA"/>
        </w:rPr>
        <w:t>技术监督内容</w:t>
      </w:r>
      <w:bookmarkEnd w:id="80"/>
      <w:bookmarkEnd w:id="81"/>
    </w:p>
    <w:p>
      <w:pPr>
        <w:pStyle w:val="12"/>
        <w:rPr>
          <w:rFonts w:hint="default"/>
          <w:lang w:val="en-US" w:eastAsia="zh-CN"/>
        </w:rPr>
      </w:pPr>
      <w:bookmarkStart w:id="82" w:name="_Toc27815"/>
      <w:bookmarkStart w:id="83" w:name="_Toc14847"/>
      <w:bookmarkStart w:id="84" w:name="_Toc1542"/>
      <w:r>
        <w:rPr>
          <w:rFonts w:hint="eastAsia"/>
          <w:lang w:val="en-US" w:eastAsia="zh-CN"/>
        </w:rPr>
        <w:t>标准5.1 - 5.7条款，提出了调相机冷却水系统在设计、采购与制造、安装、调试、验收、运维和检修阶段</w:t>
      </w:r>
      <w:bookmarkEnd w:id="82"/>
      <w:bookmarkEnd w:id="83"/>
      <w:bookmarkEnd w:id="84"/>
      <w:r>
        <w:rPr>
          <w:rFonts w:hint="eastAsia"/>
          <w:lang w:val="en-US" w:eastAsia="zh-CN"/>
        </w:rPr>
        <w:t>技术监督的具体内容。</w:t>
      </w:r>
    </w:p>
    <w:p>
      <w:pPr>
        <w:spacing w:line="360" w:lineRule="auto"/>
        <w:outlineLvl w:val="1"/>
        <w:rPr>
          <w:rFonts w:hint="eastAsia" w:ascii="Times New Roman" w:hAnsi="Times New Roman" w:eastAsia="宋体" w:cs="Times New Roman"/>
          <w:color w:val="auto"/>
          <w:sz w:val="21"/>
          <w:szCs w:val="21"/>
          <w:lang w:val="en-US" w:eastAsia="zh-CN"/>
        </w:rPr>
      </w:pPr>
      <w:bookmarkStart w:id="85" w:name="_Toc29177"/>
      <w:r>
        <w:rPr>
          <w:rFonts w:hint="eastAsia" w:ascii="Times New Roman" w:hAnsi="Times New Roman" w:eastAsia="宋体" w:cs="Times New Roman"/>
          <w:color w:val="auto"/>
          <w:sz w:val="21"/>
          <w:szCs w:val="21"/>
          <w:lang w:val="en-US" w:eastAsia="zh-CN"/>
        </w:rPr>
        <w:t xml:space="preserve">4.6 </w:t>
      </w:r>
      <w:bookmarkStart w:id="86" w:name="_Toc22455"/>
      <w:bookmarkStart w:id="87" w:name="_Toc3631"/>
      <w:r>
        <w:rPr>
          <w:rFonts w:hint="eastAsia" w:ascii="黑体" w:hAnsi="黑体" w:eastAsia="黑体" w:cs="黑体"/>
          <w:b w:val="0"/>
          <w:bCs w:val="0"/>
          <w:i w:val="0"/>
          <w:color w:val="auto"/>
          <w:spacing w:val="0"/>
          <w:kern w:val="44"/>
          <w:sz w:val="21"/>
          <w:szCs w:val="21"/>
          <w:lang w:val="en-US" w:eastAsia="zh-CN" w:bidi="ar-SA"/>
        </w:rPr>
        <w:t>技术监督预警与告警</w:t>
      </w:r>
      <w:bookmarkEnd w:id="85"/>
      <w:bookmarkEnd w:id="86"/>
      <w:bookmarkEnd w:id="87"/>
    </w:p>
    <w:p>
      <w:pPr>
        <w:pStyle w:val="12"/>
        <w:rPr>
          <w:rFonts w:hint="eastAsia"/>
          <w:lang w:val="en-US" w:eastAsia="zh-CN"/>
        </w:rPr>
      </w:pPr>
      <w:r>
        <w:rPr>
          <w:rFonts w:hint="eastAsia"/>
          <w:lang w:val="en-US" w:eastAsia="zh-CN"/>
        </w:rPr>
        <w:t>标准6.1 - 6.3条款，提出了调相机冷却水系统技术监督过程发现的影响和威胁调相机冷却水系统安全运行的重要问题，利用技术监督预警与告警手段督促有关单位、部门进行整改，并给出了技术监督预警与告警单格式。</w:t>
      </w:r>
    </w:p>
    <w:p>
      <w:pPr>
        <w:spacing w:line="360" w:lineRule="auto"/>
        <w:outlineLvl w:val="1"/>
        <w:rPr>
          <w:rFonts w:hint="eastAsia" w:ascii="Times New Roman" w:hAnsi="Times New Roman" w:eastAsia="宋体" w:cs="Times New Roman"/>
          <w:color w:val="auto"/>
          <w:sz w:val="21"/>
          <w:szCs w:val="21"/>
          <w:lang w:val="en-US" w:eastAsia="zh-CN"/>
        </w:rPr>
      </w:pPr>
      <w:bookmarkStart w:id="88" w:name="_Toc4573"/>
      <w:r>
        <w:rPr>
          <w:rFonts w:hint="eastAsia" w:ascii="Times New Roman" w:hAnsi="Times New Roman" w:eastAsia="宋体" w:cs="Times New Roman"/>
          <w:color w:val="auto"/>
          <w:sz w:val="21"/>
          <w:szCs w:val="21"/>
          <w:lang w:val="en-US" w:eastAsia="zh-CN"/>
        </w:rPr>
        <w:t xml:space="preserve">4.7 </w:t>
      </w:r>
      <w:r>
        <w:rPr>
          <w:rFonts w:hint="eastAsia" w:ascii="黑体" w:hAnsi="黑体" w:eastAsia="黑体" w:cs="黑体"/>
          <w:b w:val="0"/>
          <w:bCs w:val="0"/>
          <w:i w:val="0"/>
          <w:color w:val="auto"/>
          <w:spacing w:val="0"/>
          <w:kern w:val="44"/>
          <w:sz w:val="21"/>
          <w:szCs w:val="21"/>
          <w:lang w:val="en-US" w:eastAsia="zh-CN" w:bidi="ar-SA"/>
        </w:rPr>
        <w:t>附录</w:t>
      </w:r>
      <w:bookmarkEnd w:id="88"/>
    </w:p>
    <w:p>
      <w:pPr>
        <w:pStyle w:val="12"/>
        <w:rPr>
          <w:rFonts w:hint="eastAsia"/>
          <w:lang w:val="en-US" w:eastAsia="zh-CN"/>
        </w:rPr>
      </w:pPr>
      <w:r>
        <w:rPr>
          <w:rFonts w:hint="eastAsia"/>
          <w:lang w:val="en-US" w:eastAsia="zh-CN"/>
        </w:rPr>
        <w:t>标准附录A-附录C，提供了</w:t>
      </w:r>
      <w:bookmarkStart w:id="89" w:name="_Toc23121"/>
      <w:bookmarkStart w:id="90" w:name="_Toc13516"/>
      <w:r>
        <w:rPr>
          <w:rFonts w:hint="eastAsia"/>
          <w:lang w:val="en-US" w:eastAsia="zh-CN"/>
        </w:rPr>
        <w:t>调相机水质技术监督</w:t>
      </w:r>
      <w:bookmarkEnd w:id="89"/>
      <w:bookmarkEnd w:id="90"/>
      <w:r>
        <w:rPr>
          <w:rFonts w:hint="eastAsia"/>
          <w:lang w:val="en-US" w:eastAsia="zh-CN"/>
        </w:rPr>
        <w:t>，人工检测项目、指标及检测周期，技术监督预警与告警单。</w:t>
      </w:r>
    </w:p>
    <w:p>
      <w:pPr>
        <w:pStyle w:val="16"/>
        <w:spacing w:before="312" w:after="312"/>
      </w:pPr>
      <w:bookmarkStart w:id="91" w:name="_Toc513731114"/>
      <w:bookmarkStart w:id="92" w:name="_Toc5094"/>
      <w:r>
        <w:rPr>
          <w:rFonts w:hint="eastAsia" w:ascii="宋体" w:hAnsi="宋体"/>
          <w:szCs w:val="21"/>
        </w:rPr>
        <w:t>5相关</w:t>
      </w:r>
      <w:r>
        <w:rPr>
          <w:rFonts w:hint="eastAsia"/>
        </w:rPr>
        <w:t>标准对比说明</w:t>
      </w:r>
      <w:bookmarkEnd w:id="91"/>
      <w:bookmarkEnd w:id="92"/>
    </w:p>
    <w:p>
      <w:pPr>
        <w:pStyle w:val="12"/>
        <w:rPr>
          <w:rFonts w:hint="eastAsia"/>
          <w:lang w:val="en-US" w:eastAsia="zh-CN"/>
        </w:rPr>
      </w:pPr>
      <w:r>
        <w:rPr>
          <w:rFonts w:hint="eastAsia"/>
          <w:lang w:val="en-US" w:eastAsia="zh-CN"/>
        </w:rPr>
        <w:t>本标准是对《化学监督导则》（DL/T 246）在调相机冷却水系统这一专业领域的细化和补充。它与《火力发电厂水汽化学监督导致》（DL/T 561）和《大型发电机内冷却水质及系统技术要求》（DL/T 801）等标准协调配套、各有侧重。本导则更具针对性，技术要求更贴合调相机冷却水系统的实际工况和重要性等级，是现有标准体系的重要完善。</w:t>
      </w:r>
    </w:p>
    <w:p>
      <w:pPr>
        <w:pStyle w:val="16"/>
        <w:spacing w:before="312" w:after="312"/>
        <w:rPr>
          <w:rFonts w:ascii="宋体" w:hAnsi="宋体"/>
          <w:szCs w:val="21"/>
        </w:rPr>
      </w:pPr>
      <w:bookmarkStart w:id="93" w:name="_Toc513731115"/>
      <w:bookmarkStart w:id="94" w:name="_Toc27419"/>
      <w:r>
        <w:rPr>
          <w:rFonts w:hint="eastAsia" w:ascii="宋体" w:hAnsi="宋体"/>
          <w:szCs w:val="21"/>
        </w:rPr>
        <w:t>6标准实施措施说明</w:t>
      </w:r>
      <w:bookmarkEnd w:id="93"/>
      <w:bookmarkEnd w:id="94"/>
    </w:p>
    <w:p>
      <w:pPr>
        <w:pStyle w:val="12"/>
        <w:rPr>
          <w:rFonts w:hint="eastAsia"/>
          <w:lang w:val="en-US" w:eastAsia="zh-CN"/>
        </w:rPr>
      </w:pPr>
      <w:r>
        <w:rPr>
          <w:rFonts w:hint="eastAsia"/>
          <w:lang w:val="en-US" w:eastAsia="zh-CN"/>
        </w:rPr>
        <w:t>本标准与现行法令、法规、国家标准没有矛盾和抵触。</w:t>
      </w:r>
    </w:p>
    <w:p>
      <w:pPr>
        <w:pStyle w:val="12"/>
        <w:rPr>
          <w:rFonts w:hint="eastAsia"/>
          <w:lang w:val="en-US" w:eastAsia="zh-CN"/>
        </w:rPr>
      </w:pPr>
      <w:r>
        <w:rPr>
          <w:rFonts w:hint="eastAsia"/>
          <w:lang w:val="en-US" w:eastAsia="zh-CN"/>
        </w:rPr>
        <w:t>本标准可以作为推荐性团体标准实施，做好标准宣贯。</w:t>
      </w:r>
    </w:p>
    <w:p>
      <w:pPr>
        <w:pStyle w:val="12"/>
        <w:rPr>
          <w:rFonts w:hint="eastAsia"/>
          <w:lang w:val="en-US" w:eastAsia="zh-CN"/>
        </w:rPr>
      </w:pPr>
    </w:p>
    <w:p>
      <w:pPr>
        <w:rPr>
          <w:rFonts w:eastAsia="黑体"/>
          <w:sz w:val="36"/>
          <w:szCs w:val="24"/>
        </w:rPr>
      </w:pPr>
    </w:p>
    <w:p>
      <w:r>
        <w:rPr>
          <w:rFonts w:hint="eastAsia" w:ascii="Times New Roman"/>
          <w:szCs w:val="21"/>
        </w:rPr>
        <w:t xml:space="preserve">          </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5"/>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ldagJ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aBI4s8JQww8/fxzufh9+&#10;fWdn0Z7O+YKybh3lhf4N9DE1SvXuBuRXzyxcN8Ju1BUidI0SFdGbxpfZg6cDjo8g6+49VFRHbAMk&#10;oL5GEwHJDUbo1Jr9qTWqD0zGktPzWX7GmaSr6cuLV3lqXSaK8bFDH94qMCwGJUfqfAIXuxsfIhlR&#10;jCmxloWVbtvU/db+dUCJ8SSRj3wH5qFf90cz1lDtSQbCMEz0lShoAL9x1tEgldzSv+GsfWfJiDhz&#10;Y4BjsB4DYSU9LHngbAivwzCbW4d60xDuaPUVmbXSSUh0deBwZEmjkfQdxzjO3sN9yvrzdR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DkldagJAgAAAgQAAA4AAAAAAAAAAQAgAAAAHwEAAGRy&#10;cy9lMm9Eb2MueG1sUEsFBgAAAAAGAAYAWQEAAJo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3"/>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D164C"/>
    <w:rsid w:val="10B23709"/>
    <w:rsid w:val="11B91491"/>
    <w:rsid w:val="1BD021A1"/>
    <w:rsid w:val="3C877D5C"/>
    <w:rsid w:val="49A92713"/>
    <w:rsid w:val="63C16D0E"/>
    <w:rsid w:val="6BD93850"/>
    <w:rsid w:val="7C404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styleId="10">
    <w:name w:val="page number"/>
    <w:qFormat/>
    <w:uiPriority w:val="0"/>
    <w:rPr>
      <w:rFonts w:ascii="Times New Roman" w:hAnsi="Times New Roman" w:eastAsia="宋体"/>
      <w:sz w:val="18"/>
    </w:rPr>
  </w:style>
  <w:style w:type="character" w:styleId="11">
    <w:name w:val="Hyperlink"/>
    <w:qFormat/>
    <w:uiPriority w:val="99"/>
    <w:rPr>
      <w:rFonts w:cs="Times New Roman"/>
      <w:color w:val="0563C1"/>
      <w:u w:val="single"/>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
    <w:name w:val="目次、标准名称标题"/>
    <w:basedOn w:val="15"/>
    <w:next w:val="12"/>
    <w:qFormat/>
    <w:uiPriority w:val="0"/>
    <w:pPr>
      <w:keepNext/>
      <w:pageBreakBefore/>
      <w:spacing w:line="460" w:lineRule="exact"/>
    </w:pPr>
  </w:style>
  <w:style w:type="paragraph" w:customStyle="1" w:styleId="1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17">
    <w:name w:val="附录章标题"/>
    <w:next w:val="12"/>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18">
    <w:name w:val="List Paragraph"/>
    <w:basedOn w:val="1"/>
    <w:qFormat/>
    <w:uiPriority w:val="34"/>
    <w:pPr>
      <w:ind w:firstLine="420" w:firstLineChars="200"/>
    </w:pPr>
  </w:style>
  <w:style w:type="paragraph" w:customStyle="1" w:styleId="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2621</Words>
  <Characters>2748</Characters>
  <Lines>0</Lines>
  <Paragraphs>0</Paragraphs>
  <TotalTime>1</TotalTime>
  <ScaleCrop>false</ScaleCrop>
  <LinksUpToDate>false</LinksUpToDate>
  <CharactersWithSpaces>2795</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2025-09-24T00:38:00Z</dcterms:created>
  <dc:creator>1</dc:creator>
  <cp:lastModifiedBy>刘国强</cp:lastModifiedBy>
  <dcterms:modified xsi:type="dcterms:W3CDTF">2026-04-23T09:15:34Z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KSOTemplateDocerSaveRecord">
    <vt:lpwstr>eyJoZGlkIjoiNzkyMmExMGJhODIzMTQyYmE4NmVkYjRjNjExYmE2ZDIiLCJ1c2VySWQiOiIzOTU4NjMzOTUifQ==</vt:lpwstr>
  </property>
  <property fmtid="{D5CDD505-2E9C-101B-9397-08002B2CF9AE}" pid="4" name="ICV">
    <vt:lpwstr>ED12314F0B8A4003844E7E569F089B3B</vt:lpwstr>
  </property>
</Properties>
</file>