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AE4E2">
      <w:pPr>
        <w:pStyle w:val="9"/>
        <w:jc w:val="left"/>
        <w:rPr>
          <w:rFonts w:ascii="黑体" w:hAnsi="黑体" w:eastAsia="黑体"/>
          <w:b w:val="0"/>
        </w:rPr>
      </w:pPr>
    </w:p>
    <w:p w14:paraId="62AF3692">
      <w:pPr>
        <w:pStyle w:val="14"/>
        <w:ind w:firstLine="0" w:firstLineChars="0"/>
      </w:pPr>
    </w:p>
    <w:p w14:paraId="6F2AD3B8">
      <w:pPr>
        <w:pStyle w:val="14"/>
        <w:ind w:firstLine="0" w:firstLineChars="0"/>
      </w:pPr>
    </w:p>
    <w:p w14:paraId="2C6C0C86">
      <w:pPr>
        <w:pStyle w:val="14"/>
        <w:ind w:firstLine="0" w:firstLineChars="0"/>
      </w:pPr>
    </w:p>
    <w:p w14:paraId="59CDE5A1">
      <w:pPr>
        <w:pStyle w:val="14"/>
        <w:ind w:firstLine="0" w:firstLineChars="0"/>
      </w:pPr>
    </w:p>
    <w:p w14:paraId="1E485BC7">
      <w:pPr>
        <w:pStyle w:val="14"/>
        <w:ind w:firstLine="0" w:firstLineChars="0"/>
      </w:pPr>
    </w:p>
    <w:p w14:paraId="7ABD5D1B">
      <w:pPr>
        <w:pStyle w:val="14"/>
        <w:ind w:firstLine="0" w:firstLineChars="0"/>
      </w:pPr>
    </w:p>
    <w:p w14:paraId="3F7DF481">
      <w:pPr>
        <w:pStyle w:val="14"/>
        <w:ind w:firstLine="0" w:firstLineChars="0"/>
      </w:pPr>
    </w:p>
    <w:p w14:paraId="29E25AC0">
      <w:pPr>
        <w:pStyle w:val="24"/>
        <w:spacing w:before="312" w:beforeLines="100"/>
        <w:rPr>
          <w:rFonts w:hint="eastAsia"/>
          <w:sz w:val="44"/>
          <w:szCs w:val="44"/>
        </w:rPr>
      </w:pPr>
      <w:bookmarkStart w:id="0" w:name="_Hlk195536067"/>
      <w:r>
        <w:rPr>
          <w:rFonts w:hint="eastAsia"/>
          <w:sz w:val="44"/>
          <w:szCs w:val="44"/>
        </w:rPr>
        <w:t>分布式光伏与构网型储能协同系统的电压、频率及暂态稳定性安全技术规范</w:t>
      </w:r>
    </w:p>
    <w:bookmarkEnd w:id="0"/>
    <w:p w14:paraId="09F91FA7">
      <w:pPr>
        <w:pStyle w:val="14"/>
      </w:pPr>
    </w:p>
    <w:p w14:paraId="439B25DD">
      <w:pPr>
        <w:pStyle w:val="14"/>
      </w:pPr>
    </w:p>
    <w:p w14:paraId="50540389">
      <w:pPr>
        <w:pStyle w:val="15"/>
        <w:numPr>
          <w:ilvl w:val="0"/>
          <w:numId w:val="0"/>
        </w:numPr>
        <w:jc w:val="center"/>
        <w:rPr>
          <w:sz w:val="28"/>
          <w:szCs w:val="28"/>
        </w:rPr>
      </w:pPr>
      <w:bookmarkStart w:id="1" w:name="_Toc298937333"/>
      <w:bookmarkStart w:id="2" w:name="_Toc298937368"/>
      <w:bookmarkStart w:id="3" w:name="_Toc304828086"/>
      <w:bookmarkStart w:id="4" w:name="_Toc298937560"/>
      <w:bookmarkStart w:id="5" w:name="_Toc309995410"/>
      <w:bookmarkStart w:id="6" w:name="_Toc309996019"/>
      <w:bookmarkStart w:id="7" w:name="_Toc309995598"/>
      <w:bookmarkStart w:id="8" w:name="_Toc309997060"/>
      <w:bookmarkStart w:id="9" w:name="_Toc298937473"/>
      <w:bookmarkStart w:id="10" w:name="_Toc309994571"/>
      <w:bookmarkStart w:id="11" w:name="_Toc304825020"/>
      <w:bookmarkStart w:id="12" w:name="_Toc298938646"/>
      <w:bookmarkStart w:id="13" w:name="_Toc298937430"/>
      <w:bookmarkStart w:id="14" w:name="_Toc310002657"/>
      <w:bookmarkStart w:id="15" w:name="_Toc298938794"/>
      <w:bookmarkStart w:id="16" w:name="_Toc309995492"/>
      <w:bookmarkStart w:id="17" w:name="_Toc304402675"/>
      <w:bookmarkStart w:id="18" w:name="_Toc304824981"/>
      <w:bookmarkStart w:id="19" w:name="_Toc318613715"/>
      <w:bookmarkStart w:id="20" w:name="_Toc304825093"/>
      <w:bookmarkStart w:id="21" w:name="_Toc298937620"/>
      <w:bookmarkStart w:id="22" w:name="_Toc309993200"/>
      <w:bookmarkStart w:id="23" w:name="_Toc320020914"/>
      <w:r>
        <w:rPr>
          <w:rFonts w:hint="eastAsia"/>
          <w:sz w:val="28"/>
          <w:szCs w:val="28"/>
        </w:rPr>
        <w:t>编 制 说</w:t>
      </w:r>
      <w:bookmarkEnd w:id="1"/>
      <w:bookmarkEnd w:id="2"/>
      <w:r>
        <w:rPr>
          <w:rFonts w:hint="eastAsia"/>
          <w:sz w:val="28"/>
          <w:szCs w:val="28"/>
        </w:rPr>
        <w:t> 明</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5397F53">
      <w:pPr>
        <w:pStyle w:val="14"/>
        <w:ind w:firstLine="560"/>
        <w:jc w:val="center"/>
        <w:rPr>
          <w:rFonts w:ascii="黑体" w:eastAsia="黑体"/>
          <w:sz w:val="28"/>
          <w:szCs w:val="28"/>
        </w:rPr>
      </w:pPr>
    </w:p>
    <w:p w14:paraId="2DFA6482">
      <w:pPr>
        <w:pStyle w:val="14"/>
        <w:ind w:firstLine="560"/>
        <w:jc w:val="center"/>
        <w:rPr>
          <w:rFonts w:ascii="黑体" w:eastAsia="黑体"/>
          <w:sz w:val="28"/>
          <w:szCs w:val="28"/>
        </w:rPr>
      </w:pPr>
    </w:p>
    <w:p w14:paraId="02BB0D3A">
      <w:pPr>
        <w:pStyle w:val="14"/>
        <w:sectPr>
          <w:headerReference r:id="rId3" w:type="default"/>
          <w:headerReference r:id="rId4" w:type="even"/>
          <w:pgSz w:w="11906" w:h="16838"/>
          <w:pgMar w:top="567" w:right="1134" w:bottom="1134" w:left="1417" w:header="1418" w:footer="1134" w:gutter="0"/>
          <w:cols w:space="720" w:num="1"/>
          <w:formProt w:val="0"/>
          <w:docGrid w:type="lines" w:linePitch="312" w:charSpace="0"/>
        </w:sectPr>
      </w:pPr>
    </w:p>
    <w:p w14:paraId="181E33A5">
      <w:pPr>
        <w:pStyle w:val="16"/>
      </w:pPr>
      <w:bookmarkStart w:id="24" w:name="_Toc309992160"/>
      <w:bookmarkStart w:id="25" w:name="_Toc513731109"/>
      <w:bookmarkStart w:id="26" w:name="_Toc513731021"/>
      <w:r>
        <w:rPr>
          <w:rFonts w:hint="eastAsia"/>
        </w:rPr>
        <w:t>目次</w:t>
      </w:r>
      <w:bookmarkEnd w:id="24"/>
      <w:bookmarkEnd w:id="25"/>
      <w:bookmarkEnd w:id="26"/>
    </w:p>
    <w:p w14:paraId="4B81D7F4">
      <w:pPr>
        <w:pStyle w:val="7"/>
        <w:spacing w:before="78" w:after="78"/>
        <w:rPr>
          <w:rFonts w:ascii="Calibri" w:hAnsi="Calibri"/>
          <w:szCs w:val="22"/>
        </w:rPr>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14:paraId="2834B58E">
      <w:pPr>
        <w:pStyle w:val="7"/>
        <w:spacing w:before="78" w:after="78"/>
        <w:rPr>
          <w:rFonts w:ascii="Calibri" w:hAnsi="Calibri"/>
          <w:szCs w:val="22"/>
        </w:rPr>
      </w:pPr>
      <w:r>
        <w:fldChar w:fldCharType="begin"/>
      </w:r>
      <w:r>
        <w:instrText xml:space="preserve"> HYPERLINK \l "_Toc513731110" </w:instrText>
      </w:r>
      <w:r>
        <w:fldChar w:fldCharType="separate"/>
      </w:r>
      <w:r>
        <w:rPr>
          <w:rStyle w:val="13"/>
          <w:rFonts w:hAnsi="宋体"/>
        </w:rPr>
        <w:t xml:space="preserve">1 </w:t>
      </w:r>
      <w:r>
        <w:rPr>
          <w:rStyle w:val="13"/>
          <w:rFonts w:hint="eastAsia" w:hAnsi="宋体"/>
        </w:rPr>
        <w:t>编制背景</w:t>
      </w:r>
      <w:r>
        <w:tab/>
      </w:r>
      <w:r>
        <w:fldChar w:fldCharType="begin"/>
      </w:r>
      <w:r>
        <w:instrText xml:space="preserve"> PAGEREF _Toc513731110 \h </w:instrText>
      </w:r>
      <w:r>
        <w:fldChar w:fldCharType="separate"/>
      </w:r>
      <w:r>
        <w:t>1</w:t>
      </w:r>
      <w:r>
        <w:fldChar w:fldCharType="end"/>
      </w:r>
      <w:r>
        <w:fldChar w:fldCharType="end"/>
      </w:r>
    </w:p>
    <w:p w14:paraId="34E634DA">
      <w:pPr>
        <w:pStyle w:val="7"/>
        <w:spacing w:before="78" w:after="78"/>
        <w:rPr>
          <w:rFonts w:ascii="Calibri" w:hAnsi="Calibri"/>
          <w:szCs w:val="22"/>
        </w:rPr>
      </w:pPr>
      <w:r>
        <w:fldChar w:fldCharType="begin"/>
      </w:r>
      <w:r>
        <w:instrText xml:space="preserve"> HYPERLINK \l "_Toc513731111" </w:instrText>
      </w:r>
      <w:r>
        <w:fldChar w:fldCharType="separate"/>
      </w:r>
      <w:r>
        <w:rPr>
          <w:rStyle w:val="13"/>
          <w:rFonts w:hAnsi="宋体"/>
        </w:rPr>
        <w:t xml:space="preserve">2 </w:t>
      </w:r>
      <w:r>
        <w:rPr>
          <w:rStyle w:val="13"/>
          <w:rFonts w:hint="eastAsia" w:hAnsi="宋体"/>
        </w:rPr>
        <w:t>编制主要原则</w:t>
      </w:r>
      <w:r>
        <w:tab/>
      </w:r>
      <w:r>
        <w:fldChar w:fldCharType="begin"/>
      </w:r>
      <w:r>
        <w:instrText xml:space="preserve"> PAGEREF _Toc513731111 \h </w:instrText>
      </w:r>
      <w:r>
        <w:fldChar w:fldCharType="separate"/>
      </w:r>
      <w:r>
        <w:t>1</w:t>
      </w:r>
      <w:r>
        <w:fldChar w:fldCharType="end"/>
      </w:r>
      <w:r>
        <w:fldChar w:fldCharType="end"/>
      </w:r>
    </w:p>
    <w:p w14:paraId="098B2ABF">
      <w:pPr>
        <w:pStyle w:val="7"/>
        <w:spacing w:before="78" w:after="78"/>
        <w:rPr>
          <w:rFonts w:ascii="Calibri" w:hAnsi="Calibri"/>
          <w:szCs w:val="22"/>
        </w:rPr>
      </w:pPr>
      <w:r>
        <w:fldChar w:fldCharType="begin"/>
      </w:r>
      <w:r>
        <w:instrText xml:space="preserve"> HYPERLINK \l "_Toc513731112" </w:instrText>
      </w:r>
      <w:r>
        <w:fldChar w:fldCharType="separate"/>
      </w:r>
      <w:r>
        <w:rPr>
          <w:rStyle w:val="13"/>
          <w:rFonts w:hAnsi="宋体"/>
        </w:rPr>
        <w:t xml:space="preserve">3 </w:t>
      </w:r>
      <w:r>
        <w:rPr>
          <w:rStyle w:val="13"/>
          <w:rFonts w:hint="eastAsia" w:hAnsi="宋体"/>
        </w:rPr>
        <w:t>主要工作过程</w:t>
      </w:r>
      <w:r>
        <w:tab/>
      </w:r>
      <w:r>
        <w:fldChar w:fldCharType="begin"/>
      </w:r>
      <w:r>
        <w:instrText xml:space="preserve"> PAGEREF _Toc513731112 \h </w:instrText>
      </w:r>
      <w:r>
        <w:fldChar w:fldCharType="separate"/>
      </w:r>
      <w:r>
        <w:t>1</w:t>
      </w:r>
      <w:r>
        <w:fldChar w:fldCharType="end"/>
      </w:r>
      <w:r>
        <w:fldChar w:fldCharType="end"/>
      </w:r>
    </w:p>
    <w:p w14:paraId="7D1AFA58">
      <w:pPr>
        <w:pStyle w:val="7"/>
        <w:spacing w:before="78" w:after="78"/>
        <w:rPr>
          <w:rFonts w:ascii="Calibri" w:hAnsi="Calibri"/>
          <w:szCs w:val="22"/>
        </w:rPr>
      </w:pPr>
      <w:r>
        <w:fldChar w:fldCharType="begin"/>
      </w:r>
      <w:r>
        <w:instrText xml:space="preserve"> HYPERLINK \l "_Toc513731113" </w:instrText>
      </w:r>
      <w:r>
        <w:fldChar w:fldCharType="separate"/>
      </w:r>
      <w:r>
        <w:rPr>
          <w:rStyle w:val="13"/>
          <w:rFonts w:hAnsi="宋体"/>
        </w:rPr>
        <w:t>4</w:t>
      </w:r>
      <w:r>
        <w:rPr>
          <w:rStyle w:val="13"/>
        </w:rPr>
        <w:t xml:space="preserve"> </w:t>
      </w:r>
      <w:r>
        <w:rPr>
          <w:rStyle w:val="13"/>
          <w:rFonts w:hint="eastAsia"/>
        </w:rPr>
        <w:t>标准结构和内容说明</w:t>
      </w:r>
      <w:r>
        <w:tab/>
      </w:r>
      <w:r>
        <w:fldChar w:fldCharType="begin"/>
      </w:r>
      <w:r>
        <w:instrText xml:space="preserve"> PAGEREF _Toc513731113 \h </w:instrText>
      </w:r>
      <w:r>
        <w:fldChar w:fldCharType="separate"/>
      </w:r>
      <w:r>
        <w:t>1</w:t>
      </w:r>
      <w:r>
        <w:fldChar w:fldCharType="end"/>
      </w:r>
      <w:r>
        <w:fldChar w:fldCharType="end"/>
      </w:r>
    </w:p>
    <w:p w14:paraId="5CC8A285">
      <w:pPr>
        <w:pStyle w:val="7"/>
        <w:spacing w:before="78" w:after="78"/>
        <w:rPr>
          <w:rFonts w:ascii="Calibri" w:hAnsi="Calibri"/>
          <w:szCs w:val="22"/>
        </w:rPr>
      </w:pPr>
      <w:r>
        <w:fldChar w:fldCharType="begin"/>
      </w:r>
      <w:r>
        <w:instrText xml:space="preserve"> HYPERLINK \l "_Toc513731114" </w:instrText>
      </w:r>
      <w:r>
        <w:fldChar w:fldCharType="separate"/>
      </w:r>
      <w:r>
        <w:rPr>
          <w:rStyle w:val="13"/>
          <w:rFonts w:hAnsi="宋体"/>
        </w:rPr>
        <w:t>5</w:t>
      </w:r>
      <w:r>
        <w:rPr>
          <w:rStyle w:val="13"/>
          <w:rFonts w:hint="eastAsia"/>
        </w:rPr>
        <w:t>相关标准对比说明</w:t>
      </w:r>
      <w:r>
        <w:rPr>
          <w:rStyle w:val="13"/>
        </w:rPr>
        <w:tab/>
      </w:r>
      <w:r>
        <w:fldChar w:fldCharType="begin"/>
      </w:r>
      <w:r>
        <w:rPr>
          <w:rStyle w:val="13"/>
        </w:rPr>
        <w:instrText xml:space="preserve"> PAGEREF _Toc513731114 \h </w:instrText>
      </w:r>
      <w:r>
        <w:fldChar w:fldCharType="separate"/>
      </w:r>
      <w:r>
        <w:rPr>
          <w:rStyle w:val="13"/>
        </w:rPr>
        <w:t>2</w:t>
      </w:r>
      <w:r>
        <w:fldChar w:fldCharType="end"/>
      </w:r>
      <w:r>
        <w:fldChar w:fldCharType="end"/>
      </w:r>
    </w:p>
    <w:p w14:paraId="0109FEFA">
      <w:pPr>
        <w:pStyle w:val="7"/>
        <w:spacing w:before="78" w:after="78"/>
        <w:rPr>
          <w:rFonts w:ascii="Calibri" w:hAnsi="Calibri"/>
          <w:szCs w:val="22"/>
        </w:rPr>
      </w:pPr>
      <w:r>
        <w:fldChar w:fldCharType="begin"/>
      </w:r>
      <w:r>
        <w:instrText xml:space="preserve"> HYPERLINK \l "_Toc513731115" </w:instrText>
      </w:r>
      <w:r>
        <w:fldChar w:fldCharType="separate"/>
      </w:r>
      <w:r>
        <w:rPr>
          <w:rStyle w:val="13"/>
          <w:rFonts w:hAnsi="宋体"/>
        </w:rPr>
        <w:t>6</w:t>
      </w:r>
      <w:r>
        <w:rPr>
          <w:rStyle w:val="13"/>
          <w:rFonts w:hint="eastAsia" w:hAnsi="宋体"/>
        </w:rPr>
        <w:t>标准实施措施说明</w:t>
      </w:r>
      <w:r>
        <w:tab/>
      </w:r>
      <w:r>
        <w:fldChar w:fldCharType="begin"/>
      </w:r>
      <w:r>
        <w:instrText xml:space="preserve"> PAGEREF _Toc513731115 \h </w:instrText>
      </w:r>
      <w:r>
        <w:fldChar w:fldCharType="separate"/>
      </w:r>
      <w:r>
        <w:t>2</w:t>
      </w:r>
      <w:r>
        <w:fldChar w:fldCharType="end"/>
      </w:r>
      <w:r>
        <w:fldChar w:fldCharType="end"/>
      </w:r>
    </w:p>
    <w:p w14:paraId="5947E349">
      <w:pPr>
        <w:pStyle w:val="14"/>
        <w:rPr>
          <w:rFonts w:hAnsi="宋体"/>
          <w:szCs w:val="21"/>
        </w:rPr>
      </w:pPr>
      <w:r>
        <w:rPr>
          <w:rFonts w:hAnsi="宋体"/>
          <w:szCs w:val="21"/>
        </w:rPr>
        <w:fldChar w:fldCharType="end"/>
      </w:r>
    </w:p>
    <w:p w14:paraId="78B7C868">
      <w:pPr>
        <w:pStyle w:val="14"/>
        <w:rPr>
          <w:rFonts w:hAnsi="宋体"/>
          <w:szCs w:val="21"/>
        </w:rPr>
      </w:pPr>
    </w:p>
    <w:p w14:paraId="1BBEBF1E">
      <w:pPr>
        <w:pStyle w:val="14"/>
        <w:rPr>
          <w:rFonts w:hAnsi="宋体"/>
          <w:szCs w:val="21"/>
        </w:rPr>
      </w:pPr>
    </w:p>
    <w:p w14:paraId="57D394F9">
      <w:pPr>
        <w:pStyle w:val="14"/>
        <w:rPr>
          <w:rFonts w:hAnsi="宋体"/>
          <w:szCs w:val="21"/>
        </w:rPr>
      </w:pPr>
    </w:p>
    <w:p w14:paraId="3BA12F8E">
      <w:pPr>
        <w:pStyle w:val="14"/>
        <w:rPr>
          <w:rFonts w:hAnsi="宋体"/>
          <w:szCs w:val="21"/>
        </w:rPr>
        <w:sectPr>
          <w:headerReference r:id="rId5" w:type="default"/>
          <w:footerReference r:id="rId6" w:type="default"/>
          <w:pgSz w:w="11906" w:h="16838"/>
          <w:pgMar w:top="567" w:right="1134" w:bottom="1134" w:left="1417" w:header="1418" w:footer="1134" w:gutter="0"/>
          <w:pgNumType w:start="28"/>
          <w:cols w:space="720" w:num="1"/>
          <w:formProt w:val="0"/>
          <w:docGrid w:type="lines" w:linePitch="312" w:charSpace="0"/>
        </w:sectPr>
      </w:pPr>
    </w:p>
    <w:p w14:paraId="5F0E6B8B">
      <w:pPr>
        <w:pStyle w:val="18"/>
        <w:spacing w:before="312" w:after="312"/>
        <w:rPr>
          <w:rFonts w:ascii="宋体" w:hAnsi="宋体"/>
          <w:szCs w:val="21"/>
        </w:rPr>
      </w:pPr>
      <w:bookmarkStart w:id="27" w:name="_Toc513731110"/>
      <w:r>
        <w:rPr>
          <w:rFonts w:hint="eastAsia" w:ascii="宋体" w:hAnsi="宋体"/>
          <w:szCs w:val="21"/>
        </w:rPr>
        <w:t>1 编制背景</w:t>
      </w:r>
      <w:bookmarkEnd w:id="27"/>
    </w:p>
    <w:p w14:paraId="312B5CC3">
      <w:pPr>
        <w:pStyle w:val="14"/>
        <w:spacing w:line="300" w:lineRule="exact"/>
        <w:rPr>
          <w:rFonts w:hint="eastAsia"/>
          <w:kern w:val="2"/>
        </w:rPr>
      </w:pPr>
      <w:r>
        <w:rPr>
          <w:rFonts w:hint="eastAsia"/>
          <w:kern w:val="2"/>
        </w:rPr>
        <w:t>本标准是根据国家深入推进能源安全新战略及“碳达峰、碳中和”目标的宏观要求，落实国家发展和改革委员会、国家能源局关于加快建设新型电力系统、推动新型储能高质量发展的相关政策指导精神而制定。标准的制定着眼于统筹高比例分布式新能源消纳与电力系统安全稳定运行的大局，旨在实现电力安全保供要求下的新能源友好接入与配电网精细化管控。由国网甘肃省电力公司等单位牵头负责起草。</w:t>
      </w:r>
    </w:p>
    <w:p w14:paraId="26B63DEC">
      <w:pPr>
        <w:pStyle w:val="14"/>
        <w:spacing w:line="300" w:lineRule="exact"/>
        <w:rPr>
          <w:rFonts w:hint="eastAsia"/>
          <w:kern w:val="2"/>
        </w:rPr>
      </w:pPr>
      <w:r>
        <w:rPr>
          <w:rFonts w:hint="eastAsia"/>
          <w:kern w:val="2"/>
        </w:rPr>
        <w:t>近年来，随着我国能源绿色低碳转型的不断深入，分布式光伏装机规模呈现爆发式增长并广泛接入10kV及以下中低压配电网。然而，传统分布式光伏普遍采用跟网型控制策略，其出力的强随机性、间歇性以及缺乏系统惯量支撑等固有物理特性，给配电网的局部电压越限、频率波动及暂态稳定运行带来了前所未有的严峻挑战。当前，区域电网在应对海量分布式电源接入时，往往面临感知调控手段匮乏、系统抗扰动能力不足等瓶颈。虽然部分光伏场站已开始配置常规储能，但由于缺乏深度的技术协同与统一的暂态控制机制，储能系统多被用于简单的能量平移，远未能发挥其在支撑电网电压、频率快速恢复等方面的核心关键作用，难以满足新型电力系统对末端海量分布式资源“友好互动、主动支撑”的迫切需求。</w:t>
      </w:r>
    </w:p>
    <w:p w14:paraId="0F0B32B5">
      <w:pPr>
        <w:pStyle w:val="14"/>
        <w:spacing w:line="300" w:lineRule="exact"/>
        <w:rPr>
          <w:rFonts w:hint="eastAsia"/>
          <w:kern w:val="2"/>
        </w:rPr>
      </w:pPr>
      <w:r>
        <w:rPr>
          <w:rFonts w:hint="eastAsia"/>
          <w:kern w:val="2"/>
        </w:rPr>
        <w:t>在此行业背景下，引入具备主动支撑能力的构网型储能并构建分布式光伏与构网型储能协同系统的需求应运而生，对其进行标准化、规范化管理对于破除配电网运行瓶颈至关重要。构网型储能技术以其主动构建配网电压源、提供虚拟惯量和快速阻尼的独特优势，成为解决高渗透率新能源接入难题的关键。然而，面对市场上设备厂家众多、控制策略各异、协同配合机制缺失的实际应用障碍，如果不加以规范，分布式光伏与构网型储能极易出现控制冲突或响应迟滞。通过出台本项统一的技术规范，旨在从根本上解决协同系统在并、离网工况下面临的无功电压合理分配、有功频率精准支撑以及暂态故障协同穿越等复杂交互难题，确保两者能够无缝配合，实现源储优势互补与秒级/毫秒级的精准响应。</w:t>
      </w:r>
    </w:p>
    <w:p w14:paraId="5B5D047D">
      <w:pPr>
        <w:pStyle w:val="14"/>
        <w:spacing w:line="300" w:lineRule="exact"/>
        <w:rPr>
          <w:rFonts w:hint="eastAsia"/>
          <w:kern w:val="2"/>
        </w:rPr>
      </w:pPr>
      <w:r>
        <w:rPr>
          <w:rFonts w:hint="eastAsia"/>
          <w:kern w:val="2"/>
        </w:rPr>
        <w:t>本标准编制的主要目的在于，通过全面规范分布式光伏与构网型储能协同系统的基本运行原则、无功电压调控要求、有功频率支撑能力及暂态稳定性指标，为该类协同系统的工程设计、设备研发、现场联调及并网检验提供权威、统一的技术依据。这不仅是化解当前中低压配电网承载力危机、降低全社会新能源接入成本的关键技术支撑，更是全面提升配电网柔性调节能力和供电可靠性的重要手段。标准化的协同运行机制将有力推动海量无序的分布式光伏由传统的“被动跟网”向“主动构网”演进，深度支撑新型电力系统源网荷储协同互动格局的构建，护航电力系统的高效、经济与长治久安。</w:t>
      </w:r>
    </w:p>
    <w:p w14:paraId="4AB26E59">
      <w:pPr>
        <w:pStyle w:val="18"/>
        <w:spacing w:before="312" w:after="312" w:line="300" w:lineRule="exact"/>
        <w:rPr>
          <w:rFonts w:ascii="宋体" w:hAnsi="宋体"/>
          <w:szCs w:val="21"/>
        </w:rPr>
      </w:pPr>
      <w:bookmarkStart w:id="28" w:name="_Toc513731111"/>
      <w:r>
        <w:rPr>
          <w:rFonts w:hint="eastAsia" w:ascii="宋体" w:hAnsi="宋体"/>
          <w:szCs w:val="21"/>
        </w:rPr>
        <w:t>2编制主要原则</w:t>
      </w:r>
      <w:bookmarkEnd w:id="28"/>
    </w:p>
    <w:p w14:paraId="696C926B">
      <w:pPr>
        <w:pStyle w:val="14"/>
        <w:spacing w:line="300" w:lineRule="exact"/>
      </w:pPr>
      <w:bookmarkStart w:id="29" w:name="_Toc513731112"/>
      <w:r>
        <w:rPr>
          <w:rFonts w:hint="eastAsia"/>
        </w:rPr>
        <w:t>本标准的编制主要依据以下原则：</w:t>
      </w:r>
    </w:p>
    <w:p w14:paraId="0918F05C">
      <w:pPr>
        <w:pStyle w:val="14"/>
        <w:spacing w:line="300" w:lineRule="exact"/>
        <w:rPr>
          <w:rFonts w:hint="eastAsia" w:eastAsia="宋体"/>
          <w:lang w:eastAsia="zh-CN"/>
        </w:rPr>
      </w:pPr>
      <w:r>
        <w:rPr>
          <w:rFonts w:hint="eastAsia"/>
        </w:rPr>
        <w:t>a）坚持先进性与实用性相结合、统一性与灵活性相结合、可靠性与经济性相结合的原则，以标准化为引领，服务于社会的科学发展</w:t>
      </w:r>
      <w:r>
        <w:rPr>
          <w:rFonts w:hint="eastAsia"/>
          <w:lang w:eastAsia="zh-CN"/>
        </w:rPr>
        <w:t>。</w:t>
      </w:r>
    </w:p>
    <w:p w14:paraId="1A4ACF90">
      <w:pPr>
        <w:pStyle w:val="14"/>
        <w:spacing w:line="300" w:lineRule="exact"/>
        <w:rPr>
          <w:rFonts w:hint="eastAsia" w:eastAsia="宋体"/>
          <w:lang w:eastAsia="zh-CN"/>
        </w:rPr>
      </w:pPr>
      <w:r>
        <w:rPr>
          <w:rFonts w:hint="eastAsia"/>
        </w:rPr>
        <w:t>b）采用分散与集中的形式，分析调研分布式光伏与构网型储能接入配电网的实际需求，充分体现研究成果的针对性与前瞻性</w:t>
      </w:r>
      <w:r>
        <w:rPr>
          <w:rFonts w:hint="eastAsia"/>
          <w:lang w:eastAsia="zh-CN"/>
        </w:rPr>
        <w:t>。</w:t>
      </w:r>
    </w:p>
    <w:p w14:paraId="6C8D47E4">
      <w:pPr>
        <w:pStyle w:val="14"/>
        <w:spacing w:line="300" w:lineRule="exact"/>
        <w:rPr>
          <w:rFonts w:hint="eastAsia" w:eastAsia="宋体"/>
          <w:lang w:eastAsia="zh-CN"/>
        </w:rPr>
      </w:pPr>
      <w:r>
        <w:rPr>
          <w:rFonts w:hint="eastAsia"/>
        </w:rPr>
        <w:t>c）认真研究现行有效的国家标准与行业标准，技术要求严格遵循GB/T29319-2024《光伏发电系统接入配电网技术规定》、GB/T36547-2024《电化学储能电站接入电网</w:t>
      </w:r>
      <w:r>
        <w:rPr>
          <w:rFonts w:hint="eastAsia"/>
          <w:lang w:val="en-US" w:eastAsia="zh-CN"/>
        </w:rPr>
        <w:t>技术</w:t>
      </w:r>
      <w:bookmarkStart w:id="33" w:name="_GoBack"/>
      <w:bookmarkEnd w:id="33"/>
      <w:r>
        <w:rPr>
          <w:rFonts w:hint="eastAsia"/>
        </w:rPr>
        <w:t>规定》等核心准则，确保协同系统规范与现行标准体系的深度衔接与协调</w:t>
      </w:r>
      <w:r>
        <w:rPr>
          <w:rFonts w:hint="eastAsia"/>
          <w:lang w:eastAsia="zh-CN"/>
        </w:rPr>
        <w:t>。</w:t>
      </w:r>
    </w:p>
    <w:p w14:paraId="60F4520B">
      <w:pPr>
        <w:pStyle w:val="14"/>
        <w:spacing w:line="300" w:lineRule="exact"/>
        <w:ind w:firstLine="0" w:firstLineChars="0"/>
        <w:rPr>
          <w:rFonts w:hAnsi="宋体" w:eastAsia="黑体"/>
          <w:kern w:val="44"/>
          <w:szCs w:val="21"/>
        </w:rPr>
      </w:pPr>
      <w:r>
        <w:rPr>
          <w:rFonts w:hint="eastAsia" w:hAnsi="宋体" w:eastAsia="黑体"/>
          <w:kern w:val="44"/>
          <w:szCs w:val="21"/>
        </w:rPr>
        <w:t>3主要工作过程</w:t>
      </w:r>
      <w:bookmarkEnd w:id="29"/>
    </w:p>
    <w:p w14:paraId="3E619F69">
      <w:pPr>
        <w:pStyle w:val="14"/>
        <w:rPr>
          <w:kern w:val="2"/>
        </w:rPr>
      </w:pPr>
      <w:bookmarkStart w:id="30" w:name="_Toc513731113"/>
      <w:r>
        <w:rPr>
          <w:kern w:val="2"/>
        </w:rPr>
        <w:t>本</w:t>
      </w:r>
      <w:r>
        <w:rPr>
          <w:rFonts w:hint="eastAsia"/>
          <w:kern w:val="2"/>
        </w:rPr>
        <w:t>标准</w:t>
      </w:r>
      <w:r>
        <w:rPr>
          <w:kern w:val="2"/>
        </w:rPr>
        <w:t>的主要工作过程如下：</w:t>
      </w:r>
    </w:p>
    <w:p w14:paraId="01F1837C">
      <w:pPr>
        <w:pStyle w:val="14"/>
        <w:ind w:left="-4" w:leftChars="-2"/>
        <w:rPr>
          <w:rFonts w:hint="eastAsia" w:eastAsia="宋体"/>
          <w:kern w:val="2"/>
          <w:lang w:eastAsia="zh-CN"/>
        </w:rPr>
      </w:pPr>
      <w:r>
        <w:rPr>
          <w:rFonts w:hint="eastAsia"/>
          <w:kern w:val="2"/>
        </w:rPr>
        <w:t>2024年12月，项目正式启动。由国网甘肃省电力公司、国网甘肃省电力公司白银供电公司、四川大学、国网甘肃省电力公司电力科学研究院、西安电子科技大学、东北电力大学、中国电力科学研究院有限公司共同组建标准起草组。</w:t>
      </w:r>
    </w:p>
    <w:p w14:paraId="2EC406FE">
      <w:pPr>
        <w:pStyle w:val="14"/>
        <w:ind w:left="-4" w:leftChars="-2"/>
        <w:rPr>
          <w:rFonts w:hint="eastAsia" w:eastAsia="宋体"/>
          <w:kern w:val="2"/>
          <w:lang w:eastAsia="zh-CN"/>
        </w:rPr>
      </w:pPr>
      <w:r>
        <w:rPr>
          <w:rFonts w:hint="eastAsia"/>
          <w:kern w:val="2"/>
        </w:rPr>
        <w:t>2025年3月，成立编写组并召开启动会。会议明确了标准的研究目的、任务分工及进度安排，确立了以协同控制为核心的标准体系架构。本标准按照《中国电机工程学会标准管理办法（暂行）》的要求，结构依据GB/T1.1—2020《标准化工作导则第1部分：标准化文件的结构和起草规则》的规定起草。</w:t>
      </w:r>
    </w:p>
    <w:p w14:paraId="43A48100">
      <w:pPr>
        <w:pStyle w:val="14"/>
        <w:ind w:left="-4" w:leftChars="-2"/>
        <w:rPr>
          <w:rFonts w:hint="eastAsia" w:eastAsia="宋体"/>
          <w:kern w:val="2"/>
          <w:lang w:eastAsia="zh-CN"/>
        </w:rPr>
      </w:pPr>
      <w:r>
        <w:rPr>
          <w:rFonts w:hint="eastAsia"/>
          <w:kern w:val="2"/>
        </w:rPr>
        <w:t>2025年8月，完成标准大纲编写并组织研讨。收集了分布式光伏与构网型储能协同运行的典型案例与试验数据，重点针对协同系统在无功电压分配、有功调频响应及暂态稳定性方面的参数指标进行了深度论证。</w:t>
      </w:r>
    </w:p>
    <w:p w14:paraId="735C105B">
      <w:pPr>
        <w:pStyle w:val="14"/>
        <w:ind w:left="-4" w:leftChars="-2"/>
        <w:rPr>
          <w:rFonts w:hint="eastAsia" w:eastAsia="宋体"/>
          <w:kern w:val="2"/>
          <w:lang w:eastAsia="zh-CN"/>
        </w:rPr>
      </w:pPr>
      <w:r>
        <w:rPr>
          <w:rFonts w:hint="eastAsia"/>
          <w:kern w:val="2"/>
        </w:rPr>
        <w:t>202</w:t>
      </w:r>
      <w:r>
        <w:rPr>
          <w:rFonts w:hint="eastAsia"/>
          <w:kern w:val="2"/>
          <w:lang w:val="en-US" w:eastAsia="zh-CN"/>
        </w:rPr>
        <w:t>5</w:t>
      </w:r>
      <w:r>
        <w:rPr>
          <w:rFonts w:hint="eastAsia"/>
          <w:kern w:val="2"/>
        </w:rPr>
        <w:t>年1</w:t>
      </w:r>
      <w:r>
        <w:rPr>
          <w:rFonts w:hint="eastAsia"/>
          <w:kern w:val="2"/>
          <w:lang w:val="en-US" w:eastAsia="zh-CN"/>
        </w:rPr>
        <w:t>0</w:t>
      </w:r>
      <w:r>
        <w:rPr>
          <w:rFonts w:hint="eastAsia"/>
          <w:kern w:val="2"/>
        </w:rPr>
        <w:t>月，起草组对标准初稿进行多轮内部研讨与修改。通过仿真验证了构网型储能作为电压源支撑时，分布式光伏在孤岛模式下的运行特性，确保了高低电压穿越等性能参数的科学性与合理性。</w:t>
      </w:r>
    </w:p>
    <w:p w14:paraId="022B6C3A">
      <w:pPr>
        <w:pStyle w:val="14"/>
        <w:ind w:left="-4" w:leftChars="-2"/>
        <w:rPr>
          <w:rFonts w:hint="eastAsia" w:eastAsia="宋体"/>
          <w:kern w:val="2"/>
          <w:lang w:eastAsia="zh-CN"/>
        </w:rPr>
      </w:pPr>
      <w:r>
        <w:rPr>
          <w:rFonts w:hint="eastAsia"/>
          <w:kern w:val="2"/>
        </w:rPr>
        <w:t>202</w:t>
      </w:r>
      <w:r>
        <w:rPr>
          <w:rFonts w:hint="eastAsia"/>
          <w:kern w:val="2"/>
          <w:lang w:val="en-US" w:eastAsia="zh-CN"/>
        </w:rPr>
        <w:t>5</w:t>
      </w:r>
      <w:r>
        <w:rPr>
          <w:rFonts w:hint="eastAsia"/>
          <w:kern w:val="2"/>
        </w:rPr>
        <w:t>年</w:t>
      </w:r>
      <w:r>
        <w:rPr>
          <w:rFonts w:hint="eastAsia"/>
          <w:kern w:val="2"/>
          <w:lang w:val="en-US" w:eastAsia="zh-CN"/>
        </w:rPr>
        <w:t>12</w:t>
      </w:r>
      <w:r>
        <w:rPr>
          <w:rFonts w:hint="eastAsia"/>
          <w:kern w:val="2"/>
        </w:rPr>
        <w:t>月，完成标准征求意见稿的编写工作。组织行业专家对征求意见稿进行预评审，根据专家建议进一步优化了协同系统的惯量响应与阻尼控制等技术细节。</w:t>
      </w:r>
    </w:p>
    <w:p w14:paraId="3A4CF9BC">
      <w:pPr>
        <w:pStyle w:val="14"/>
        <w:ind w:left="-4" w:leftChars="-2"/>
        <w:rPr>
          <w:rFonts w:hint="eastAsia"/>
          <w:kern w:val="2"/>
          <w:lang w:val="en-GB"/>
        </w:rPr>
      </w:pPr>
      <w:r>
        <w:rPr>
          <w:rFonts w:hint="eastAsia"/>
          <w:kern w:val="2"/>
        </w:rPr>
        <w:t>2026年4月，向社会广泛征集行业意见。</w:t>
      </w:r>
    </w:p>
    <w:p w14:paraId="20A29426">
      <w:pPr>
        <w:pStyle w:val="18"/>
        <w:spacing w:before="312" w:after="312" w:line="300" w:lineRule="exact"/>
      </w:pPr>
      <w:r>
        <w:rPr>
          <w:rFonts w:hint="eastAsia" w:ascii="宋体" w:hAnsi="宋体"/>
          <w:szCs w:val="21"/>
        </w:rPr>
        <w:t>4</w:t>
      </w:r>
      <w:r>
        <w:rPr>
          <w:rFonts w:hint="eastAsia"/>
        </w:rPr>
        <w:t>标准结构和内容说明</w:t>
      </w:r>
      <w:bookmarkEnd w:id="30"/>
    </w:p>
    <w:p w14:paraId="413A621E">
      <w:pPr>
        <w:overflowPunct w:val="0"/>
        <w:topLinePunct/>
        <w:spacing w:line="320" w:lineRule="exact"/>
        <w:ind w:firstLine="420" w:firstLineChars="200"/>
        <w:rPr>
          <w:rFonts w:hint="default" w:eastAsia="宋体"/>
          <w:lang w:val="en-US" w:eastAsia="zh-CN"/>
        </w:rPr>
      </w:pPr>
      <w:r>
        <w:t>本</w:t>
      </w:r>
      <w:r>
        <w:rPr>
          <w:rFonts w:hint="eastAsia"/>
        </w:rPr>
        <w:t>标准</w:t>
      </w:r>
      <w:r>
        <w:t>为规范标准，在形式上具有典型结构，依据GB/T1.1—2020和GB/T20001.5《标准编写规则第5部分：规范标准》的要求，</w:t>
      </w:r>
      <w:r>
        <w:rPr>
          <w:rFonts w:hint="eastAsia"/>
        </w:rPr>
        <w:t>共分为7章。第1章至第3章明确了标准的适用范围、规范性引用文件及核心术语定义，涵盖了构网型储能、虚拟同步机等新型技术概念。第4章规定了协同系统的基本要求，确立了安全、可靠、高效运行的基本原则。第5章详细规定了无功电压调控要求，明确了构网型储能优先承担动态无功支撑、分布式光伏优先承担稳态无功调节的协同分配机制。第6章规定了有功频率控制指标，对协同系统的一次调频、惯量响应及虚拟同步功能提出了具体的动态性能要求。第7章明确了暂态稳定性要求，量化了协同系统的高、低电压穿越曲线及故障后的恢复策略，保障了极端工况下的系统安全。</w:t>
      </w:r>
    </w:p>
    <w:p w14:paraId="56BC6261">
      <w:pPr>
        <w:pStyle w:val="18"/>
        <w:spacing w:before="312" w:after="312" w:line="300" w:lineRule="exact"/>
      </w:pPr>
      <w:bookmarkStart w:id="31" w:name="_Toc513731114"/>
      <w:r>
        <w:rPr>
          <w:rFonts w:hint="eastAsia" w:ascii="宋体" w:hAnsi="宋体"/>
          <w:szCs w:val="21"/>
        </w:rPr>
        <w:t>5相关</w:t>
      </w:r>
      <w:r>
        <w:rPr>
          <w:rFonts w:hint="eastAsia"/>
        </w:rPr>
        <w:t>标准对比说明</w:t>
      </w:r>
      <w:bookmarkEnd w:id="31"/>
    </w:p>
    <w:p w14:paraId="7AE02625">
      <w:pPr>
        <w:pStyle w:val="20"/>
        <w:spacing w:line="300" w:lineRule="exact"/>
        <w:ind w:firstLine="420" w:firstLineChars="200"/>
      </w:pPr>
      <w:r>
        <w:rPr>
          <w:rFonts w:hint="eastAsia"/>
        </w:rPr>
        <w:t>本标准与相关技术领域的国家现行法律、法规和政策保持一致。</w:t>
      </w:r>
    </w:p>
    <w:p w14:paraId="3527F410">
      <w:pPr>
        <w:pStyle w:val="20"/>
        <w:spacing w:line="300" w:lineRule="exact"/>
        <w:ind w:firstLine="420" w:firstLineChars="200"/>
      </w:pPr>
      <w:r>
        <w:rPr>
          <w:rFonts w:hint="eastAsia"/>
        </w:rPr>
        <w:t>本标准的某些内容可能涉及专利。本标准的发布机构不承担识别这些专利的责任。</w:t>
      </w:r>
    </w:p>
    <w:p w14:paraId="0DCAA4CC">
      <w:pPr>
        <w:pStyle w:val="18"/>
        <w:spacing w:before="312" w:after="312" w:line="300" w:lineRule="exact"/>
        <w:rPr>
          <w:rFonts w:hint="eastAsia" w:ascii="宋体" w:hAnsi="宋体"/>
          <w:szCs w:val="21"/>
        </w:rPr>
      </w:pPr>
      <w:bookmarkStart w:id="32" w:name="_Toc513731115"/>
      <w:r>
        <w:rPr>
          <w:rFonts w:hint="eastAsia" w:ascii="宋体" w:hAnsi="宋体"/>
          <w:szCs w:val="21"/>
        </w:rPr>
        <w:t>6标准实施措施说明</w:t>
      </w:r>
      <w:bookmarkEnd w:id="32"/>
    </w:p>
    <w:p w14:paraId="6C494D11">
      <w:pPr>
        <w:pStyle w:val="20"/>
        <w:spacing w:line="300" w:lineRule="exact"/>
        <w:ind w:firstLine="420" w:firstLineChars="200"/>
        <w:rPr>
          <w:rFonts w:hint="eastAsia" w:eastAsia="宋体" w:cs="Times New Roman"/>
          <w:lang w:val="en-US" w:eastAsia="zh-CN"/>
        </w:rPr>
      </w:pPr>
      <w:r>
        <w:rPr>
          <w:rFonts w:hint="eastAsia" w:eastAsia="宋体" w:cs="Times New Roman"/>
          <w:lang w:val="en-US" w:eastAsia="zh-CN"/>
        </w:rPr>
        <w:t>无</w:t>
      </w: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1060001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2BF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76E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448DF0">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6448DF0">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6FE88">
    <w:pPr>
      <w:pStyle w:val="21"/>
      <w:wordWrap w:val="0"/>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AF5E9">
    <w:pPr>
      <w:pStyle w:val="21"/>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FB54">
    <w:pPr>
      <w:pStyle w:val="21"/>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5"/>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NTRjNDAxMzljMjc4YmViYjE1M2YwYjYwODc2N2IifQ=="/>
  </w:docVars>
  <w:rsids>
    <w:rsidRoot w:val="2626189E"/>
    <w:rsid w:val="0000682A"/>
    <w:rsid w:val="000F3267"/>
    <w:rsid w:val="002366A1"/>
    <w:rsid w:val="00293E9D"/>
    <w:rsid w:val="002D5F3D"/>
    <w:rsid w:val="003D6AC4"/>
    <w:rsid w:val="006B6E53"/>
    <w:rsid w:val="0078419F"/>
    <w:rsid w:val="009775B2"/>
    <w:rsid w:val="00AA33A2"/>
    <w:rsid w:val="00B34CE2"/>
    <w:rsid w:val="00C65C1A"/>
    <w:rsid w:val="00D008AD"/>
    <w:rsid w:val="00D24EE8"/>
    <w:rsid w:val="00D52223"/>
    <w:rsid w:val="00DA7B32"/>
    <w:rsid w:val="00EF31C7"/>
    <w:rsid w:val="00EF37B5"/>
    <w:rsid w:val="02056D00"/>
    <w:rsid w:val="07787CA1"/>
    <w:rsid w:val="0A2362B1"/>
    <w:rsid w:val="0E4874F8"/>
    <w:rsid w:val="0E4B7C02"/>
    <w:rsid w:val="0F8C6CB2"/>
    <w:rsid w:val="10F53AB6"/>
    <w:rsid w:val="13515E55"/>
    <w:rsid w:val="1ACE786A"/>
    <w:rsid w:val="1AF10C49"/>
    <w:rsid w:val="1B7925B4"/>
    <w:rsid w:val="1C0F0CDE"/>
    <w:rsid w:val="218C2604"/>
    <w:rsid w:val="225D7D68"/>
    <w:rsid w:val="237C10C0"/>
    <w:rsid w:val="2626189E"/>
    <w:rsid w:val="2ED378F1"/>
    <w:rsid w:val="30090B56"/>
    <w:rsid w:val="343A7CCB"/>
    <w:rsid w:val="3CEA2E8F"/>
    <w:rsid w:val="3D085B96"/>
    <w:rsid w:val="3F461CF8"/>
    <w:rsid w:val="446077EA"/>
    <w:rsid w:val="446850D1"/>
    <w:rsid w:val="46FF778E"/>
    <w:rsid w:val="47413903"/>
    <w:rsid w:val="493132D9"/>
    <w:rsid w:val="4BFE2794"/>
    <w:rsid w:val="4FE84865"/>
    <w:rsid w:val="52D15F58"/>
    <w:rsid w:val="546D32BB"/>
    <w:rsid w:val="582708F3"/>
    <w:rsid w:val="5C297F2A"/>
    <w:rsid w:val="64231050"/>
    <w:rsid w:val="6CD8249C"/>
    <w:rsid w:val="6D247FDC"/>
    <w:rsid w:val="6E0160D3"/>
    <w:rsid w:val="75BD7AE6"/>
    <w:rsid w:val="77E8017E"/>
    <w:rsid w:val="78C31D61"/>
    <w:rsid w:val="7AFA1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jc w:val="left"/>
    </w:pPr>
    <w:rPr>
      <w:rFonts w:ascii="Arial" w:hAnsi="Arial"/>
    </w:rPr>
  </w:style>
  <w:style w:type="paragraph" w:styleId="5">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23"/>
    <w:qFormat/>
    <w:uiPriority w:val="0"/>
    <w:pP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styleId="12">
    <w:name w:val="page number"/>
    <w:qFormat/>
    <w:uiPriority w:val="0"/>
    <w:rPr>
      <w:rFonts w:ascii="Times New Roman" w:hAnsi="Times New Roman" w:eastAsia="宋体"/>
      <w:sz w:val="18"/>
    </w:rPr>
  </w:style>
  <w:style w:type="character" w:styleId="13">
    <w:name w:val="Hyperlink"/>
    <w:unhideWhenUsed/>
    <w:qFormat/>
    <w:uiPriority w:val="99"/>
    <w:rPr>
      <w:color w:val="0000FF"/>
      <w:u w:val="single"/>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章标题"/>
    <w:next w:val="14"/>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6">
    <w:name w:val="目次、标准名称标题"/>
    <w:basedOn w:val="17"/>
    <w:next w:val="14"/>
    <w:qFormat/>
    <w:uiPriority w:val="0"/>
    <w:pPr>
      <w:keepNext/>
      <w:pageBreakBefore/>
      <w:spacing w:line="460" w:lineRule="exact"/>
    </w:pPr>
  </w:style>
  <w:style w:type="paragraph" w:customStyle="1" w:styleId="1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
    <w:name w:val="样式 标题 1 + 非加粗"/>
    <w:basedOn w:val="4"/>
    <w:qFormat/>
    <w:uiPriority w:val="0"/>
    <w:pPr>
      <w:spacing w:before="100" w:beforeLines="100" w:after="100" w:afterLines="100" w:line="240" w:lineRule="auto"/>
    </w:pPr>
    <w:rPr>
      <w:rFonts w:eastAsia="黑体"/>
      <w:b w:val="0"/>
      <w:bCs w:val="0"/>
      <w:sz w:val="21"/>
    </w:rPr>
  </w:style>
  <w:style w:type="paragraph" w:customStyle="1" w:styleId="19">
    <w:name w:val="附录章标题"/>
    <w:next w:val="14"/>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3">
    <w:name w:val="页眉 字符"/>
    <w:basedOn w:val="11"/>
    <w:link w:val="6"/>
    <w:qFormat/>
    <w:uiPriority w:val="0"/>
    <w:rPr>
      <w:rFonts w:ascii="Times New Roman" w:hAnsi="Times New Roman" w:eastAsia="宋体" w:cs="Times New Roman"/>
      <w:kern w:val="2"/>
      <w:sz w:val="18"/>
      <w:szCs w:val="18"/>
    </w:rPr>
  </w:style>
  <w:style w:type="paragraph" w:customStyle="1" w:styleId="2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76</Words>
  <Characters>82</Characters>
  <Lines>20</Lines>
  <Paragraphs>5</Paragraphs>
  <TotalTime>16</TotalTime>
  <ScaleCrop>false</ScaleCrop>
  <LinksUpToDate>false</LinksUpToDate>
  <CharactersWithSpaces>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2025-04-14T07:36:00Z</dcterms:created>
  <dc:creator>还是 一抹暖阳</dc:creator>
  <cp:lastModifiedBy>旅年之怠</cp:lastModifiedBy>
  <dcterms:modified xsi:type="dcterms:W3CDTF">2026-05-11T02:34:36Z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AAD750E97320496E968B80C3EC26DFD9_13</vt:lpwstr>
  </property>
  <property fmtid="{D5CDD505-2E9C-101B-9397-08002B2CF9AE}" pid="4" name="KSOTemplateDocerSaveRecord">
    <vt:lpwstr>eyJoZGlkIjoiZDE1MmQwYjgzZTNmN2I2NWEzZmMzMmI0MjY0N2UzYmMiLCJ1c2VySWQiOiI0MDA5OTY5MjEifQ==</vt:lpwstr>
  </property>
</Properties>
</file>