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8D7B3">
      <w:pPr>
        <w:pStyle w:val="286"/>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3AF15ED7">
                            <w:pPr>
                              <w:pStyle w:val="334"/>
                            </w:pPr>
                            <w:r>
                              <w:rPr>
                                <w:rFonts w:hint="eastAsia"/>
                              </w:rPr>
                              <w:t>I</w:t>
                            </w:r>
                            <w:r>
                              <w:t>CS 19.020</w:t>
                            </w:r>
                          </w:p>
                          <w:p w14:paraId="2D7B6801">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9.7pt;height:56.7pt;width:141.75pt;z-index:251659264;mso-width-relative:page;mso-height-relative:page;" filled="f" stroked="f" coordsize="21600,21600" o:gfxdata="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5jAtYAAAAHAQAADwAAAAAAAAABACAA&#10;AAAiAAAAZHJzL2Rvd25yZXYueG1sUEsBAhQAFAAAAAgAh07iQJ9a8pNIAgAAYwQAAA4AAAAAAAAA&#10;AQAgAAAAJQEAAGRycy9lMm9Eb2MueG1sUEsFBgAAAAAGAAYAWQEAAN8FAAAAAA==&#10;">
                <v:fill on="f" focussize="0,0"/>
                <v:stroke on="f" weight="0.5pt"/>
                <v:imagedata o:title=""/>
                <o:lock v:ext="edit" aspectratio="f"/>
                <v:textbox inset="0mm,0mm,2.54mm,0mm" style="mso-fit-shape-to-text:t;">
                  <w:txbxContent>
                    <w:p w14:paraId="3AF15ED7">
                      <w:pPr>
                        <w:pStyle w:val="334"/>
                      </w:pPr>
                      <w:r>
                        <w:rPr>
                          <w:rFonts w:hint="eastAsia"/>
                        </w:rPr>
                        <w:t>I</w:t>
                      </w:r>
                      <w:r>
                        <w:t>CS 19.020</w:t>
                      </w:r>
                    </w:p>
                    <w:p w14:paraId="2D7B6801">
                      <w:pPr>
                        <w:pStyle w:val="334"/>
                      </w:pPr>
                      <w:r>
                        <w:rPr>
                          <w:rFonts w:hint="eastAsia"/>
                        </w:rPr>
                        <w:t>C</w:t>
                      </w:r>
                      <w:r>
                        <w:t>CS K85</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2378710</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5pt;margin-top:187.3pt;height:0pt;width:481.95pt;z-index:251661312;mso-width-relative:page;mso-height-relative:page;" filled="f" stroked="t" coordsize="21600,21600" o:gfxdata="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2W&#10;R7vWAAAACQEAAA8AAAAAAAAAAQAgAAAAIgAAAGRycy9kb3ducmV2LnhtbFBLAQIUABQAAAAIAIdO&#10;4kCIGj277AEAALQ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2378710</wp:posOffset>
                </wp:positionV>
                <wp:extent cx="612076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55pt;margin-top:187.3pt;height:0pt;width:481.95pt;z-index:251669504;mso-width-relative:page;mso-height-relative:page;" filled="f" stroked="t" coordsize="21600,21600" o:gfxdata="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ryTf9YAAAAJAQAADwAAAAAA&#10;AAABACAAAAAiAAAAZHJzL2Rvd25yZXYueG1sUEsBAhQAFAAAAAgAh07iQOhaYNLcAQAAqAMAAA4A&#10;AAAAAAAAAQAgAAAAJQEAAGRycy9lMm9Eb2MueG1sUEsFBgAAAAAGAAYAWQEAAHMFA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-89535</wp:posOffset>
                </wp:positionH>
                <wp:positionV relativeFrom="paragraph">
                  <wp:posOffset>1021080</wp:posOffset>
                </wp:positionV>
                <wp:extent cx="6276340" cy="883920"/>
                <wp:effectExtent l="0" t="0" r="0" b="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a:effectLst/>
                      </wps:spPr>
                      <wps:txbx>
                        <w:txbxContent>
                          <w:p w14:paraId="21E7DA94">
                            <w:pPr>
                              <w:jc w:val="distribute"/>
                              <w:rPr>
                                <w:rFonts w:hint="eastAsia"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a:graphicData>
                </a:graphic>
              </wp:anchor>
            </w:drawing>
          </mc:Choice>
          <mc:Fallback>
            <w:pict>
              <v:shape id="_x0000_s1026" o:spid="_x0000_s1026" o:spt="202" type="#_x0000_t202" style="position:absolute;left:0pt;margin-left:-7.05pt;margin-top:80.4pt;height:69.6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I/j3tsAAAALAQAADwAAAAAAAAABACAAAAAiAAAAZHJzL2Rvd25yZXYueG1sUEsB&#10;AhQAFAAAAAgAh07iQDLA94grAgAAOQQAAA4AAAAAAAAAAQAgAAAAKgEAAGRycy9lMm9Eb2MueG1s&#10;UEsFBgAAAAAGAAYAWQEAAMcFAAAAAA==&#10;">
                <v:fill on="f" focussize="0,0"/>
                <v:stroke on="f" miterlimit="8" joinstyle="miter"/>
                <v:imagedata o:title=""/>
                <o:lock v:ext="edit" aspectratio="f"/>
                <v:textbox style="mso-fit-shape-to-text:t;">
                  <w:txbxContent>
                    <w:p w14:paraId="21E7DA94">
                      <w:pPr>
                        <w:jc w:val="distribute"/>
                        <w:rPr>
                          <w:rFonts w:hint="eastAsia"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3CAB16D1">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3CAB16D1">
                      <w:pPr>
                        <w:pStyle w:val="504"/>
                      </w:pPr>
                      <w:r>
                        <w:rPr>
                          <w:rFonts w:hint="eastAsia"/>
                        </w:rPr>
                        <w:t>发 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225E0012">
                            <w:pPr>
                              <w:pStyle w:val="505"/>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225E0012">
                      <w:pPr>
                        <w:pStyle w:val="505"/>
                        <w:rPr>
                          <w:rFonts w:hint="eastAsia"/>
                        </w:rPr>
                      </w:pPr>
                      <w:r>
                        <w:rPr>
                          <w:rFonts w:hint="eastAsia"/>
                        </w:rPr>
                        <w:t>中国电机工程学会</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355E93CE">
                            <w:pPr>
                              <w:pStyle w:val="291"/>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355E93CE">
                      <w:pPr>
                        <w:pStyle w:val="291"/>
                        <w:rPr>
                          <w:rFonts w:hint="eastAsia"/>
                        </w:rPr>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6E73FC0B">
                            <w:pPr>
                              <w:pStyle w:val="264"/>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6E73FC0B">
                      <w:pPr>
                        <w:pStyle w:val="264"/>
                        <w:rPr>
                          <w:rFonts w:hint="eastAsia"/>
                        </w:rPr>
                      </w:pPr>
                      <w:r>
                        <w:t>20XX—XX—XX发布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2A74C90D">
                            <w:pPr>
                              <w:pStyle w:val="268"/>
                            </w:pPr>
                            <w:r>
                              <w:rPr>
                                <w:rFonts w:hint="eastAsia"/>
                              </w:rPr>
                              <w:t>分布式光伏与构网型储能协同系统的电压、频率及暂态稳定性安全技术规范</w:t>
                            </w:r>
                          </w:p>
                          <w:p w14:paraId="2D3BAC4D">
                            <w:pPr>
                              <w:pStyle w:val="272"/>
                              <w:rPr>
                                <w:rFonts w:hint="eastAsia"/>
                              </w:rPr>
                            </w:pPr>
                            <w:r>
                              <w:t>Technical specification for voltage, frequency and transient stability safety of distributed photovoltaic and grid-based energy storage collaborative system（</w:t>
                            </w:r>
                            <w:r>
                              <w:rPr>
                                <w:rFonts w:hint="eastAsia"/>
                              </w:rPr>
                              <w:t>草稿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2A74C90D">
                      <w:pPr>
                        <w:pStyle w:val="268"/>
                      </w:pPr>
                      <w:r>
                        <w:rPr>
                          <w:rFonts w:hint="eastAsia"/>
                        </w:rPr>
                        <w:t>分布式光伏与构网型储能协同系统的电压、频率及暂态稳定性安全技术规范</w:t>
                      </w:r>
                    </w:p>
                    <w:p w14:paraId="2D3BAC4D">
                      <w:pPr>
                        <w:pStyle w:val="272"/>
                        <w:rPr>
                          <w:rFonts w:hint="eastAsia"/>
                        </w:rPr>
                      </w:pPr>
                      <w:r>
                        <w:t>Technical specification for voltage, frequency and transient stability safety of distributed photovoltaic and grid-based energy storage collaborative system（</w:t>
                      </w:r>
                      <w:r>
                        <w:rPr>
                          <w:rFonts w:hint="eastAsia"/>
                        </w:rPr>
                        <w:t>草稿</w:t>
                      </w:r>
                      <w: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75FE272F">
                            <w:pPr>
                              <w:pStyle w:val="265"/>
                              <w:wordWrap w:val="0"/>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75FE272F">
                      <w:pPr>
                        <w:pStyle w:val="265"/>
                        <w:wordWrap w:val="0"/>
                      </w:pPr>
                      <w:r>
                        <w:t>T/CSEE XXXX</w:t>
                      </w:r>
                      <w:r>
                        <w:rPr>
                          <w:color w:val="FF0000"/>
                        </w:rPr>
                        <w:t>—</w:t>
                      </w:r>
                      <w:r>
                        <w:t>YYYY</w:t>
                      </w:r>
                    </w:p>
                  </w:txbxContent>
                </v:textbox>
              </v:shape>
            </w:pict>
          </mc:Fallback>
        </mc:AlternateContent>
      </w:r>
    </w:p>
    <w:p w14:paraId="42E39455">
      <w:pPr>
        <w:pStyle w:val="258"/>
        <w:ind w:firstLine="420"/>
      </w:pPr>
    </w:p>
    <w:p w14:paraId="3DDFE462">
      <w:pPr>
        <w:pStyle w:val="258"/>
        <w:ind w:firstLine="420"/>
      </w:pPr>
    </w:p>
    <w:p w14:paraId="1C546098">
      <w:pPr>
        <w:pStyle w:val="258"/>
        <w:ind w:firstLine="420"/>
      </w:pPr>
    </w:p>
    <w:p w14:paraId="6DAD8C37">
      <w:pPr>
        <w:pStyle w:val="258"/>
        <w:ind w:firstLine="420"/>
      </w:pPr>
    </w:p>
    <w:p w14:paraId="1D5AA1A8">
      <w:pPr>
        <w:pStyle w:val="258"/>
        <w:ind w:firstLine="420"/>
      </w:pPr>
    </w:p>
    <w:p w14:paraId="5A2A68B1">
      <w:pPr>
        <w:pStyle w:val="25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45D48477">
      <w:pPr>
        <w:pStyle w:val="286"/>
        <w:outlineLvl w:val="0"/>
      </w:pPr>
      <w:bookmarkStart w:id="0" w:name="标准内容"/>
      <w:bookmarkEnd w:id="0"/>
      <w:bookmarkStart w:id="1" w:name="_Toc3291"/>
      <w:bookmarkStart w:id="2" w:name="_Toc62027346"/>
      <w:bookmarkStart w:id="3" w:name="_Toc55228493"/>
      <w:bookmarkStart w:id="4" w:name="_Toc63642871"/>
      <w:r>
        <w:rPr>
          <w:rFonts w:hint="eastAsia"/>
        </w:rPr>
        <w:t>目    次</w:t>
      </w:r>
      <w:bookmarkEnd w:id="1"/>
    </w:p>
    <w:p w14:paraId="0F42FBEA">
      <w:pPr>
        <w:pStyle w:val="21"/>
        <w:tabs>
          <w:tab w:val="right" w:leader="dot" w:pos="9345"/>
        </w:tabs>
        <w:spacing w:before="78" w:after="78"/>
        <w:rPr>
          <w:rFonts w:asciiTheme="minorHAnsi" w:hAnsiTheme="minorHAnsi" w:eastAsiaTheme="minorEastAsia" w:cstheme="minorBidi"/>
          <w:szCs w:val="22"/>
          <w14:ligatures w14:val="standardContextual"/>
        </w:rPr>
      </w:pPr>
      <w:r>
        <w:rPr>
          <w:rFonts w:hAnsi="宋体"/>
        </w:rPr>
        <w:fldChar w:fldCharType="begin"/>
      </w:r>
      <w:r>
        <w:rPr>
          <w:rFonts w:hAnsi="宋体"/>
        </w:rPr>
        <w:instrText xml:space="preserve"> </w:instrText>
      </w:r>
      <w:r>
        <w:rPr>
          <w:rFonts w:hint="eastAsia" w:hAnsi="宋体"/>
        </w:rPr>
        <w:instrText xml:space="preserve">TOC \o "1-7" \h \z</w:instrText>
      </w:r>
      <w:r>
        <w:rPr>
          <w:rFonts w:hAnsi="宋体"/>
        </w:rPr>
        <w:instrText xml:space="preserve"> </w:instrText>
      </w:r>
      <w:r>
        <w:rPr>
          <w:rFonts w:hAnsi="宋体"/>
        </w:rPr>
        <w:fldChar w:fldCharType="separate"/>
      </w:r>
      <w:r>
        <w:fldChar w:fldCharType="begin"/>
      </w:r>
      <w:r>
        <w:instrText xml:space="preserve"> HYPERLINK \l "_Toc180587387" </w:instrText>
      </w:r>
      <w:r>
        <w:fldChar w:fldCharType="separate"/>
      </w:r>
      <w:r>
        <w:rPr>
          <w:rStyle w:val="242"/>
          <w:rFonts w:hint="eastAsia"/>
        </w:rPr>
        <w:t>前    言</w:t>
      </w:r>
      <w:r>
        <w:rPr>
          <w:rFonts w:hint="eastAsia"/>
        </w:rPr>
        <w:tab/>
      </w:r>
      <w:r>
        <w:rPr>
          <w:rFonts w:hint="eastAsia"/>
        </w:rPr>
        <w:fldChar w:fldCharType="begin"/>
      </w:r>
      <w:r>
        <w:rPr>
          <w:rFonts w:hint="eastAsia"/>
        </w:rPr>
        <w:instrText xml:space="preserve"> </w:instrText>
      </w:r>
      <w:r>
        <w:instrText xml:space="preserve">PAGEREF _Toc180587387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30C141">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"_Toc180587388" </w:instrText>
      </w:r>
      <w:r>
        <w:fldChar w:fldCharType="separate"/>
      </w:r>
      <w:r>
        <w:rPr>
          <w:rStyle w:val="242"/>
          <w:rFonts w:hint="eastAsia"/>
        </w:rPr>
        <w:t>1 范围</w:t>
      </w:r>
      <w:r>
        <w:rPr>
          <w:rFonts w:hint="eastAsia"/>
        </w:rPr>
        <w:tab/>
      </w:r>
      <w:r>
        <w:rPr>
          <w:rFonts w:hint="eastAsia"/>
        </w:rPr>
        <w:fldChar w:fldCharType="begin"/>
      </w:r>
      <w:r>
        <w:rPr>
          <w:rFonts w:hint="eastAsia"/>
        </w:rPr>
        <w:instrText xml:space="preserve"> </w:instrText>
      </w:r>
      <w:r>
        <w:instrText xml:space="preserve">PAGEREF _Toc180587388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2597B1C">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"_Toc180587389" </w:instrText>
      </w:r>
      <w:r>
        <w:fldChar w:fldCharType="separate"/>
      </w:r>
      <w:r>
        <w:rPr>
          <w:rStyle w:val="24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_Toc180587389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0AB9F5">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"_Toc180587390" </w:instrText>
      </w:r>
      <w:r>
        <w:fldChar w:fldCharType="separate"/>
      </w:r>
      <w:r>
        <w:rPr>
          <w:rStyle w:val="24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_Toc180587390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AB51C57">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"_Toc180587392" </w:instrText>
      </w:r>
      <w:r>
        <w:fldChar w:fldCharType="separate"/>
      </w:r>
      <w:r>
        <w:rPr>
          <w:rStyle w:val="242"/>
          <w:rFonts w:hint="eastAsia"/>
        </w:rPr>
        <w:t>4 基本要求</w:t>
      </w:r>
      <w:r>
        <w:rPr>
          <w:rFonts w:hint="eastAsia"/>
        </w:rPr>
        <w:tab/>
      </w:r>
      <w:r>
        <w:rPr>
          <w:rFonts w:hint="eastAsia"/>
        </w:rPr>
        <w:fldChar w:fldCharType="begin"/>
      </w:r>
      <w:r>
        <w:rPr>
          <w:rFonts w:hint="eastAsia"/>
        </w:rPr>
        <w:instrText xml:space="preserve"> </w:instrText>
      </w:r>
      <w:r>
        <w:instrText xml:space="preserve">PAGEREF _Toc180587392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07CAD37">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"_Toc180587393" </w:instrText>
      </w:r>
      <w:r>
        <w:fldChar w:fldCharType="separate"/>
      </w:r>
      <w:r>
        <w:rPr>
          <w:rStyle w:val="242"/>
          <w:rFonts w:hint="eastAsia"/>
        </w:rPr>
        <w:t>5 无功电压</w:t>
      </w:r>
      <w:r>
        <w:rPr>
          <w:rFonts w:hint="eastAsia"/>
        </w:rPr>
        <w:tab/>
      </w:r>
      <w:r>
        <w:rPr>
          <w:rFonts w:hint="eastAsia"/>
        </w:rPr>
        <w:fldChar w:fldCharType="begin"/>
      </w:r>
      <w:r>
        <w:rPr>
          <w:rFonts w:hint="eastAsia"/>
        </w:rPr>
        <w:instrText xml:space="preserve"> </w:instrText>
      </w:r>
      <w:r>
        <w:instrText xml:space="preserve">PAGEREF _Toc180587393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9C27718">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"_Toc180587394" </w:instrText>
      </w:r>
      <w:r>
        <w:fldChar w:fldCharType="separate"/>
      </w:r>
      <w:r>
        <w:rPr>
          <w:rStyle w:val="242"/>
          <w:rFonts w:hint="eastAsia"/>
        </w:rPr>
        <w:t>6 有功频率</w:t>
      </w:r>
      <w:r>
        <w:rPr>
          <w:rFonts w:hint="eastAsia"/>
        </w:rPr>
        <w:tab/>
      </w:r>
      <w:r>
        <w:rPr>
          <w:rFonts w:hint="eastAsia"/>
        </w:rPr>
        <w:fldChar w:fldCharType="begin"/>
      </w:r>
      <w:r>
        <w:rPr>
          <w:rFonts w:hint="eastAsia"/>
        </w:rPr>
        <w:instrText xml:space="preserve"> </w:instrText>
      </w:r>
      <w:r>
        <w:instrText xml:space="preserve">PAGEREF _Toc180587394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1BE2A80">
      <w:pPr>
        <w:pStyle w:val="20"/>
        <w:tabs>
          <w:tab w:val="right" w:leader="dot" w:pos="9345"/>
        </w:tabs>
        <w:spacing w:before="78" w:after="78"/>
        <w:rPr>
          <w:rFonts w:asciiTheme="minorHAnsi" w:hAnsiTheme="minorHAnsi" w:eastAsiaTheme="minorEastAsia" w:cstheme="minorBidi"/>
          <w:szCs w:val="22"/>
          <w14:ligatures w14:val="standardContextual"/>
        </w:rPr>
      </w:pPr>
      <w:r>
        <w:fldChar w:fldCharType="begin"/>
      </w:r>
      <w:r>
        <w:instrText xml:space="preserve"> HYPERLINK \l "_Toc180587400" </w:instrText>
      </w:r>
      <w:r>
        <w:fldChar w:fldCharType="separate"/>
      </w:r>
      <w:r>
        <w:rPr>
          <w:rStyle w:val="242"/>
          <w:rFonts w:hint="eastAsia"/>
        </w:rPr>
        <w:t>7 暂态稳定性</w:t>
      </w:r>
      <w:r>
        <w:rPr>
          <w:rFonts w:hint="eastAsia"/>
        </w:rPr>
        <w:tab/>
      </w:r>
      <w:r>
        <w:rPr>
          <w:rFonts w:hint="eastAsia"/>
        </w:rPr>
        <w:fldChar w:fldCharType="begin"/>
      </w:r>
      <w:r>
        <w:rPr>
          <w:rFonts w:hint="eastAsia"/>
        </w:rPr>
        <w:instrText xml:space="preserve"> </w:instrText>
      </w:r>
      <w:r>
        <w:instrText xml:space="preserve">PAGEREF _Toc180587400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FC6534D">
      <w:pPr>
        <w:pStyle w:val="258"/>
        <w:ind w:firstLine="420"/>
        <w:rPr>
          <w:rFonts w:hint="eastAsia" w:hAnsi="宋体"/>
        </w:rPr>
      </w:pPr>
      <w:r>
        <w:rPr>
          <w:rFonts w:hAnsi="宋体"/>
        </w:rPr>
        <w:fldChar w:fldCharType="end"/>
      </w:r>
    </w:p>
    <w:p w14:paraId="424377F6">
      <w:pPr>
        <w:widowControl/>
        <w:jc w:val="left"/>
        <w:rPr>
          <w:rFonts w:eastAsia="黑体"/>
          <w:kern w:val="0"/>
          <w:sz w:val="32"/>
          <w:szCs w:val="20"/>
        </w:rPr>
      </w:pPr>
    </w:p>
    <w:p w14:paraId="589D6012">
      <w:pPr>
        <w:widowControl/>
        <w:jc w:val="left"/>
        <w:rPr>
          <w:rFonts w:eastAsia="黑体"/>
          <w:kern w:val="0"/>
          <w:sz w:val="32"/>
          <w:szCs w:val="20"/>
        </w:rPr>
      </w:pPr>
      <w:r>
        <w:br w:type="page"/>
      </w:r>
    </w:p>
    <w:p w14:paraId="17854651">
      <w:pPr>
        <w:pStyle w:val="256"/>
        <w:rPr>
          <w:rFonts w:ascii="Times New Roman"/>
        </w:rPr>
      </w:pPr>
      <w:bookmarkStart w:id="5" w:name="_Toc30696"/>
      <w:bookmarkStart w:id="6" w:name="_Toc23511"/>
      <w:bookmarkStart w:id="7" w:name="_Toc180587387"/>
      <w:r>
        <w:rPr>
          <w:rFonts w:ascii="Times New Roman"/>
        </w:rPr>
        <w:t>前    言</w:t>
      </w:r>
      <w:bookmarkEnd w:id="2"/>
      <w:bookmarkEnd w:id="3"/>
      <w:bookmarkEnd w:id="4"/>
      <w:bookmarkEnd w:id="5"/>
      <w:bookmarkEnd w:id="6"/>
      <w:bookmarkEnd w:id="7"/>
    </w:p>
    <w:p w14:paraId="35E1198A">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w:t>
      </w:r>
      <w:r>
        <w:rPr>
          <w:rFonts w:hint="eastAsia" w:ascii="宋体" w:hAnsi="宋体"/>
          <w:color w:val="000000" w:themeColor="text1"/>
          <w14:textFill>
            <w14:solidFill>
              <w14:schemeClr w14:val="tx1"/>
            </w14:solidFill>
          </w14:textFill>
        </w:rPr>
        <w:t>按照《中国电机工程学会标准管理办法（暂行）》的要求，依据</w:t>
      </w:r>
      <w:r>
        <w:rPr>
          <w:color w:val="000000" w:themeColor="text1"/>
          <w14:textFill>
            <w14:solidFill>
              <w14:schemeClr w14:val="tx1"/>
            </w14:solidFill>
          </w14:textFill>
        </w:rPr>
        <w:t>GB/T 1.1—2020《标准化工作导则 第1部分：标准化文件的结构和起草规则》的规定起草。</w:t>
      </w:r>
    </w:p>
    <w:p w14:paraId="249D1598">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14:paraId="61354F17">
      <w:pPr>
        <w:autoSpaceDE w:val="0"/>
        <w:autoSpaceDN w:val="0"/>
        <w:adjustRightInd w:val="0"/>
        <w:ind w:firstLine="420" w:firstLineChars="200"/>
        <w:jc w:val="left"/>
        <w:rPr>
          <w:rFonts w:asci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t>本文件</w:t>
      </w:r>
      <w:r>
        <w:rPr>
          <w:rFonts w:hint="eastAsia" w:ascii="宋体" w:cs="宋体"/>
          <w:color w:val="000000" w:themeColor="text1"/>
          <w:kern w:val="0"/>
          <w:szCs w:val="21"/>
          <w14:textFill>
            <w14:solidFill>
              <w14:schemeClr w14:val="tx1"/>
            </w14:solidFill>
          </w14:textFill>
        </w:rPr>
        <w:t>由中国电机工程学会提出。</w:t>
      </w:r>
    </w:p>
    <w:p w14:paraId="6E89F9EA">
      <w:pPr>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本文件由中国电机工程学会</w:t>
      </w:r>
      <w:r>
        <w:rPr>
          <w:rFonts w:hint="eastAsia" w:ascii="宋体" w:hAnsi="宋体"/>
          <w:color w:val="000000" w:themeColor="text1"/>
          <w:lang w:eastAsia="zh-CN"/>
          <w14:textFill>
            <w14:solidFill>
              <w14:schemeClr w14:val="tx1"/>
            </w14:solidFill>
          </w14:textFill>
        </w:rPr>
        <w:t>安全用电</w:t>
      </w:r>
      <w:r>
        <w:rPr>
          <w:rFonts w:hint="eastAsia" w:ascii="宋体" w:hAnsi="宋体"/>
          <w:color w:val="000000" w:themeColor="text1"/>
          <w14:textFill>
            <w14:solidFill>
              <w14:schemeClr w14:val="tx1"/>
            </w14:solidFill>
          </w14:textFill>
        </w:rPr>
        <w:t>标准专业委员会技术归口和解释。</w:t>
      </w:r>
    </w:p>
    <w:p w14:paraId="14131F2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本文件起草单位：</w:t>
      </w:r>
      <w:r>
        <w:rPr>
          <w:rFonts w:hint="eastAsia"/>
          <w:color w:val="000000" w:themeColor="text1"/>
          <w14:textFill>
            <w14:solidFill>
              <w14:schemeClr w14:val="tx1"/>
            </w14:solidFill>
          </w14:textFill>
        </w:rPr>
        <w:t>国网甘肃省电力公司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国网甘肃省电力公司白银供电公司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四川大学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国网甘肃省电力公司电力科学研究院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西安电子科技大学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东北电力大学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中国电力科学研究院有限公司</w:t>
      </w:r>
      <w:r>
        <w:rPr>
          <w:color w:val="000000" w:themeColor="text1"/>
          <w14:textFill>
            <w14:solidFill>
              <w14:schemeClr w14:val="tx1"/>
            </w14:solidFill>
          </w14:textFill>
        </w:rPr>
        <w:t>。</w:t>
      </w:r>
    </w:p>
    <w:p w14:paraId="25D642B4">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本文件首次发布。 </w:t>
      </w:r>
    </w:p>
    <w:p w14:paraId="3A1C0FC4">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本文件在执行过程中的意见或建议反馈至中国电机工程学会标准执行办公室（地址：北京市西城区白广路二条1 号，100761，网址：http：//www.csee.org.cn，邮箱：</w:t>
      </w:r>
      <w:r>
        <w:fldChar w:fldCharType="begin"/>
      </w:r>
      <w:r>
        <w:instrText xml:space="preserve">HYPERLINK "mailto:cseebz@csee.org.cn"</w:instrText>
      </w:r>
      <w:r>
        <w:fldChar w:fldCharType="separate"/>
      </w:r>
      <w:r>
        <w:rPr>
          <w:rStyle w:val="242"/>
          <w:rFonts w:hint="eastAsia" w:ascii="宋体" w:hAnsi="宋体"/>
          <w:color w:val="000000" w:themeColor="text1"/>
          <w14:textFill>
            <w14:solidFill>
              <w14:schemeClr w14:val="tx1"/>
            </w14:solidFill>
          </w14:textFill>
        </w:rPr>
        <w:t>cseebz@csee.org.cn</w:t>
      </w:r>
      <w:r>
        <w:rPr>
          <w:rStyle w:val="242"/>
          <w:rFonts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w:t>
      </w:r>
    </w:p>
    <w:p w14:paraId="5C61BBA9">
      <w:pPr>
        <w:ind w:firstLine="420" w:firstLineChars="200"/>
        <w:rPr>
          <w:rFonts w:hint="eastAsia" w:ascii="宋体" w:hAnsi="宋体"/>
        </w:rPr>
      </w:pPr>
    </w:p>
    <w:p w14:paraId="52734A7B">
      <w:pPr>
        <w:ind w:firstLine="420" w:firstLineChars="200"/>
        <w:rPr>
          <w:rFonts w:hint="eastAsia" w:ascii="宋体" w:hAnsi="宋体"/>
        </w:rPr>
      </w:pPr>
    </w:p>
    <w:p w14:paraId="319B960C">
      <w:pPr>
        <w:widowControl/>
        <w:jc w:val="left"/>
        <w:rPr>
          <w:rFonts w:eastAsia="黑体"/>
          <w:kern w:val="0"/>
          <w:sz w:val="32"/>
          <w:szCs w:val="20"/>
        </w:rPr>
      </w:pPr>
      <w:bookmarkStart w:id="8" w:name="标准引言"/>
      <w:bookmarkEnd w:id="8"/>
      <w:bookmarkStart w:id="9" w:name="标准目次"/>
      <w:bookmarkEnd w:id="9"/>
      <w:r>
        <w:br w:type="page"/>
      </w:r>
    </w:p>
    <w:p w14:paraId="15DB0487">
      <w:pPr>
        <w:pStyle w:val="316"/>
        <w:outlineLvl w:val="0"/>
        <w:rPr>
          <w:rFonts w:ascii="Times New Roman"/>
        </w:rPr>
      </w:pPr>
      <w:r>
        <w:rPr>
          <w:rFonts w:hint="eastAsia" w:ascii="Times New Roman"/>
        </w:rPr>
        <w:t>分布式光伏与构网型储能协同系统的电压、频率及暂态稳定性安全技术规范</w:t>
      </w:r>
    </w:p>
    <w:p w14:paraId="5448B198">
      <w:pPr>
        <w:pStyle w:val="259"/>
        <w:outlineLvl w:val="0"/>
        <w:rPr>
          <w:rFonts w:ascii="Times New Roman"/>
          <w:szCs w:val="21"/>
        </w:rPr>
      </w:pPr>
      <w:bookmarkStart w:id="10" w:name="_Toc55228494"/>
      <w:bookmarkStart w:id="11" w:name="_Toc2759"/>
      <w:bookmarkStart w:id="12" w:name="_Toc17562"/>
      <w:bookmarkStart w:id="13" w:name="_Toc62027348"/>
      <w:bookmarkStart w:id="14" w:name="_Toc180587388"/>
      <w:bookmarkStart w:id="15" w:name="_Toc63642873"/>
      <w:r>
        <w:rPr>
          <w:rFonts w:ascii="Times New Roman"/>
          <w:szCs w:val="21"/>
        </w:rPr>
        <w:t>范围</w:t>
      </w:r>
      <w:bookmarkEnd w:id="10"/>
      <w:bookmarkEnd w:id="11"/>
      <w:bookmarkEnd w:id="12"/>
      <w:bookmarkEnd w:id="13"/>
      <w:bookmarkEnd w:id="14"/>
      <w:bookmarkEnd w:id="15"/>
    </w:p>
    <w:p w14:paraId="5BEEFA2C">
      <w:pPr>
        <w:pStyle w:val="258"/>
        <w:ind w:firstLine="420"/>
        <w:rPr>
          <w:rFonts w:ascii="Times New Roman"/>
          <w:szCs w:val="21"/>
        </w:rPr>
      </w:pPr>
      <w:r>
        <w:rPr>
          <w:rFonts w:ascii="Times New Roman"/>
        </w:rPr>
        <w:t>本标准规定了</w:t>
      </w:r>
      <w:r>
        <w:rPr>
          <w:rFonts w:hint="eastAsia"/>
        </w:rPr>
        <w:t>分布式光伏与构网型储能协同系统的基本要求，以及有功功率/频率、无功功率/电压、功角暂态稳定等技术要求</w:t>
      </w:r>
      <w:r>
        <w:rPr>
          <w:rFonts w:ascii="Times New Roman"/>
        </w:rPr>
        <w:t>。</w:t>
      </w:r>
    </w:p>
    <w:p w14:paraId="43C7D7A1">
      <w:pPr>
        <w:pStyle w:val="258"/>
        <w:ind w:firstLine="420"/>
        <w:rPr>
          <w:rFonts w:ascii="Times New Roman"/>
          <w:szCs w:val="21"/>
        </w:rPr>
      </w:pPr>
      <w:r>
        <w:rPr>
          <w:rFonts w:hint="eastAsia" w:ascii="Times New Roman"/>
        </w:rPr>
        <w:t>本标准适用于10kV及以下电压等级、三相并网的分布式光伏并配置一定容量构网型储能的协同系统。</w:t>
      </w:r>
    </w:p>
    <w:p w14:paraId="11079B46">
      <w:pPr>
        <w:pStyle w:val="259"/>
        <w:outlineLvl w:val="0"/>
        <w:rPr>
          <w:rFonts w:ascii="Times New Roman"/>
          <w:szCs w:val="21"/>
        </w:rPr>
      </w:pPr>
      <w:bookmarkStart w:id="16" w:name="_Toc55228495"/>
      <w:bookmarkStart w:id="17" w:name="_Toc180587389"/>
      <w:bookmarkStart w:id="18" w:name="_Toc62027349"/>
      <w:bookmarkStart w:id="19" w:name="_Toc63642874"/>
      <w:bookmarkStart w:id="20" w:name="_Toc10496"/>
      <w:bookmarkStart w:id="21" w:name="_Toc3837"/>
      <w:r>
        <w:rPr>
          <w:rFonts w:ascii="Times New Roman"/>
          <w:szCs w:val="21"/>
        </w:rPr>
        <w:t>规范性引用文</w:t>
      </w:r>
      <w:bookmarkEnd w:id="16"/>
      <w:r>
        <w:rPr>
          <w:rFonts w:ascii="Times New Roman"/>
          <w:szCs w:val="21"/>
        </w:rPr>
        <w:t>件</w:t>
      </w:r>
      <w:bookmarkEnd w:id="17"/>
      <w:bookmarkEnd w:id="18"/>
      <w:bookmarkEnd w:id="19"/>
      <w:bookmarkEnd w:id="20"/>
      <w:bookmarkEnd w:id="21"/>
    </w:p>
    <w:p w14:paraId="1760E12F">
      <w:pPr>
        <w:pStyle w:val="258"/>
        <w:ind w:firstLine="420"/>
        <w:rPr>
          <w:rFonts w:ascii="Times New Roman"/>
          <w:szCs w:val="21"/>
        </w:rPr>
      </w:pPr>
      <w:r>
        <w:rPr>
          <w:rFonts w:asci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C795E07">
      <w:pPr>
        <w:pStyle w:val="258"/>
        <w:ind w:firstLine="420"/>
        <w:rPr>
          <w:rFonts w:hint="eastAsia" w:ascii="Times New Roman"/>
          <w:szCs w:val="21"/>
        </w:rPr>
      </w:pPr>
      <w:r>
        <w:rPr>
          <w:rFonts w:hint="eastAsia" w:ascii="Times New Roman"/>
          <w:szCs w:val="21"/>
        </w:rPr>
        <w:t>GB/T 33342-2016 户用分布式光伏发电并网接口技术规范</w:t>
      </w:r>
    </w:p>
    <w:p w14:paraId="61D0E07C">
      <w:pPr>
        <w:pStyle w:val="258"/>
        <w:ind w:firstLine="420"/>
        <w:rPr>
          <w:rFonts w:hint="eastAsia" w:ascii="Times New Roman"/>
          <w:szCs w:val="21"/>
        </w:rPr>
      </w:pPr>
      <w:r>
        <w:rPr>
          <w:rFonts w:hint="eastAsia" w:ascii="Times New Roman"/>
          <w:szCs w:val="21"/>
        </w:rPr>
        <w:t>GB/T 38755-2019 电力系统安全稳定导则</w:t>
      </w:r>
    </w:p>
    <w:p w14:paraId="76DCF4F8">
      <w:pPr>
        <w:pStyle w:val="258"/>
        <w:ind w:firstLine="420"/>
        <w:rPr>
          <w:rFonts w:hint="eastAsia" w:ascii="Times New Roman"/>
          <w:szCs w:val="21"/>
        </w:rPr>
      </w:pPr>
      <w:r>
        <w:rPr>
          <w:rFonts w:hint="eastAsia" w:ascii="Times New Roman"/>
          <w:szCs w:val="21"/>
        </w:rPr>
        <w:t>GB/T 40289-2021 光伏发电站功率控制技术要求</w:t>
      </w:r>
    </w:p>
    <w:p w14:paraId="765FC9EE">
      <w:pPr>
        <w:pStyle w:val="258"/>
        <w:ind w:firstLine="420"/>
        <w:rPr>
          <w:rFonts w:hint="eastAsia" w:ascii="Times New Roman"/>
          <w:szCs w:val="21"/>
        </w:rPr>
      </w:pPr>
      <w:r>
        <w:rPr>
          <w:rFonts w:hint="eastAsia" w:ascii="Times New Roman"/>
          <w:szCs w:val="21"/>
        </w:rPr>
        <w:t>GB/T 40615-2021 电力系统电压稳定评价导则</w:t>
      </w:r>
    </w:p>
    <w:p w14:paraId="22EBC859">
      <w:pPr>
        <w:pStyle w:val="258"/>
        <w:ind w:firstLine="420"/>
        <w:rPr>
          <w:rFonts w:hint="eastAsia" w:ascii="Times New Roman"/>
          <w:szCs w:val="21"/>
        </w:rPr>
      </w:pPr>
      <w:r>
        <w:rPr>
          <w:rFonts w:hint="eastAsia" w:ascii="Times New Roman"/>
          <w:szCs w:val="21"/>
        </w:rPr>
        <w:t>GB/T 31464-2022 电网运行准则</w:t>
      </w:r>
    </w:p>
    <w:p w14:paraId="2C536638">
      <w:pPr>
        <w:pStyle w:val="258"/>
        <w:ind w:firstLine="420"/>
        <w:rPr>
          <w:rFonts w:hint="eastAsia" w:ascii="Times New Roman"/>
          <w:szCs w:val="21"/>
        </w:rPr>
      </w:pPr>
      <w:r>
        <w:rPr>
          <w:rFonts w:hint="eastAsia" w:ascii="Times New Roman"/>
          <w:szCs w:val="21"/>
        </w:rPr>
        <w:t>GB/T 43526-2023 用户侧电化学储能系统接入配电网技术规定</w:t>
      </w:r>
    </w:p>
    <w:p w14:paraId="4889425D">
      <w:pPr>
        <w:pStyle w:val="258"/>
        <w:ind w:firstLine="420"/>
        <w:rPr>
          <w:rFonts w:hint="eastAsia" w:ascii="Times New Roman"/>
          <w:szCs w:val="21"/>
        </w:rPr>
      </w:pPr>
      <w:r>
        <w:rPr>
          <w:rFonts w:hint="eastAsia" w:ascii="Times New Roman"/>
          <w:szCs w:val="21"/>
        </w:rPr>
        <w:t>GB/T 29319-2024 光伏发电系统接入配电网技术规定</w:t>
      </w:r>
    </w:p>
    <w:p w14:paraId="1A0FD48C">
      <w:pPr>
        <w:pStyle w:val="258"/>
        <w:ind w:firstLine="420"/>
        <w:rPr>
          <w:rFonts w:hint="eastAsia" w:ascii="Times New Roman"/>
          <w:szCs w:val="21"/>
        </w:rPr>
      </w:pPr>
      <w:r>
        <w:rPr>
          <w:rFonts w:hint="eastAsia" w:ascii="Times New Roman"/>
          <w:szCs w:val="21"/>
        </w:rPr>
        <w:t>GB/T 36547-2024 电化学储能电站接入电网技术规定</w:t>
      </w:r>
    </w:p>
    <w:p w14:paraId="1C910357">
      <w:pPr>
        <w:pStyle w:val="258"/>
        <w:ind w:firstLine="420"/>
        <w:rPr>
          <w:rFonts w:ascii="Times New Roman"/>
          <w:szCs w:val="21"/>
        </w:rPr>
      </w:pPr>
      <w:r>
        <w:rPr>
          <w:rFonts w:hint="eastAsia" w:ascii="Times New Roman"/>
          <w:szCs w:val="21"/>
        </w:rPr>
        <w:t>GB/T 29321-2026 光伏发电站无功补偿技术规范</w:t>
      </w:r>
    </w:p>
    <w:p w14:paraId="4FD15D3A">
      <w:pPr>
        <w:pStyle w:val="259"/>
        <w:outlineLvl w:val="0"/>
        <w:rPr>
          <w:rFonts w:ascii="Times New Roman"/>
          <w:szCs w:val="21"/>
        </w:rPr>
      </w:pPr>
      <w:bookmarkStart w:id="22" w:name="_Toc55228496"/>
      <w:bookmarkStart w:id="23" w:name="_Toc180587390"/>
      <w:bookmarkStart w:id="24" w:name="_Toc11168"/>
      <w:bookmarkStart w:id="25" w:name="_Toc2416"/>
      <w:bookmarkStart w:id="26" w:name="_Toc62027350"/>
      <w:bookmarkStart w:id="27" w:name="_Toc63642875"/>
      <w:r>
        <w:rPr>
          <w:rFonts w:ascii="Times New Roman"/>
          <w:szCs w:val="21"/>
        </w:rPr>
        <w:t>术语和定义</w:t>
      </w:r>
      <w:bookmarkEnd w:id="22"/>
      <w:bookmarkEnd w:id="23"/>
      <w:bookmarkEnd w:id="24"/>
      <w:bookmarkEnd w:id="25"/>
      <w:bookmarkEnd w:id="26"/>
      <w:bookmarkEnd w:id="27"/>
    </w:p>
    <w:p w14:paraId="0CB49592">
      <w:pPr>
        <w:pStyle w:val="258"/>
        <w:ind w:firstLine="420"/>
      </w:pPr>
      <w:r>
        <w:rPr>
          <w:rFonts w:hint="eastAsia"/>
        </w:rPr>
        <w:t>下列术语和定义适用于本文件。</w:t>
      </w:r>
    </w:p>
    <w:p w14:paraId="4F5A8059">
      <w:pPr>
        <w:pStyle w:val="324"/>
        <w:rPr>
          <w:rFonts w:ascii="Times New Roman"/>
        </w:rPr>
      </w:pPr>
    </w:p>
    <w:p w14:paraId="6F737776">
      <w:pPr>
        <w:pStyle w:val="324"/>
        <w:numPr>
          <w:ilvl w:val="1"/>
          <w:numId w:val="0"/>
        </w:numPr>
        <w:ind w:firstLine="420" w:firstLineChars="200"/>
        <w:rPr>
          <w:rFonts w:ascii="Times New Roman"/>
        </w:rPr>
      </w:pPr>
      <w:r>
        <w:rPr>
          <w:rFonts w:hint="eastAsia" w:ascii="Times New Roman"/>
        </w:rPr>
        <w:t>分布式光伏系统  d</w:t>
      </w:r>
      <w:r>
        <w:rPr>
          <w:rFonts w:ascii="Times New Roman"/>
        </w:rPr>
        <w:t>istributed photovoltaic system</w:t>
      </w:r>
    </w:p>
    <w:p w14:paraId="2D406977">
      <w:pPr>
        <w:pStyle w:val="258"/>
        <w:ind w:firstLine="420"/>
      </w:pPr>
      <w:r>
        <w:t>利用分散式资源，装机规模较小的、布置在用户附近</w:t>
      </w:r>
      <w:r>
        <w:rPr>
          <w:rFonts w:hint="eastAsia"/>
        </w:rPr>
        <w:t>，采用光伏组件将太阳能直接转换为电能</w:t>
      </w:r>
      <w:r>
        <w:t>的发电系统</w:t>
      </w:r>
      <w:r>
        <w:rPr>
          <w:rFonts w:hint="eastAsia"/>
        </w:rPr>
        <w:t>。</w:t>
      </w:r>
    </w:p>
    <w:p w14:paraId="579FD2EB">
      <w:pPr>
        <w:pStyle w:val="324"/>
        <w:rPr>
          <w:rFonts w:ascii="Times New Roman"/>
        </w:rPr>
      </w:pPr>
      <w:r>
        <w:rPr>
          <w:rFonts w:hint="eastAsia" w:ascii="Times New Roman"/>
        </w:rPr>
        <w:t xml:space="preserve">  </w:t>
      </w:r>
    </w:p>
    <w:p w14:paraId="7A7D27F8">
      <w:pPr>
        <w:pStyle w:val="324"/>
        <w:numPr>
          <w:ilvl w:val="0"/>
          <w:numId w:val="0"/>
        </w:numPr>
        <w:ind w:firstLine="420" w:firstLineChars="200"/>
        <w:rPr>
          <w:rFonts w:ascii="Times New Roman"/>
        </w:rPr>
      </w:pPr>
      <w:r>
        <w:rPr>
          <w:rFonts w:hint="eastAsia" w:ascii="Times New Roman"/>
        </w:rPr>
        <w:t>逆变器   inverter</w:t>
      </w:r>
    </w:p>
    <w:p w14:paraId="0F72A5B5">
      <w:pPr>
        <w:pStyle w:val="258"/>
        <w:ind w:firstLine="420"/>
        <w:rPr>
          <w:rFonts w:ascii="Times New Roman"/>
        </w:rPr>
      </w:pPr>
      <w:r>
        <w:rPr>
          <w:rFonts w:hint="eastAsia" w:ascii="Times New Roman"/>
        </w:rPr>
        <w:t>直流电转化为交流电的电力电子设备。</w:t>
      </w:r>
    </w:p>
    <w:p w14:paraId="1FE6FA0A">
      <w:pPr>
        <w:pStyle w:val="324"/>
        <w:rPr>
          <w:rFonts w:ascii="Times New Roman"/>
        </w:rPr>
      </w:pPr>
      <w:r>
        <w:rPr>
          <w:rFonts w:hint="eastAsia" w:ascii="Times New Roman"/>
        </w:rPr>
        <w:t xml:space="preserve"> </w:t>
      </w:r>
    </w:p>
    <w:p w14:paraId="47408704">
      <w:pPr>
        <w:pStyle w:val="324"/>
        <w:numPr>
          <w:ilvl w:val="0"/>
          <w:numId w:val="0"/>
        </w:numPr>
        <w:ind w:firstLine="420" w:firstLineChars="200"/>
        <w:rPr>
          <w:rFonts w:ascii="Times New Roman"/>
        </w:rPr>
      </w:pPr>
      <w:r>
        <w:rPr>
          <w:rFonts w:hint="eastAsia" w:ascii="Times New Roman"/>
        </w:rPr>
        <w:t xml:space="preserve">构网型储能  Grid-Forming </w:t>
      </w:r>
    </w:p>
    <w:p w14:paraId="143E0B1C">
      <w:pPr>
        <w:pStyle w:val="258"/>
        <w:ind w:firstLine="420"/>
      </w:pPr>
      <w:r>
        <w:rPr>
          <w:rFonts w:hint="eastAsia"/>
        </w:rPr>
        <w:t>储能装置通过逆变器以电压源形式与电网连接，具有一定的电压与频率支撑能力。</w:t>
      </w:r>
    </w:p>
    <w:p w14:paraId="4C2204D2">
      <w:pPr>
        <w:pStyle w:val="324"/>
        <w:rPr>
          <w:rFonts w:ascii="Times New Roman"/>
        </w:rPr>
      </w:pPr>
    </w:p>
    <w:p w14:paraId="23FBF5CC">
      <w:pPr>
        <w:pStyle w:val="324"/>
        <w:numPr>
          <w:ilvl w:val="1"/>
          <w:numId w:val="0"/>
        </w:numPr>
        <w:ind w:firstLine="420" w:firstLineChars="200"/>
        <w:rPr>
          <w:rFonts w:ascii="Times New Roman"/>
        </w:rPr>
      </w:pPr>
      <w:r>
        <w:rPr>
          <w:rFonts w:hint="eastAsia" w:ascii="Times New Roman"/>
        </w:rPr>
        <w:t>孤岛    islanding</w:t>
      </w:r>
    </w:p>
    <w:p w14:paraId="446623E7">
      <w:pPr>
        <w:pStyle w:val="258"/>
        <w:ind w:firstLine="420"/>
      </w:pPr>
      <w:r>
        <w:rPr>
          <w:rFonts w:hint="eastAsia"/>
        </w:rPr>
        <w:t>包含负荷和电源的部分电网脱离主网后独立运行的状态。</w:t>
      </w:r>
    </w:p>
    <w:p w14:paraId="6A92669A">
      <w:pPr>
        <w:pStyle w:val="324"/>
        <w:rPr>
          <w:rFonts w:ascii="Times New Roman"/>
        </w:rPr>
      </w:pPr>
    </w:p>
    <w:p w14:paraId="3EA1C326">
      <w:pPr>
        <w:pStyle w:val="258"/>
        <w:ind w:firstLine="420"/>
        <w:rPr>
          <w:rFonts w:ascii="Times New Roman"/>
        </w:rPr>
      </w:pPr>
      <w:r>
        <w:rPr>
          <w:rFonts w:hint="eastAsia" w:ascii="黑体" w:hAnsi="黑体" w:eastAsia="黑体"/>
        </w:rPr>
        <w:t>最大功率点追踪</w:t>
      </w:r>
      <w:r>
        <w:rPr>
          <w:rFonts w:hint="eastAsia" w:ascii="Times New Roman"/>
        </w:rPr>
        <w:t xml:space="preserve">    </w:t>
      </w:r>
      <w:r>
        <w:rPr>
          <w:rFonts w:ascii="Times New Roman"/>
        </w:rPr>
        <w:t xml:space="preserve"> </w:t>
      </w:r>
      <w:r>
        <w:rPr>
          <w:rFonts w:hint="eastAsia" w:ascii="Times New Roman"/>
        </w:rPr>
        <w:t>m</w:t>
      </w:r>
      <w:r>
        <w:rPr>
          <w:rFonts w:ascii="Times New Roman"/>
        </w:rPr>
        <w:t xml:space="preserve">aximum </w:t>
      </w:r>
      <w:r>
        <w:rPr>
          <w:rFonts w:hint="eastAsia" w:ascii="Times New Roman"/>
        </w:rPr>
        <w:t>p</w:t>
      </w:r>
      <w:r>
        <w:rPr>
          <w:rFonts w:ascii="Times New Roman"/>
        </w:rPr>
        <w:t>ower</w:t>
      </w:r>
      <w:r>
        <w:rPr>
          <w:rFonts w:hint="eastAsia" w:ascii="Times New Roman"/>
        </w:rPr>
        <w:t xml:space="preserve"> p</w:t>
      </w:r>
      <w:r>
        <w:rPr>
          <w:rFonts w:ascii="Times New Roman"/>
        </w:rPr>
        <w:t xml:space="preserve">oint </w:t>
      </w:r>
      <w:r>
        <w:rPr>
          <w:rFonts w:hint="eastAsia" w:ascii="Times New Roman"/>
        </w:rPr>
        <w:t>t</w:t>
      </w:r>
      <w:r>
        <w:rPr>
          <w:rFonts w:ascii="Times New Roman"/>
        </w:rPr>
        <w:t>racking</w:t>
      </w:r>
      <w:r>
        <w:rPr>
          <w:rFonts w:hint="eastAsia" w:ascii="Times New Roman"/>
        </w:rPr>
        <w:t>，MPPT</w:t>
      </w:r>
    </w:p>
    <w:p w14:paraId="68E40A9E">
      <w:pPr>
        <w:pStyle w:val="258"/>
        <w:ind w:firstLine="420"/>
        <w:rPr>
          <w:rFonts w:ascii="Times New Roman"/>
        </w:rPr>
      </w:pPr>
      <w:r>
        <w:rPr>
          <w:rFonts w:ascii="Times New Roman"/>
        </w:rPr>
        <w:t>实时侦测太阳能板的发电电压，并追踪最高电压电流值(VI)</w:t>
      </w:r>
      <w:r>
        <w:rPr>
          <w:rFonts w:hint="eastAsia" w:ascii="Times New Roman"/>
        </w:rPr>
        <w:t>进行功率输出。</w:t>
      </w:r>
    </w:p>
    <w:p w14:paraId="394E3EDE">
      <w:pPr>
        <w:pStyle w:val="324"/>
        <w:rPr>
          <w:rFonts w:ascii="Times New Roman"/>
        </w:rPr>
      </w:pPr>
    </w:p>
    <w:p w14:paraId="681E3B12">
      <w:pPr>
        <w:pStyle w:val="324"/>
        <w:numPr>
          <w:ilvl w:val="0"/>
          <w:numId w:val="0"/>
        </w:numPr>
        <w:ind w:left="210" w:firstLine="210"/>
        <w:rPr>
          <w:rFonts w:ascii="Times New Roman"/>
        </w:rPr>
      </w:pPr>
      <w:r>
        <w:rPr>
          <w:rFonts w:hint="eastAsia" w:ascii="Times New Roman"/>
        </w:rPr>
        <w:t xml:space="preserve">一次调频    </w:t>
      </w:r>
      <w:r>
        <w:rPr>
          <w:rFonts w:ascii="Times New Roman"/>
        </w:rPr>
        <w:t xml:space="preserve"> </w:t>
      </w:r>
      <w:r>
        <w:rPr>
          <w:rFonts w:hint="eastAsia" w:ascii="Times New Roman"/>
        </w:rPr>
        <w:t xml:space="preserve"> primary frequency control，PFC</w:t>
      </w:r>
    </w:p>
    <w:p w14:paraId="31789780">
      <w:pPr>
        <w:pStyle w:val="258"/>
        <w:ind w:firstLine="420"/>
        <w:rPr>
          <w:rFonts w:ascii="Times New Roman"/>
        </w:rPr>
      </w:pPr>
      <w:r>
        <w:rPr>
          <w:rFonts w:ascii="Times New Roman"/>
        </w:rPr>
        <w:t>当电力系统偏离目标频率时，协同系统响应与系统频率偏差自动调节有功功率的控制功能。</w:t>
      </w:r>
    </w:p>
    <w:p w14:paraId="57CA2A95">
      <w:pPr>
        <w:pStyle w:val="258"/>
        <w:ind w:firstLine="420"/>
        <w:rPr>
          <w:rFonts w:ascii="Times New Roman"/>
        </w:rPr>
      </w:pPr>
      <w:r>
        <w:rPr>
          <w:rFonts w:ascii="Times New Roman"/>
        </w:rPr>
        <w:t>[来源：GB/T 43526-2023，有修改]</w:t>
      </w:r>
    </w:p>
    <w:p w14:paraId="375A04FB">
      <w:pPr>
        <w:pStyle w:val="324"/>
        <w:rPr>
          <w:rFonts w:ascii="Times New Roman"/>
        </w:rPr>
      </w:pPr>
    </w:p>
    <w:p w14:paraId="1941FFBE">
      <w:pPr>
        <w:pStyle w:val="258"/>
        <w:ind w:firstLine="420"/>
        <w:rPr>
          <w:rFonts w:ascii="Times New Roman"/>
        </w:rPr>
      </w:pPr>
      <w:r>
        <w:rPr>
          <w:rFonts w:hint="eastAsia" w:ascii="黑体" w:hAnsi="黑体" w:eastAsia="黑体"/>
        </w:rPr>
        <w:t>惯性时间常数</w:t>
      </w:r>
      <w:r>
        <w:rPr>
          <w:rFonts w:hint="eastAsia" w:ascii="Times New Roman"/>
        </w:rPr>
        <w:t xml:space="preserve">    </w:t>
      </w:r>
      <w:r>
        <w:rPr>
          <w:rFonts w:ascii="Times New Roman"/>
        </w:rPr>
        <w:t xml:space="preserve"> </w:t>
      </w:r>
      <w:r>
        <w:rPr>
          <w:rFonts w:hint="eastAsia" w:ascii="Times New Roman"/>
        </w:rPr>
        <w:t xml:space="preserve"> inertia time</w:t>
      </w:r>
    </w:p>
    <w:p w14:paraId="31DE0D02">
      <w:pPr>
        <w:pStyle w:val="258"/>
        <w:ind w:firstLine="420"/>
      </w:pPr>
      <w:r>
        <w:rPr>
          <w:rFonts w:hint="eastAsia"/>
        </w:rPr>
        <w:t>物理意义上表示虚拟同步机的虚拟转子在额定转矩作用下从静止启动到转速达到额定值所需的时间。该参数等效于同步发电机的惯性时间常数，如下所示。</w:t>
      </w:r>
    </w:p>
    <w:p w14:paraId="391F647F">
      <w:pPr>
        <w:pStyle w:val="523"/>
        <w:outlineLvl w:val="9"/>
      </w:pPr>
      <w:r>
        <w:tab/>
      </w:r>
      <w:bookmarkStart w:id="28" w:name="_Toc180587391"/>
      <w:r>
        <w:rPr>
          <w:position w:val="-26"/>
        </w:rPr>
        <w:object>
          <v:shape id="_x0000_i1025" o:spt="75" type="#_x0000_t75" style="height:30pt;width:42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r>
        <w:fldChar w:fldCharType="end"/>
      </w:r>
      <w:bookmarkEnd w:id="28"/>
    </w:p>
    <w:p w14:paraId="577A4B6E">
      <w:pPr>
        <w:ind w:left="210" w:firstLine="210"/>
      </w:pPr>
      <w:r>
        <w:rPr>
          <w:i/>
          <w:iCs/>
        </w:rPr>
        <w:t>T</w:t>
      </w:r>
      <w:r>
        <w:rPr>
          <w:vertAlign w:val="subscript"/>
        </w:rPr>
        <w:t>J</w:t>
      </w:r>
      <w:r>
        <w:t>——虚拟同步机惯量时间常数，单位为秒(s):</w:t>
      </w:r>
    </w:p>
    <w:p w14:paraId="016D4C8D">
      <w:pPr>
        <w:ind w:left="210" w:firstLine="210"/>
      </w:pPr>
      <w:r>
        <w:rPr>
          <w:i/>
          <w:iCs/>
        </w:rPr>
        <w:t>W</w:t>
      </w:r>
      <w:r>
        <w:rPr>
          <w:vertAlign w:val="subscript"/>
        </w:rPr>
        <w:t>k</w:t>
      </w:r>
      <w:r>
        <w:t>——虚拟同步机虚拟转子在额定转速时的动能，单位为千焦(kJ)。</w:t>
      </w:r>
    </w:p>
    <w:p w14:paraId="5164AA70">
      <w:pPr>
        <w:pStyle w:val="324"/>
        <w:rPr>
          <w:rFonts w:ascii="Times New Roman"/>
        </w:rPr>
      </w:pPr>
    </w:p>
    <w:p w14:paraId="26199705">
      <w:pPr>
        <w:pStyle w:val="258"/>
        <w:ind w:firstLine="420"/>
        <w:rPr>
          <w:rFonts w:ascii="Times New Roman"/>
        </w:rPr>
      </w:pPr>
      <w:r>
        <w:rPr>
          <w:rFonts w:hint="eastAsia" w:ascii="黑体" w:hAnsi="黑体" w:eastAsia="黑体"/>
        </w:rPr>
        <w:t>惯量响应</w:t>
      </w:r>
      <w:r>
        <w:rPr>
          <w:rFonts w:hint="eastAsia" w:ascii="Times New Roman"/>
        </w:rPr>
        <w:t xml:space="preserve">    </w:t>
      </w:r>
      <w:r>
        <w:rPr>
          <w:rFonts w:ascii="Times New Roman"/>
        </w:rPr>
        <w:t xml:space="preserve"> </w:t>
      </w:r>
      <w:r>
        <w:rPr>
          <w:rFonts w:hint="eastAsia" w:ascii="Times New Roman"/>
        </w:rPr>
        <w:t xml:space="preserve">  inertia response</w:t>
      </w:r>
    </w:p>
    <w:p w14:paraId="70F5EF73">
      <w:pPr>
        <w:pStyle w:val="258"/>
        <w:ind w:firstLine="420"/>
      </w:pPr>
      <w:r>
        <w:rPr>
          <w:rFonts w:hint="eastAsia"/>
        </w:rPr>
        <w:t>当电力系统频率快速变化时,协同系统响应于电力系统频率变化率调整有功功率的控制功能。</w:t>
      </w:r>
    </w:p>
    <w:p w14:paraId="68DF8B20">
      <w:pPr>
        <w:pStyle w:val="349"/>
        <w:rPr>
          <w:szCs w:val="21"/>
        </w:rPr>
      </w:pPr>
      <w:bookmarkStart w:id="29" w:name="标准附录"/>
      <w:bookmarkEnd w:id="29"/>
      <w:r>
        <w:rPr>
          <w:rFonts w:hint="eastAsia"/>
          <w:szCs w:val="21"/>
        </w:rPr>
        <w:t>技术</w:t>
      </w:r>
    </w:p>
    <w:p w14:paraId="63CC37FF">
      <w:pPr>
        <w:pStyle w:val="350"/>
        <w:rPr>
          <w:szCs w:val="21"/>
        </w:rPr>
      </w:pPr>
    </w:p>
    <w:p w14:paraId="68DB8DE0">
      <w:pPr>
        <w:pStyle w:val="259"/>
        <w:outlineLvl w:val="0"/>
        <w:rPr>
          <w:rFonts w:ascii="Times New Roman"/>
          <w:szCs w:val="21"/>
        </w:rPr>
      </w:pPr>
      <w:bookmarkStart w:id="30" w:name="_Toc180587392"/>
      <w:bookmarkStart w:id="31" w:name="_Toc63642877"/>
      <w:bookmarkStart w:id="32" w:name="_Toc62027352"/>
      <w:r>
        <w:rPr>
          <w:rFonts w:hint="eastAsia" w:ascii="Times New Roman"/>
          <w:szCs w:val="21"/>
        </w:rPr>
        <w:t>基本要求</w:t>
      </w:r>
      <w:bookmarkEnd w:id="30"/>
    </w:p>
    <w:p w14:paraId="5965B025">
      <w:pPr>
        <w:pStyle w:val="258"/>
        <w:ind w:firstLine="0" w:firstLineChars="0"/>
        <w:outlineLvl w:val="1"/>
        <w:rPr>
          <w:rFonts w:hint="eastAsia" w:ascii="黑体" w:hAnsi="黑体" w:eastAsia="黑体" w:cs="黑体"/>
          <w:szCs w:val="21"/>
        </w:rPr>
      </w:pPr>
      <w:r>
        <w:rPr>
          <w:rFonts w:hint="eastAsia" w:ascii="黑体" w:hAnsi="黑体" w:eastAsia="黑体" w:cs="黑体"/>
          <w:szCs w:val="21"/>
        </w:rPr>
        <w:t xml:space="preserve">4.1 </w:t>
      </w:r>
      <w:r>
        <w:rPr>
          <w:rFonts w:ascii="Times New Roman"/>
          <w:szCs w:val="21"/>
        </w:rPr>
        <w:t>本标准适用于接入中低压配电网的分布式光</w:t>
      </w:r>
      <w:r>
        <w:rPr>
          <w:rFonts w:hint="eastAsia" w:ascii="Times New Roman"/>
          <w:szCs w:val="21"/>
        </w:rPr>
        <w:t>伏与构网型</w:t>
      </w:r>
      <w:r>
        <w:rPr>
          <w:rFonts w:ascii="Times New Roman"/>
          <w:szCs w:val="21"/>
        </w:rPr>
        <w:t>储</w:t>
      </w:r>
      <w:r>
        <w:rPr>
          <w:rFonts w:hint="eastAsia" w:ascii="Times New Roman"/>
          <w:szCs w:val="21"/>
        </w:rPr>
        <w:t>能协同</w:t>
      </w:r>
      <w:r>
        <w:rPr>
          <w:rFonts w:ascii="Times New Roman"/>
          <w:szCs w:val="21"/>
        </w:rPr>
        <w:t>系统</w:t>
      </w:r>
      <w:r>
        <w:rPr>
          <w:rFonts w:hint="eastAsia" w:ascii="Times New Roman"/>
          <w:szCs w:val="21"/>
        </w:rPr>
        <w:t>。其中分布式光伏接入标准应满足GB/T 29319，构网型储能接入标准应满足</w:t>
      </w:r>
      <w:r>
        <w:rPr>
          <w:rFonts w:ascii="Times New Roman"/>
          <w:szCs w:val="21"/>
        </w:rPr>
        <w:t>GB/T 36547。</w:t>
      </w:r>
    </w:p>
    <w:p w14:paraId="794F5FE2">
      <w:pPr>
        <w:pStyle w:val="258"/>
        <w:ind w:firstLine="0" w:firstLineChars="0"/>
        <w:outlineLvl w:val="1"/>
        <w:rPr>
          <w:rFonts w:hint="eastAsia" w:ascii="黑体" w:hAnsi="黑体" w:eastAsia="黑体" w:cs="黑体"/>
          <w:szCs w:val="21"/>
        </w:rPr>
      </w:pPr>
      <w:r>
        <w:rPr>
          <w:rFonts w:hint="eastAsia" w:ascii="黑体" w:hAnsi="黑体" w:eastAsia="黑体" w:cs="黑体"/>
          <w:szCs w:val="21"/>
        </w:rPr>
        <w:t xml:space="preserve">4.2 </w:t>
      </w:r>
      <w:r>
        <w:rPr>
          <w:rFonts w:hint="eastAsia" w:hAnsi="宋体" w:cs="黑体"/>
          <w:szCs w:val="21"/>
        </w:rPr>
        <w:t>确立系统安全、可靠、高效运行的基本原则，确保分布式光伏和构网型储能系统能够在不同工况下（包括并网及离网）协同稳定运行。</w:t>
      </w:r>
    </w:p>
    <w:p w14:paraId="507B1422">
      <w:pPr>
        <w:pStyle w:val="258"/>
        <w:ind w:firstLine="0" w:firstLineChars="0"/>
        <w:outlineLvl w:val="1"/>
      </w:pPr>
      <w:r>
        <w:rPr>
          <w:rFonts w:hint="eastAsia" w:ascii="黑体" w:hAnsi="黑体" w:eastAsia="黑体" w:cs="黑体"/>
          <w:szCs w:val="21"/>
        </w:rPr>
        <w:t xml:space="preserve">4.3 </w:t>
      </w:r>
      <w:r>
        <w:rPr>
          <w:rFonts w:asciiTheme="minorEastAsia" w:hAnsiTheme="minorEastAsia" w:eastAsiaTheme="minorEastAsia"/>
          <w:szCs w:val="21"/>
        </w:rPr>
        <w:t>分布式光伏与构网型储能协同系统应保证在多种运行环境下的安全性，包括高温、低温、湿度等环境因素的影响，确保系统能够在复杂环境下长期稳定运行。</w:t>
      </w:r>
    </w:p>
    <w:p w14:paraId="49492A05">
      <w:pPr>
        <w:pStyle w:val="258"/>
        <w:ind w:firstLine="0" w:firstLineChars="0"/>
        <w:outlineLvl w:val="1"/>
        <w:rPr>
          <w:rFonts w:hint="eastAsia" w:ascii="黑体" w:hAnsi="黑体" w:eastAsia="黑体" w:cs="黑体"/>
          <w:szCs w:val="21"/>
        </w:rPr>
      </w:pPr>
      <w:r>
        <w:rPr>
          <w:rFonts w:hint="eastAsia" w:ascii="黑体" w:hAnsi="黑体" w:eastAsia="黑体" w:cs="黑体"/>
          <w:szCs w:val="21"/>
        </w:rPr>
        <w:t>4.4</w:t>
      </w:r>
      <w:r>
        <w:rPr>
          <w:rFonts w:hint="eastAsia" w:cs="黑体" w:asciiTheme="minorEastAsia" w:hAnsiTheme="minorEastAsia" w:eastAsiaTheme="minorEastAsia"/>
          <w:szCs w:val="21"/>
        </w:rPr>
        <w:t>构网型储能装置应该具有一次调频、一次调压、削峰填谷等能力，其安全稳定运行应该满足</w:t>
      </w:r>
      <w:r>
        <w:rPr>
          <w:rFonts w:ascii="Times New Roman" w:eastAsiaTheme="minorEastAsia"/>
          <w:szCs w:val="21"/>
        </w:rPr>
        <w:t>GB 38755</w:t>
      </w:r>
      <w:r>
        <w:rPr>
          <w:rFonts w:hint="eastAsia" w:cs="黑体" w:asciiTheme="minorEastAsia" w:hAnsiTheme="minorEastAsia" w:eastAsiaTheme="minorEastAsia"/>
          <w:szCs w:val="21"/>
        </w:rPr>
        <w:t>的规定。</w:t>
      </w:r>
    </w:p>
    <w:p w14:paraId="2B497CFF">
      <w:pPr>
        <w:pStyle w:val="258"/>
        <w:ind w:firstLine="0" w:firstLineChars="0"/>
        <w:outlineLvl w:val="1"/>
        <w:rPr>
          <w:rFonts w:hint="eastAsia" w:ascii="黑体" w:hAnsi="黑体" w:eastAsia="黑体" w:cs="黑体"/>
          <w:szCs w:val="21"/>
        </w:rPr>
      </w:pPr>
      <w:r>
        <w:rPr>
          <w:rFonts w:hint="eastAsia" w:ascii="黑体" w:hAnsi="黑体" w:eastAsia="黑体" w:cs="黑体"/>
          <w:szCs w:val="21"/>
        </w:rPr>
        <w:t xml:space="preserve">4.5 </w:t>
      </w:r>
      <w:r>
        <w:rPr>
          <w:rFonts w:ascii="Times New Roman"/>
          <w:szCs w:val="21"/>
        </w:rPr>
        <w:t>接入低压侧的分布式光伏除</w:t>
      </w:r>
      <w:r>
        <w:rPr>
          <w:rFonts w:hint="eastAsia" w:ascii="Times New Roman"/>
          <w:szCs w:val="21"/>
        </w:rPr>
        <w:t>需</w:t>
      </w:r>
      <w:r>
        <w:rPr>
          <w:rFonts w:ascii="Times New Roman"/>
          <w:szCs w:val="21"/>
        </w:rPr>
        <w:t>满足本标准外还需满足GB/T 33342</w:t>
      </w:r>
      <w:r>
        <w:rPr>
          <w:rFonts w:hint="eastAsia" w:ascii="Times New Roman"/>
          <w:szCs w:val="21"/>
        </w:rPr>
        <w:t>。</w:t>
      </w:r>
    </w:p>
    <w:bookmarkEnd w:id="31"/>
    <w:bookmarkEnd w:id="32"/>
    <w:p w14:paraId="12C30A76">
      <w:pPr>
        <w:pStyle w:val="259"/>
        <w:jc w:val="left"/>
        <w:outlineLvl w:val="0"/>
        <w:rPr>
          <w:rFonts w:ascii="Times New Roman"/>
          <w:szCs w:val="21"/>
        </w:rPr>
      </w:pPr>
      <w:bookmarkStart w:id="33" w:name="_Toc180587393"/>
      <w:r>
        <w:rPr>
          <w:rFonts w:hint="eastAsia" w:ascii="Times New Roman"/>
          <w:szCs w:val="21"/>
        </w:rPr>
        <w:t>无功电压</w:t>
      </w:r>
      <w:bookmarkEnd w:id="33"/>
    </w:p>
    <w:p w14:paraId="3F9051A0">
      <w:pPr>
        <w:pStyle w:val="258"/>
        <w:ind w:firstLine="0" w:firstLineChars="0"/>
        <w:outlineLvl w:val="1"/>
        <w:rPr>
          <w:rFonts w:hint="eastAsia" w:ascii="黑体" w:hAnsi="黑体" w:eastAsia="黑体" w:cs="黑体"/>
          <w:szCs w:val="21"/>
        </w:rPr>
      </w:pPr>
      <w:r>
        <w:rPr>
          <w:rFonts w:hint="eastAsia" w:ascii="黑体" w:hAnsi="黑体" w:eastAsia="黑体" w:cs="黑体"/>
          <w:szCs w:val="21"/>
        </w:rPr>
        <w:t>5.1 分布式光伏单独运行时的无功电压控制</w:t>
      </w:r>
    </w:p>
    <w:p w14:paraId="31B65BE8">
      <w:pPr>
        <w:pStyle w:val="258"/>
        <w:ind w:firstLine="0" w:firstLineChars="0"/>
        <w:outlineLvl w:val="1"/>
        <w:rPr>
          <w:rFonts w:hint="eastAsia" w:ascii="黑体" w:hAnsi="黑体" w:eastAsia="黑体" w:cs="黑体"/>
          <w:szCs w:val="21"/>
        </w:rPr>
      </w:pPr>
      <w:r>
        <w:rPr>
          <w:rFonts w:hint="eastAsia" w:ascii="黑体" w:hAnsi="黑体" w:eastAsia="黑体" w:cs="黑体"/>
          <w:szCs w:val="21"/>
        </w:rPr>
        <w:t>5.1.1</w:t>
      </w:r>
      <w:r>
        <w:rPr>
          <w:rFonts w:ascii="Times New Roman" w:eastAsiaTheme="minorEastAsia"/>
          <w:szCs w:val="21"/>
        </w:rPr>
        <w:t>分布式光伏的无功出力范围应在图1所示框内连续可调。</w:t>
      </w:r>
    </w:p>
    <w:p w14:paraId="4DFE881D">
      <w:pPr>
        <w:pStyle w:val="258"/>
        <w:ind w:firstLine="420" w:firstLineChars="0"/>
        <w:jc w:val="center"/>
      </w:pPr>
      <w:r>
        <w:rPr>
          <w:rFonts w:hint="eastAsia"/>
        </w:rPr>
        <w:object>
          <v:shape id="_x0000_i1026" o:spt="75" type="#_x0000_t75" style="height:208.25pt;width:214.85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6" r:id="rId15">
            <o:LockedField>false</o:LockedField>
          </o:OLEObject>
        </w:object>
      </w:r>
    </w:p>
    <w:p w14:paraId="2B250DFC">
      <w:pPr>
        <w:pStyle w:val="258"/>
        <w:ind w:firstLine="420" w:firstLineChars="0"/>
      </w:pPr>
      <w:r>
        <w:rPr>
          <w:rFonts w:hint="eastAsia"/>
        </w:rPr>
        <w:t>符号说明：</w:t>
      </w:r>
    </w:p>
    <w:p w14:paraId="7254D866">
      <w:pPr>
        <w:pStyle w:val="258"/>
        <w:ind w:firstLine="420" w:firstLineChars="0"/>
      </w:pPr>
      <w:r>
        <w:rPr>
          <w:rFonts w:ascii="Times New Roman"/>
          <w:i/>
          <w:iCs/>
        </w:rPr>
        <w:t>P</w:t>
      </w:r>
      <w:r>
        <w:rPr>
          <w:rFonts w:ascii="Times New Roman"/>
        </w:rPr>
        <w:t>——</w:t>
      </w:r>
      <w:r>
        <w:rPr>
          <w:rFonts w:hint="eastAsia"/>
        </w:rPr>
        <w:t>光伏逆变器有功出力标幺值</w:t>
      </w:r>
    </w:p>
    <w:p w14:paraId="0F7B31E7">
      <w:pPr>
        <w:pStyle w:val="258"/>
        <w:ind w:firstLine="420" w:firstLineChars="0"/>
      </w:pPr>
      <w:r>
        <w:rPr>
          <w:rFonts w:ascii="Times New Roman"/>
          <w:i/>
          <w:iCs/>
        </w:rPr>
        <w:t>Q</w:t>
      </w:r>
      <w:r>
        <w:rPr>
          <w:rFonts w:ascii="Times New Roman"/>
        </w:rPr>
        <w:t>——</w:t>
      </w:r>
      <w:r>
        <w:rPr>
          <w:rFonts w:hint="eastAsia"/>
        </w:rPr>
        <w:t>光伏逆变器无功出力标幺值</w:t>
      </w:r>
    </w:p>
    <w:p w14:paraId="5F0AFBFD">
      <w:pPr>
        <w:pStyle w:val="258"/>
        <w:ind w:firstLine="420" w:firstLineChars="0"/>
        <w:jc w:val="center"/>
      </w:pPr>
      <w:r>
        <w:rPr>
          <w:rFonts w:hint="eastAsia"/>
        </w:rPr>
        <w:t>图</w:t>
      </w:r>
      <w:r>
        <w:rPr>
          <w:rFonts w:ascii="Times New Roman"/>
        </w:rPr>
        <w:t>1</w:t>
      </w:r>
      <w:r>
        <w:rPr>
          <w:rFonts w:hint="eastAsia"/>
        </w:rPr>
        <w:t xml:space="preserve"> 光伏逆变器的无功出力范围</w:t>
      </w:r>
    </w:p>
    <w:p w14:paraId="034BA09E">
      <w:pPr>
        <w:pStyle w:val="258"/>
        <w:ind w:firstLine="0" w:firstLineChars="0"/>
        <w:rPr>
          <w:rFonts w:hint="eastAsia" w:hAnsi="宋体" w:cs="黑体"/>
          <w:szCs w:val="21"/>
        </w:rPr>
      </w:pPr>
      <w:r>
        <w:rPr>
          <w:rFonts w:hint="eastAsia" w:ascii="黑体" w:hAnsi="黑体" w:eastAsia="黑体" w:cs="黑体"/>
          <w:szCs w:val="21"/>
        </w:rPr>
        <w:t xml:space="preserve">5.1.2 </w:t>
      </w:r>
      <w:r>
        <w:rPr>
          <w:rFonts w:hint="eastAsia" w:hAnsi="宋体" w:cs="黑体"/>
          <w:szCs w:val="21"/>
        </w:rPr>
        <w:t>分布式光伏发电系统在并网条件下应具备多种无功输出控制模式。</w:t>
      </w:r>
    </w:p>
    <w:p w14:paraId="6BD4564B">
      <w:pPr>
        <w:pStyle w:val="258"/>
        <w:ind w:firstLine="0" w:firstLineChars="0"/>
        <w:rPr>
          <w:rFonts w:ascii="Times New Roman"/>
          <w:szCs w:val="21"/>
        </w:rPr>
      </w:pPr>
      <w:r>
        <w:rPr>
          <w:rFonts w:hint="eastAsia" w:ascii="黑体" w:hAnsi="黑体" w:eastAsia="黑体" w:cs="黑体"/>
          <w:szCs w:val="21"/>
        </w:rPr>
        <w:t xml:space="preserve">5.1.3 </w:t>
      </w:r>
      <w:r>
        <w:rPr>
          <w:rFonts w:hint="eastAsia" w:hAnsi="宋体" w:cs="黑体"/>
          <w:szCs w:val="21"/>
        </w:rPr>
        <w:t>分布式光伏在并网点应保证功率因数能够在</w:t>
      </w:r>
      <w:r>
        <w:rPr>
          <w:rFonts w:ascii="Times New Roman"/>
          <w:szCs w:val="21"/>
        </w:rPr>
        <w:t>0.95</w:t>
      </w:r>
      <w:r>
        <w:rPr>
          <w:rFonts w:hint="eastAsia" w:hAnsi="宋体" w:cs="黑体"/>
          <w:szCs w:val="21"/>
        </w:rPr>
        <w:t>（超前）</w:t>
      </w:r>
      <w:r>
        <w:rPr>
          <w:rFonts w:ascii="Times New Roman"/>
          <w:szCs w:val="21"/>
        </w:rPr>
        <w:t>~</w:t>
      </w:r>
      <w:r>
        <w:rPr>
          <w:rFonts w:hint="eastAsia" w:ascii="Times New Roman"/>
          <w:szCs w:val="21"/>
        </w:rPr>
        <w:t>0.95（滞后）范围内连续可调。</w:t>
      </w:r>
    </w:p>
    <w:p w14:paraId="1A3B73AA">
      <w:pPr>
        <w:pStyle w:val="258"/>
        <w:ind w:firstLine="0" w:firstLineChars="0"/>
        <w:rPr>
          <w:rFonts w:ascii="Times New Roman"/>
          <w:szCs w:val="21"/>
        </w:rPr>
      </w:pPr>
      <w:r>
        <w:rPr>
          <w:rFonts w:hint="eastAsia" w:ascii="黑体" w:hAnsi="黑体" w:eastAsia="黑体"/>
          <w:szCs w:val="21"/>
        </w:rPr>
        <w:t xml:space="preserve">5.1.4 </w:t>
      </w:r>
      <w:r>
        <w:rPr>
          <w:rFonts w:ascii="Times New Roman"/>
          <w:szCs w:val="21"/>
        </w:rPr>
        <w:t>分布式光伏应该具有一定的电压调节能力，并应符合GB/T 31464相关规定。</w:t>
      </w:r>
    </w:p>
    <w:p w14:paraId="58A04CCC">
      <w:pPr>
        <w:pStyle w:val="258"/>
        <w:ind w:firstLine="0" w:firstLineChars="0"/>
        <w:rPr>
          <w:rFonts w:ascii="Times New Roman"/>
          <w:szCs w:val="21"/>
        </w:rPr>
      </w:pPr>
      <w:r>
        <w:rPr>
          <w:rFonts w:hint="eastAsia" w:ascii="黑体" w:hAnsi="黑体" w:eastAsia="黑体"/>
          <w:szCs w:val="21"/>
        </w:rPr>
        <w:t xml:space="preserve">5.1.5 </w:t>
      </w:r>
      <w:r>
        <w:rPr>
          <w:rFonts w:hint="eastAsia" w:ascii="Times New Roman"/>
          <w:szCs w:val="21"/>
        </w:rPr>
        <w:t>分布式光伏无功电压控制系统应能接收电力系统调度机构下发的相关电压、无功功率以及功率因数相关指令，其响应时间尺度和控制精度应满足GB/T 29321相关规定。</w:t>
      </w:r>
    </w:p>
    <w:p w14:paraId="7D38AE35">
      <w:pPr>
        <w:pStyle w:val="258"/>
        <w:ind w:firstLine="0" w:firstLineChars="0"/>
        <w:rPr>
          <w:rFonts w:hint="eastAsia" w:ascii="黑体" w:hAnsi="黑体" w:eastAsia="黑体"/>
          <w:szCs w:val="21"/>
        </w:rPr>
      </w:pPr>
    </w:p>
    <w:p w14:paraId="1C8FF3A7">
      <w:pPr>
        <w:pStyle w:val="258"/>
        <w:ind w:firstLine="0" w:firstLineChars="0"/>
        <w:outlineLvl w:val="1"/>
        <w:rPr>
          <w:rFonts w:hint="eastAsia" w:ascii="黑体" w:hAnsi="黑体" w:eastAsia="黑体" w:cs="黑体"/>
          <w:szCs w:val="21"/>
        </w:rPr>
      </w:pPr>
      <w:r>
        <w:rPr>
          <w:rFonts w:hint="eastAsia" w:ascii="黑体" w:hAnsi="黑体" w:eastAsia="黑体" w:cs="黑体"/>
          <w:szCs w:val="21"/>
        </w:rPr>
        <w:t>5.2 构网型储能单独运行时无功电压控制</w:t>
      </w:r>
    </w:p>
    <w:p w14:paraId="415B8AEC">
      <w:pPr>
        <w:pStyle w:val="258"/>
        <w:ind w:firstLine="0" w:firstLineChars="0"/>
        <w:rPr>
          <w:rFonts w:hint="eastAsia" w:ascii="Times New Roman"/>
          <w:szCs w:val="21"/>
        </w:rPr>
      </w:pPr>
      <w:r>
        <w:rPr>
          <w:rFonts w:hint="eastAsia" w:ascii="黑体" w:hAnsi="黑体" w:eastAsia="黑体"/>
          <w:szCs w:val="21"/>
        </w:rPr>
        <w:t xml:space="preserve">5.2.1 </w:t>
      </w:r>
      <w:r>
        <w:rPr>
          <w:rFonts w:hint="eastAsia" w:ascii="Times New Roman"/>
          <w:szCs w:val="21"/>
        </w:rPr>
        <w:t>构网型储能应在并网和离网两种工况下均具备无功功率调节和电压控制能力，并在并/离网切换过程中保持交流侧电压连续，确保系统安全稳定运行。</w:t>
      </w:r>
    </w:p>
    <w:p w14:paraId="1766AC3B">
      <w:pPr>
        <w:pStyle w:val="258"/>
        <w:ind w:firstLine="0" w:firstLineChars="0"/>
        <w:rPr>
          <w:rFonts w:hint="eastAsia" w:ascii="Times New Roman"/>
          <w:szCs w:val="21"/>
        </w:rPr>
      </w:pPr>
      <w:r>
        <w:rPr>
          <w:rFonts w:hint="eastAsia" w:ascii="黑体" w:hAnsi="黑体" w:eastAsia="黑体"/>
          <w:szCs w:val="21"/>
        </w:rPr>
        <w:t xml:space="preserve">5.2.2 </w:t>
      </w:r>
      <w:r>
        <w:rPr>
          <w:rFonts w:hint="eastAsia" w:ascii="Times New Roman"/>
          <w:szCs w:val="21"/>
        </w:rPr>
        <w:t>构网型储能应能接受就地和远方控制指令，在无功功率可调节范围内实现无功功率/电压的连续平滑调节；无功功率控制偏差不应超过额定功率的±2%。</w:t>
      </w:r>
    </w:p>
    <w:p w14:paraId="4D0CBC4A">
      <w:pPr>
        <w:pStyle w:val="258"/>
        <w:ind w:firstLine="0" w:firstLineChars="0"/>
        <w:rPr>
          <w:rFonts w:hint="eastAsia" w:ascii="Times New Roman"/>
          <w:szCs w:val="21"/>
        </w:rPr>
      </w:pPr>
      <w:r>
        <w:rPr>
          <w:rFonts w:hint="eastAsia" w:ascii="黑体" w:hAnsi="黑体" w:eastAsia="黑体"/>
          <w:szCs w:val="21"/>
        </w:rPr>
        <w:t xml:space="preserve">5.2.3 </w:t>
      </w:r>
      <w:r>
        <w:rPr>
          <w:rFonts w:hint="eastAsia" w:ascii="Times New Roman"/>
          <w:szCs w:val="21"/>
        </w:rPr>
        <w:t>构网型储能参与电网电压调节时，其无功功率调节量最大值应不小于额定功率的30%，并应保证并网点功率因数在0.9（超前）～0.9（滞后）范围内连续可调。</w:t>
      </w:r>
    </w:p>
    <w:p w14:paraId="0D9A1C90">
      <w:pPr>
        <w:pStyle w:val="258"/>
        <w:ind w:firstLine="0" w:firstLineChars="0"/>
        <w:rPr>
          <w:rFonts w:hint="eastAsia" w:ascii="Times New Roman"/>
          <w:szCs w:val="21"/>
        </w:rPr>
      </w:pPr>
      <w:r>
        <w:rPr>
          <w:rFonts w:hint="eastAsia" w:ascii="黑体" w:hAnsi="黑体" w:eastAsia="黑体"/>
          <w:szCs w:val="21"/>
        </w:rPr>
        <w:t xml:space="preserve">5.2.4 </w:t>
      </w:r>
      <w:r>
        <w:rPr>
          <w:rFonts w:hint="eastAsia" w:ascii="Times New Roman"/>
          <w:szCs w:val="21"/>
        </w:rPr>
        <w:t>构网型储能应能响应自动电压控制（AVC）指令，自动调节所在节点的电压和无功功率；在满足电网电压偏差设定值的前提下，无功功率响应时间不应大于50 ms，调节速率和控制精度应满足电网调度机构的要求。</w:t>
      </w:r>
    </w:p>
    <w:p w14:paraId="5F39B9A7">
      <w:pPr>
        <w:pStyle w:val="258"/>
        <w:ind w:firstLine="0" w:firstLineChars="0"/>
        <w:outlineLvl w:val="1"/>
        <w:rPr>
          <w:rFonts w:hint="eastAsia" w:ascii="黑体" w:hAnsi="黑体" w:eastAsia="黑体"/>
          <w:szCs w:val="21"/>
        </w:rPr>
      </w:pPr>
      <w:r>
        <w:rPr>
          <w:rFonts w:hint="eastAsia" w:ascii="黑体" w:hAnsi="黑体" w:eastAsia="黑体"/>
          <w:szCs w:val="21"/>
        </w:rPr>
        <w:t>5.3 分布式光伏与构网型储能协同运行时的无功电压控制</w:t>
      </w:r>
    </w:p>
    <w:p w14:paraId="34CE79C2">
      <w:pPr>
        <w:pStyle w:val="258"/>
        <w:ind w:firstLine="0" w:firstLineChars="0"/>
        <w:rPr>
          <w:rFonts w:hint="eastAsia" w:ascii="Times New Roman"/>
          <w:szCs w:val="21"/>
        </w:rPr>
      </w:pPr>
      <w:r>
        <w:rPr>
          <w:rFonts w:hint="eastAsia" w:ascii="黑体" w:hAnsi="黑体" w:eastAsia="黑体"/>
          <w:szCs w:val="21"/>
        </w:rPr>
        <w:t>5.3.1</w:t>
      </w:r>
      <w:r>
        <w:rPr>
          <w:rFonts w:hint="eastAsia" w:ascii="Times New Roman"/>
          <w:szCs w:val="21"/>
        </w:rPr>
        <w:t xml:space="preserve"> 协同运行系统应同时满足 5.1 和 5.2 的相关要求，并通过统一的电压/无功协调控制策略，合理分配分布式光伏和构网型储能的无功出力：构网型储能优先承担快速动态无功支撑，分布式光伏优先承担稳态无功调节。</w:t>
      </w:r>
    </w:p>
    <w:p w14:paraId="4628D51A">
      <w:pPr>
        <w:pStyle w:val="258"/>
        <w:ind w:firstLine="0" w:firstLineChars="0"/>
        <w:rPr>
          <w:rFonts w:hint="eastAsia" w:ascii="Times New Roman"/>
          <w:szCs w:val="21"/>
        </w:rPr>
      </w:pPr>
      <w:r>
        <w:rPr>
          <w:rFonts w:hint="eastAsia" w:ascii="黑体" w:hAnsi="黑体" w:eastAsia="黑体"/>
          <w:szCs w:val="21"/>
        </w:rPr>
        <w:t xml:space="preserve">5.3.2 </w:t>
      </w:r>
      <w:r>
        <w:rPr>
          <w:rFonts w:hint="eastAsia" w:ascii="Times New Roman"/>
          <w:szCs w:val="21"/>
        </w:rPr>
        <w:t xml:space="preserve">在离网工况下，构网型储能应作为电压源设备，维持孤岛电网的电压参考，其并网点电压应保持在额定电压的 ±10% 范围内，并满足 GB/T 40615 等相关标准的电压稳定性要求，以保证分布式光伏在孤岛模式下不脱网、且能够持续安全运行。 </w:t>
      </w:r>
    </w:p>
    <w:p w14:paraId="44B0590F">
      <w:pPr>
        <w:pStyle w:val="258"/>
        <w:ind w:firstLine="0" w:firstLineChars="0"/>
        <w:rPr>
          <w:rFonts w:hint="eastAsia" w:ascii="Times New Roman"/>
          <w:szCs w:val="21"/>
        </w:rPr>
      </w:pPr>
      <w:r>
        <w:rPr>
          <w:rFonts w:hint="eastAsia" w:ascii="黑体" w:hAnsi="黑体" w:eastAsia="黑体"/>
          <w:szCs w:val="21"/>
        </w:rPr>
        <w:t xml:space="preserve">5.3.3 </w:t>
      </w:r>
      <w:r>
        <w:rPr>
          <w:rFonts w:hint="eastAsia" w:ascii="Times New Roman"/>
          <w:szCs w:val="21"/>
        </w:rPr>
        <w:t xml:space="preserve">电网电压跌落或波动时，应由构网型储能按照预设的电压–无功特性曲线（Q–V 曲线或电压外特性）优先提供瞬态无功支撑，在无功功率可调范围内，其无功响应起动时间不应大于 50 ms，以将并网点电压恢复或维持在允许范围内，确保分布式光伏在满足 GB/T 29319 等相关规定的前提下不脱网并优先工作在 MPPT 模式。 </w:t>
      </w:r>
    </w:p>
    <w:p w14:paraId="2E4820BD">
      <w:pPr>
        <w:pStyle w:val="258"/>
        <w:ind w:firstLine="0" w:firstLineChars="0"/>
        <w:rPr>
          <w:rFonts w:hint="eastAsia" w:ascii="Times New Roman"/>
          <w:szCs w:val="21"/>
        </w:rPr>
      </w:pPr>
      <w:r>
        <w:rPr>
          <w:rFonts w:hint="eastAsia" w:ascii="黑体" w:hAnsi="黑体" w:eastAsia="黑体"/>
          <w:szCs w:val="21"/>
        </w:rPr>
        <w:t xml:space="preserve">5.3.4 </w:t>
      </w:r>
      <w:r>
        <w:rPr>
          <w:rFonts w:hint="eastAsia" w:ascii="Times New Roman"/>
          <w:szCs w:val="21"/>
        </w:rPr>
        <w:t xml:space="preserve">协同运行工况下，当分布式光伏工作在 MPPT 模式、构网型储能承担电压/无功主调节职责时，在无功功率可调范围内，联合系统无功功率控制允许偏差不应超过协同系统额定有功功率的 ±2%，并应满足 GB/T 31464 对电压偏差及无功调节精度的相关要求。 </w:t>
      </w:r>
    </w:p>
    <w:p w14:paraId="633C950F">
      <w:pPr>
        <w:pStyle w:val="258"/>
        <w:ind w:firstLine="0" w:firstLineChars="0"/>
        <w:rPr>
          <w:rFonts w:hint="eastAsia" w:ascii="Times New Roman"/>
          <w:szCs w:val="21"/>
        </w:rPr>
      </w:pPr>
      <w:r>
        <w:rPr>
          <w:rFonts w:hint="eastAsia" w:ascii="黑体" w:hAnsi="黑体" w:eastAsia="黑体"/>
          <w:szCs w:val="21"/>
        </w:rPr>
        <w:t xml:space="preserve">5.3.5 </w:t>
      </w:r>
      <w:r>
        <w:rPr>
          <w:rFonts w:hint="eastAsia" w:ascii="Times New Roman"/>
          <w:szCs w:val="21"/>
        </w:rPr>
        <w:t>协同系统应具备电网电压调节功能，支持就地电压–无功下垂控制与上层自动电压控制（AVC）或配电网电压控制系统的协调。当系统电压偏差值超过设定值时，协同系统应根据预设的无功分担原则自动调节分布式光伏与构网型储能的无功出力，参与电网电压调节，并保证调节过程平滑、无振荡。</w:t>
      </w:r>
    </w:p>
    <w:p w14:paraId="6B390BA3">
      <w:pPr>
        <w:pStyle w:val="259"/>
        <w:jc w:val="left"/>
        <w:outlineLvl w:val="0"/>
        <w:rPr>
          <w:rFonts w:ascii="Times New Roman"/>
          <w:szCs w:val="21"/>
        </w:rPr>
      </w:pPr>
      <w:bookmarkStart w:id="34" w:name="_Toc180587394"/>
      <w:r>
        <w:rPr>
          <w:rFonts w:hint="eastAsia" w:ascii="Times New Roman"/>
          <w:szCs w:val="21"/>
        </w:rPr>
        <w:t>有功频率</w:t>
      </w:r>
      <w:bookmarkEnd w:id="34"/>
    </w:p>
    <w:p w14:paraId="6A72E66F">
      <w:pPr>
        <w:pStyle w:val="258"/>
        <w:ind w:firstLine="0" w:firstLineChars="0"/>
        <w:outlineLvl w:val="1"/>
        <w:rPr>
          <w:rFonts w:hint="eastAsia" w:ascii="黑体" w:hAnsi="黑体" w:eastAsia="黑体" w:cs="黑体"/>
          <w:szCs w:val="21"/>
        </w:rPr>
      </w:pPr>
      <w:r>
        <w:rPr>
          <w:rFonts w:hint="eastAsia" w:ascii="黑体" w:hAnsi="黑体" w:eastAsia="黑体" w:cs="黑体"/>
          <w:szCs w:val="21"/>
        </w:rPr>
        <w:t>6.1 分布式光伏单独运行时的有功频率控制</w:t>
      </w:r>
    </w:p>
    <w:p w14:paraId="0E2F05AA">
      <w:pPr>
        <w:pStyle w:val="258"/>
        <w:ind w:firstLine="0" w:firstLineChars="0"/>
        <w:outlineLvl w:val="2"/>
        <w:rPr>
          <w:rFonts w:ascii="Times New Roman"/>
          <w:szCs w:val="21"/>
        </w:rPr>
      </w:pPr>
      <w:r>
        <w:rPr>
          <w:rFonts w:hint="eastAsia" w:ascii="黑体" w:hAnsi="黑体" w:eastAsia="黑体" w:cs="黑体"/>
          <w:szCs w:val="21"/>
        </w:rPr>
        <w:t xml:space="preserve">6.1.1 </w:t>
      </w:r>
      <w:r>
        <w:rPr>
          <w:rFonts w:hint="eastAsia" w:ascii="Times New Roman"/>
          <w:szCs w:val="21"/>
        </w:rPr>
        <w:t>分布式光伏</w:t>
      </w:r>
      <w:r>
        <w:rPr>
          <w:rFonts w:ascii="Times New Roman"/>
          <w:szCs w:val="21"/>
        </w:rPr>
        <w:t>有功功率控制系统的控制模式</w:t>
      </w:r>
      <w:r>
        <w:rPr>
          <w:rFonts w:hint="eastAsia" w:ascii="Times New Roman"/>
          <w:szCs w:val="21"/>
        </w:rPr>
        <w:t>应</w:t>
      </w:r>
      <w:r>
        <w:rPr>
          <w:rFonts w:ascii="Times New Roman"/>
          <w:szCs w:val="21"/>
        </w:rPr>
        <w:t>至少包含有功功率限值</w:t>
      </w:r>
      <w:r>
        <w:rPr>
          <w:rFonts w:hint="eastAsia" w:ascii="Times New Roman"/>
          <w:szCs w:val="21"/>
        </w:rPr>
        <w:t>控</w:t>
      </w:r>
      <w:r>
        <w:rPr>
          <w:rFonts w:ascii="Times New Roman"/>
          <w:szCs w:val="21"/>
        </w:rPr>
        <w:t>制、有功</w:t>
      </w:r>
      <w:r>
        <w:rPr>
          <w:rFonts w:hint="eastAsia" w:ascii="Times New Roman"/>
          <w:szCs w:val="21"/>
        </w:rPr>
        <w:t>功率</w:t>
      </w:r>
      <w:r>
        <w:rPr>
          <w:rFonts w:ascii="Times New Roman"/>
          <w:szCs w:val="21"/>
        </w:rPr>
        <w:t>定值控制</w:t>
      </w:r>
      <w:r>
        <w:rPr>
          <w:rFonts w:hint="eastAsia" w:ascii="Times New Roman"/>
          <w:szCs w:val="21"/>
        </w:rPr>
        <w:t>、</w:t>
      </w:r>
      <w:r>
        <w:rPr>
          <w:rFonts w:ascii="Times New Roman"/>
          <w:szCs w:val="21"/>
        </w:rPr>
        <w:t>有功功率</w:t>
      </w:r>
      <w:r>
        <w:rPr>
          <w:rFonts w:hint="eastAsia" w:ascii="Times New Roman"/>
          <w:szCs w:val="21"/>
        </w:rPr>
        <w:t>差</w:t>
      </w:r>
      <w:r>
        <w:rPr>
          <w:rFonts w:ascii="Times New Roman"/>
          <w:szCs w:val="21"/>
        </w:rPr>
        <w:t>值控制和调</w:t>
      </w:r>
      <w:r>
        <w:rPr>
          <w:rFonts w:hint="eastAsia" w:ascii="Times New Roman"/>
          <w:szCs w:val="21"/>
        </w:rPr>
        <w:t>频</w:t>
      </w:r>
      <w:r>
        <w:rPr>
          <w:rFonts w:ascii="Times New Roman"/>
          <w:szCs w:val="21"/>
        </w:rPr>
        <w:t>控制</w:t>
      </w:r>
      <w:r>
        <w:rPr>
          <w:rFonts w:hint="eastAsia" w:ascii="Times New Roman"/>
          <w:szCs w:val="21"/>
        </w:rPr>
        <w:t>，</w:t>
      </w:r>
      <w:r>
        <w:rPr>
          <w:rFonts w:ascii="Times New Roman"/>
          <w:szCs w:val="21"/>
        </w:rPr>
        <w:t>有功功率控制的响应时间和控制精度应符合GB/T40289的相关规</w:t>
      </w:r>
      <w:r>
        <w:rPr>
          <w:rFonts w:hint="eastAsia" w:ascii="Times New Roman"/>
          <w:szCs w:val="21"/>
        </w:rPr>
        <w:t>定</w:t>
      </w:r>
      <w:r>
        <w:rPr>
          <w:rFonts w:ascii="Times New Roman"/>
          <w:szCs w:val="21"/>
        </w:rPr>
        <w:t>。</w:t>
      </w:r>
    </w:p>
    <w:p w14:paraId="2690CAC4">
      <w:pPr>
        <w:pStyle w:val="258"/>
        <w:ind w:firstLine="0" w:firstLineChars="0"/>
        <w:outlineLvl w:val="2"/>
        <w:rPr>
          <w:rFonts w:hint="eastAsia" w:ascii="黑体" w:hAnsi="黑体" w:eastAsia="黑体" w:cs="黑体"/>
          <w:szCs w:val="21"/>
        </w:rPr>
      </w:pPr>
      <w:r>
        <w:rPr>
          <w:rFonts w:hint="eastAsia" w:ascii="黑体" w:hAnsi="黑体" w:eastAsia="黑体" w:cs="黑体"/>
          <w:szCs w:val="21"/>
        </w:rPr>
        <w:t xml:space="preserve">6.1.2 </w:t>
      </w:r>
      <w:r>
        <w:rPr>
          <w:rFonts w:hint="eastAsia" w:hAnsi="宋体" w:cs="黑体"/>
          <w:szCs w:val="21"/>
        </w:rPr>
        <w:t>分布式光伏应配置有功功率控制系统，具备有功功率连续平滑调节的能力，并能参与电力系统有功功率控制。</w:t>
      </w:r>
    </w:p>
    <w:p w14:paraId="6D1E75CF">
      <w:pPr>
        <w:pStyle w:val="258"/>
        <w:ind w:firstLine="0" w:firstLineChars="0"/>
        <w:outlineLvl w:val="2"/>
        <w:rPr>
          <w:rFonts w:ascii="Times New Roman"/>
          <w:szCs w:val="21"/>
        </w:rPr>
      </w:pPr>
      <w:r>
        <w:rPr>
          <w:rFonts w:hint="eastAsia" w:ascii="黑体" w:hAnsi="黑体" w:eastAsia="黑体" w:cs="黑体"/>
          <w:szCs w:val="21"/>
        </w:rPr>
        <w:t xml:space="preserve">6.1.3 </w:t>
      </w:r>
      <w:r>
        <w:rPr>
          <w:rFonts w:ascii="Times New Roman"/>
          <w:szCs w:val="21"/>
        </w:rPr>
        <w:t>通过10(6)kV电压等级并网的光伏发电系统应能接收并自动执行有功功率控制指令</w:t>
      </w:r>
      <w:r>
        <w:rPr>
          <w:rFonts w:hint="eastAsia" w:ascii="Times New Roman"/>
          <w:szCs w:val="21"/>
        </w:rPr>
        <w:t>，</w:t>
      </w:r>
      <w:r>
        <w:rPr>
          <w:rFonts w:ascii="Times New Roman"/>
          <w:szCs w:val="21"/>
        </w:rPr>
        <w:t>控制误差绝对值应不大于额定有功功率的1%</w:t>
      </w:r>
      <w:r>
        <w:rPr>
          <w:rFonts w:hint="eastAsia" w:ascii="Times New Roman"/>
          <w:szCs w:val="21"/>
        </w:rPr>
        <w:t>，</w:t>
      </w:r>
      <w:r>
        <w:rPr>
          <w:rFonts w:ascii="Times New Roman"/>
          <w:szCs w:val="21"/>
        </w:rPr>
        <w:t>响应时间应不大于5s。</w:t>
      </w:r>
    </w:p>
    <w:p w14:paraId="26AB6A3A">
      <w:pPr>
        <w:pStyle w:val="258"/>
        <w:ind w:firstLine="0" w:firstLineChars="0"/>
        <w:outlineLvl w:val="2"/>
        <w:rPr>
          <w:rFonts w:ascii="Times New Roman"/>
          <w:szCs w:val="21"/>
        </w:rPr>
      </w:pPr>
      <w:r>
        <w:rPr>
          <w:rFonts w:hint="eastAsia" w:ascii="黑体" w:hAnsi="黑体" w:eastAsia="黑体"/>
          <w:szCs w:val="21"/>
        </w:rPr>
        <w:t>6.1.4</w:t>
      </w:r>
      <w:r>
        <w:rPr>
          <w:rFonts w:hint="eastAsia" w:ascii="Times New Roman"/>
          <w:szCs w:val="21"/>
        </w:rPr>
        <w:t xml:space="preserve"> 当电力系统频率偏差超出一次调频死区范围时，分布式光伏按公式</w:t>
      </w:r>
      <w:r>
        <w:rPr>
          <w:rFonts w:ascii="Times New Roman"/>
          <w:iCs/>
          <w:szCs w:val="21"/>
        </w:rPr>
        <w:fldChar w:fldCharType="begin"/>
      </w:r>
      <w:r>
        <w:rPr>
          <w:rFonts w:ascii="Times New Roman"/>
          <w:iCs/>
          <w:szCs w:val="21"/>
        </w:rPr>
        <w:instrText xml:space="preserve"> </w:instrText>
      </w:r>
      <w:r>
        <w:rPr>
          <w:rFonts w:hint="eastAsia" w:ascii="Times New Roman"/>
          <w:iCs/>
          <w:szCs w:val="21"/>
        </w:rPr>
        <w:instrText xml:space="preserve">GOTOBUTTON ZEqnNum703420  \* MERGEFORMAT</w:instrText>
      </w:r>
      <w:r>
        <w:rPr>
          <w:rFonts w:ascii="Times New Roman"/>
          <w:iCs/>
          <w:szCs w:val="21"/>
        </w:rPr>
        <w:instrText xml:space="preserve"> </w:instrText>
      </w:r>
      <w:r>
        <w:rPr>
          <w:rFonts w:ascii="Times New Roman"/>
          <w:iCs/>
          <w:szCs w:val="21"/>
        </w:rPr>
        <w:fldChar w:fldCharType="begin"/>
      </w:r>
      <w:r>
        <w:rPr>
          <w:rFonts w:ascii="Times New Roman"/>
          <w:iCs/>
          <w:szCs w:val="21"/>
        </w:rPr>
        <w:instrText xml:space="preserve"> REF ZEqnNum703420 \* Charformat \! \* MERGEFORMAT </w:instrText>
      </w:r>
      <w:r>
        <w:rPr>
          <w:rFonts w:ascii="Times New Roman"/>
          <w:iCs/>
          <w:szCs w:val="21"/>
        </w:rPr>
        <w:fldChar w:fldCharType="separate"/>
      </w:r>
      <w:r>
        <w:rPr>
          <w:rFonts w:ascii="Times New Roman"/>
          <w:iCs/>
          <w:szCs w:val="21"/>
        </w:rPr>
        <w:instrText xml:space="preserve">(2)</w:instrText>
      </w:r>
      <w:r>
        <w:rPr>
          <w:rFonts w:ascii="Times New Roman"/>
          <w:iCs/>
          <w:szCs w:val="21"/>
        </w:rPr>
        <w:fldChar w:fldCharType="end"/>
      </w:r>
      <w:r>
        <w:rPr>
          <w:rFonts w:ascii="Times New Roman"/>
          <w:iCs/>
          <w:szCs w:val="21"/>
        </w:rPr>
        <w:fldChar w:fldCharType="end"/>
      </w:r>
      <w:r>
        <w:rPr>
          <w:rFonts w:hint="eastAsia" w:ascii="Times New Roman"/>
          <w:szCs w:val="21"/>
        </w:rPr>
        <w:t>计算有功功率变化量:</w:t>
      </w:r>
    </w:p>
    <w:p w14:paraId="63840D60">
      <w:pPr>
        <w:pStyle w:val="523"/>
        <w:outlineLvl w:val="9"/>
      </w:pPr>
      <w:r>
        <w:tab/>
      </w:r>
      <w:bookmarkStart w:id="35" w:name="_Toc180587395"/>
      <w:r>
        <w:rPr>
          <w:position w:val="-26"/>
        </w:rPr>
        <w:object>
          <v:shape id="_x0000_i1027" o:spt="75" type="#_x0000_t75" style="height:30pt;width:100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6" w:name="ZEqnNum703420"/>
      <w:r>
        <w:instrText xml:space="preserve">(</w:instrText>
      </w:r>
      <w:r>
        <w:fldChar w:fldCharType="begin"/>
      </w:r>
      <w:r>
        <w:instrText xml:space="preserve"> SEQ MTEqn \c \* Arabic \* MERGEFORMAT </w:instrText>
      </w:r>
      <w:r>
        <w:fldChar w:fldCharType="separate"/>
      </w:r>
      <w:r>
        <w:instrText xml:space="preserve">2</w:instrText>
      </w:r>
      <w:r>
        <w:fldChar w:fldCharType="end"/>
      </w:r>
      <w:r>
        <w:instrText xml:space="preserve">)</w:instrText>
      </w:r>
      <w:bookmarkEnd w:id="36"/>
      <w:r>
        <w:fldChar w:fldCharType="end"/>
      </w:r>
      <w:bookmarkEnd w:id="35"/>
    </w:p>
    <w:p w14:paraId="189F70F4">
      <w:r>
        <w:rPr>
          <w:rFonts w:hint="eastAsia"/>
        </w:rPr>
        <w:t>式中：</w:t>
      </w:r>
    </w:p>
    <w:p w14:paraId="47C2C926">
      <w:pPr>
        <w:pStyle w:val="2"/>
      </w:pPr>
      <w:r>
        <w:t>Δ</w:t>
      </w:r>
      <w:r>
        <w:rPr>
          <w:i/>
          <w:iCs/>
        </w:rPr>
        <w:t>P</w:t>
      </w:r>
      <w:r>
        <w:rPr>
          <w:vertAlign w:val="subscript"/>
        </w:rPr>
        <w:t>t​ </w:t>
      </w:r>
      <w:r>
        <w:t xml:space="preserve">—— 光伏发电系统有功功率变化量，单位为兆瓦 (MW)； </w:t>
      </w:r>
    </w:p>
    <w:p w14:paraId="39BD4BA5">
      <w:pPr>
        <w:pStyle w:val="2"/>
      </w:pPr>
      <w:r>
        <w:rPr>
          <w:rFonts w:hint="eastAsia"/>
          <w:i/>
          <w:iCs/>
        </w:rPr>
        <w:t xml:space="preserve">k </w:t>
      </w:r>
      <w:r>
        <w:rPr>
          <w:rFonts w:hint="eastAsia"/>
          <w:i/>
          <w:iCs/>
          <w:vertAlign w:val="subscript"/>
        </w:rPr>
        <w:t>f</w:t>
      </w:r>
      <w:r>
        <w:t> </w:t>
      </w:r>
      <w:r>
        <w:rPr>
          <w:rFonts w:hint="eastAsia"/>
        </w:rPr>
        <w:t xml:space="preserve"> </w:t>
      </w:r>
      <w:r>
        <w:t>—— 有功调频系数；</w:t>
      </w:r>
    </w:p>
    <w:p w14:paraId="737E1967">
      <w:pPr>
        <w:pStyle w:val="2"/>
      </w:pPr>
      <w:r>
        <w:rPr>
          <w:i/>
          <w:iCs/>
        </w:rPr>
        <w:t>f</w:t>
      </w:r>
      <w:r>
        <w:rPr>
          <w:rFonts w:hint="eastAsia"/>
          <w:i/>
          <w:iCs/>
        </w:rPr>
        <w:t xml:space="preserve"> </w:t>
      </w:r>
      <w:r>
        <w:rPr>
          <w:vertAlign w:val="subscript"/>
        </w:rPr>
        <w:t>t</w:t>
      </w:r>
      <w:r>
        <w:t> </w:t>
      </w:r>
      <w:r>
        <w:rPr>
          <w:rFonts w:hint="eastAsia"/>
        </w:rPr>
        <w:t xml:space="preserve"> </w:t>
      </w:r>
      <w:r>
        <w:t>—— 电力系统频率，单位为赫兹 (Hz)；</w:t>
      </w:r>
    </w:p>
    <w:p w14:paraId="21D37A43">
      <w:pPr>
        <w:pStyle w:val="2"/>
      </w:pPr>
      <w:r>
        <w:rPr>
          <w:i/>
          <w:iCs/>
        </w:rPr>
        <w:t>f</w:t>
      </w:r>
      <w:r>
        <w:rPr>
          <w:rFonts w:hint="eastAsia"/>
          <w:i/>
          <w:iCs/>
        </w:rPr>
        <w:t xml:space="preserve"> </w:t>
      </w:r>
      <w:r>
        <w:rPr>
          <w:vertAlign w:val="subscript"/>
        </w:rPr>
        <w:t>N</w:t>
      </w:r>
      <w:r>
        <w:t> —— 电力系统定频率，单位为赫兹 (Hz)；</w:t>
      </w:r>
    </w:p>
    <w:p w14:paraId="4EBBEC64">
      <w:pPr>
        <w:pStyle w:val="2"/>
      </w:pPr>
      <w:r>
        <w:rPr>
          <w:i/>
          <w:iCs/>
        </w:rPr>
        <w:t>P</w:t>
      </w:r>
      <w:r>
        <w:rPr>
          <w:rFonts w:hint="eastAsia"/>
          <w:i/>
          <w:iCs/>
        </w:rPr>
        <w:t xml:space="preserve"> </w:t>
      </w:r>
      <w:r>
        <w:rPr>
          <w:vertAlign w:val="subscript"/>
        </w:rPr>
        <w:t>N</w:t>
      </w:r>
      <w:r>
        <w:t> —— 光伏发电系统额定有功功率，单位为兆瓦 (MW)。</w:t>
      </w:r>
    </w:p>
    <w:p w14:paraId="3817599F">
      <w:pPr>
        <w:pStyle w:val="523"/>
      </w:pPr>
      <w:bookmarkStart w:id="37" w:name="_Toc180587396"/>
      <w:r>
        <w:rPr>
          <w:rFonts w:hint="eastAsia" w:ascii="黑体" w:hAnsi="黑体" w:eastAsia="黑体"/>
          <w:szCs w:val="21"/>
        </w:rPr>
        <w:t>6.1.5</w:t>
      </w:r>
      <w:r>
        <w:rPr>
          <w:rFonts w:hint="eastAsia" w:ascii="Times New Roman"/>
          <w:szCs w:val="21"/>
        </w:rPr>
        <w:t xml:space="preserve"> 一次调频响应滞后时间应不大于1s，响应时间应不大于5s，调节时间应不大于15s，一次调频达到稳定时的有功功率调节偏差应不超过额定有功功率的士1%</w:t>
      </w:r>
      <w:bookmarkEnd w:id="37"/>
    </w:p>
    <w:p w14:paraId="1DB99927">
      <w:pPr>
        <w:pStyle w:val="258"/>
        <w:ind w:firstLine="0" w:firstLineChars="0"/>
        <w:outlineLvl w:val="1"/>
        <w:rPr>
          <w:rFonts w:hint="eastAsia" w:ascii="黑体" w:hAnsi="黑体" w:eastAsia="黑体" w:cs="黑体"/>
          <w:szCs w:val="21"/>
        </w:rPr>
      </w:pPr>
      <w:r>
        <w:rPr>
          <w:rFonts w:hint="eastAsia" w:ascii="黑体" w:hAnsi="黑体" w:eastAsia="黑体" w:cs="黑体"/>
          <w:szCs w:val="21"/>
        </w:rPr>
        <w:t>6.2 构网型储能单独运行时的有功频率控制</w:t>
      </w:r>
    </w:p>
    <w:p w14:paraId="4F9B104C">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黑体" w:hAnsi="黑体" w:eastAsia="黑体"/>
          <w:szCs w:val="21"/>
          <w:lang w:val="en-US" w:eastAsia="zh-CN"/>
        </w:rPr>
        <w:t xml:space="preserve">6.2.1 </w:t>
      </w:r>
      <w:r>
        <w:rPr>
          <w:rFonts w:hint="eastAsia" w:ascii="Times New Roman" w:hAnsi="Times New Roman" w:eastAsia="宋体" w:cs="Times New Roman"/>
          <w:sz w:val="21"/>
          <w:szCs w:val="21"/>
          <w:lang w:val="en-US" w:eastAsia="zh-CN" w:bidi="ar-SA"/>
        </w:rPr>
        <w:t>构网型储能应具备有功功率控制能力，能够在本地控制和集中调度控制两种方式下运行，实现有功功率的连续、平滑调节，并满足并网运行及孤岛运行的控制要求。</w:t>
      </w:r>
    </w:p>
    <w:p w14:paraId="13F50A08">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黑体" w:hAnsi="黑体" w:eastAsia="黑体"/>
          <w:szCs w:val="21"/>
          <w:lang w:val="en-US" w:eastAsia="zh-CN"/>
        </w:rPr>
        <w:t xml:space="preserve">6.2.2 </w:t>
      </w:r>
      <w:r>
        <w:rPr>
          <w:rFonts w:hint="eastAsia" w:ascii="Times New Roman" w:hAnsi="Times New Roman" w:eastAsia="宋体" w:cs="Times New Roman"/>
          <w:sz w:val="21"/>
          <w:szCs w:val="21"/>
          <w:lang w:val="en-US" w:eastAsia="zh-CN" w:bidi="ar-SA"/>
        </w:rPr>
        <w:t>构网型储能在响应就地有功功率控制指令时，充/放电响应时间不应大于 500 ms，充/放电调节时间不应大于 2 s；由充电工况切换至放电工况、或由放电工况切换至充电工况的转换时间均不应大于 500 ms；在有功功率可调节范围内，有功功率控制偏差不应超过额定功率的 ±1%。</w:t>
      </w:r>
    </w:p>
    <w:p w14:paraId="4FDF8460">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黑体" w:hAnsi="黑体" w:eastAsia="黑体"/>
          <w:szCs w:val="21"/>
          <w:lang w:val="en-US" w:eastAsia="zh-CN"/>
        </w:rPr>
        <w:t xml:space="preserve">6.2.3 </w:t>
      </w:r>
      <w:r>
        <w:rPr>
          <w:rFonts w:hint="eastAsia" w:ascii="Times New Roman" w:hAnsi="Times New Roman" w:eastAsia="宋体" w:cs="Times New Roman"/>
          <w:sz w:val="21"/>
          <w:szCs w:val="21"/>
          <w:lang w:val="en-US" w:eastAsia="zh-CN" w:bidi="ar-SA"/>
        </w:rPr>
        <w:t>构网型储能参与一次调频时，有功功率变化幅度一般不宜进行过度限制；确需限幅时，一次调频有功功率变化的限幅值不应小于储能装置额定有功功率的 20%，且应兼顾升功率与降功率的双向调节能力。</w:t>
      </w:r>
    </w:p>
    <w:p w14:paraId="12E5EC56">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黑体" w:hAnsi="黑体" w:eastAsia="黑体"/>
          <w:szCs w:val="21"/>
          <w:lang w:val="en-US" w:eastAsia="zh-CN"/>
        </w:rPr>
        <w:t xml:space="preserve">6.2.4 </w:t>
      </w:r>
      <w:r>
        <w:rPr>
          <w:rFonts w:hint="eastAsia" w:ascii="Times New Roman" w:hAnsi="Times New Roman" w:eastAsia="宋体" w:cs="Times New Roman"/>
          <w:sz w:val="21"/>
          <w:szCs w:val="21"/>
          <w:lang w:val="en-US" w:eastAsia="zh-CN" w:bidi="ar-SA"/>
        </w:rPr>
        <w:t>构网型储能应能响应自动发电控制（AGC）指令和其他上级功率调节指令，根据调度机构下达的有功功率设定值或调节速率指令实现自动调节，其调节速率和控制精度应满足电网调度机构的相关要求。</w:t>
      </w:r>
    </w:p>
    <w:p w14:paraId="71C4A5C7">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黑体" w:hAnsi="黑体" w:eastAsia="黑体"/>
          <w:szCs w:val="21"/>
          <w:lang w:val="en-US" w:eastAsia="zh-CN"/>
        </w:rPr>
        <w:t xml:space="preserve">6.2.5 </w:t>
      </w:r>
      <w:r>
        <w:rPr>
          <w:rFonts w:hint="eastAsia" w:ascii="Times New Roman" w:hAnsi="Times New Roman" w:eastAsia="宋体" w:cs="Times New Roman"/>
          <w:sz w:val="21"/>
          <w:szCs w:val="21"/>
          <w:lang w:val="en-US" w:eastAsia="zh-CN" w:bidi="ar-SA"/>
        </w:rPr>
        <w:t>构网型储能应具备紧急功率支撑能力，在电网发生频率异常、事故扰动等紧急工况下，应在 200 ms 内达到最大可放电功率或最大可充电功率，以支持电网频率的快速稳定。</w:t>
      </w:r>
    </w:p>
    <w:p w14:paraId="3D783DF2">
      <w:pPr>
        <w:pStyle w:val="258"/>
        <w:ind w:firstLine="0" w:firstLineChars="0"/>
        <w:outlineLvl w:val="2"/>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6.2.6 当电网频率偏差超出构网型储能一次调频死区范围时，构网型储能应按照规定的有功–频率（P–f）下垂特性或相关公式调整有功功率输出，实现与系统频率偏差成比例的有功功率变化。</w:t>
      </w:r>
    </w:p>
    <w:p w14:paraId="77CFA706">
      <w:pPr>
        <w:pStyle w:val="523"/>
      </w:pPr>
      <w:r>
        <w:tab/>
      </w:r>
      <w:bookmarkStart w:id="38" w:name="_Toc180587397"/>
      <w:r>
        <w:rPr>
          <w:position w:val="-26"/>
        </w:rPr>
        <w:object>
          <v:shape id="_x0000_i1028" o:spt="75" type="#_x0000_t75" style="height:30pt;width:81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9" w:name="ZEqnNum277312"/>
      <w:r>
        <w:instrText xml:space="preserve">(</w:instrText>
      </w:r>
      <w:r>
        <w:fldChar w:fldCharType="begin"/>
      </w:r>
      <w:r>
        <w:instrText xml:space="preserve"> SEQ MTEqn \c \* Arabic \* MERGEFORMAT </w:instrText>
      </w:r>
      <w:r>
        <w:fldChar w:fldCharType="separate"/>
      </w:r>
      <w:r>
        <w:instrText xml:space="preserve">3</w:instrText>
      </w:r>
      <w:r>
        <w:fldChar w:fldCharType="end"/>
      </w:r>
      <w:r>
        <w:instrText xml:space="preserve">)</w:instrText>
      </w:r>
      <w:bookmarkEnd w:id="39"/>
      <w:r>
        <w:fldChar w:fldCharType="end"/>
      </w:r>
      <w:bookmarkEnd w:id="38"/>
    </w:p>
    <w:p w14:paraId="34ADDD32">
      <w:r>
        <w:rPr>
          <w:rFonts w:hint="eastAsia"/>
        </w:rPr>
        <w:t>式中：</w:t>
      </w:r>
    </w:p>
    <w:p w14:paraId="5F2A5163">
      <w:pPr>
        <w:ind w:left="210" w:firstLine="210"/>
      </w:pPr>
      <w:r>
        <w:t>Δ</w:t>
      </w:r>
      <w:r>
        <w:rPr>
          <w:i/>
          <w:iCs/>
        </w:rPr>
        <w:t>P</w:t>
      </w:r>
      <w:r>
        <w:rPr>
          <w:vertAlign w:val="subscript"/>
        </w:rPr>
        <w:t xml:space="preserve">t </w:t>
      </w:r>
      <w:r>
        <w:t xml:space="preserve">—— 电化学储能电站有功功率变化量，单位为千瓦（kW）或兆瓦（MW）； </w:t>
      </w:r>
    </w:p>
    <w:p w14:paraId="029D8B68">
      <w:pPr>
        <w:ind w:left="210" w:firstLine="210"/>
      </w:pPr>
      <w:r>
        <w:rPr>
          <w:i/>
          <w:iCs/>
        </w:rPr>
        <w:t>δ</w:t>
      </w:r>
      <w:r>
        <w:t xml:space="preserve"> </w:t>
      </w:r>
      <w:r>
        <w:rPr>
          <w:rFonts w:hint="eastAsia"/>
        </w:rPr>
        <w:t xml:space="preserve"> </w:t>
      </w:r>
      <w:r>
        <w:t xml:space="preserve">—— 一次调频调差率； </w:t>
      </w:r>
    </w:p>
    <w:p w14:paraId="69697327">
      <w:pPr>
        <w:ind w:left="210" w:firstLine="210"/>
      </w:pPr>
      <w:r>
        <w:t>Δ</w:t>
      </w:r>
      <w:r>
        <w:rPr>
          <w:rFonts w:hint="eastAsia"/>
        </w:rPr>
        <w:t xml:space="preserve"> </w:t>
      </w:r>
      <w:r>
        <w:rPr>
          <w:i/>
          <w:iCs/>
        </w:rPr>
        <w:t xml:space="preserve">f </w:t>
      </w:r>
      <w:r>
        <w:t>—— 电化学储能电站并网点频率偏差，单位为赫兹（Hz）；</w:t>
      </w:r>
    </w:p>
    <w:p w14:paraId="4EE5F29F">
      <w:pPr>
        <w:ind w:left="210" w:firstLine="210"/>
      </w:pPr>
      <w:r>
        <w:rPr>
          <w:i/>
          <w:iCs/>
        </w:rPr>
        <w:t>F</w:t>
      </w:r>
      <w:r>
        <w:rPr>
          <w:rFonts w:hint="eastAsia"/>
          <w:i/>
          <w:iCs/>
        </w:rPr>
        <w:t xml:space="preserve"> </w:t>
      </w:r>
      <w:r>
        <w:rPr>
          <w:vertAlign w:val="subscript"/>
        </w:rPr>
        <w:t>N</w:t>
      </w:r>
      <w:r>
        <w:t xml:space="preserve"> —— 电力系统额定频率，单位为赫兹（Hz）； </w:t>
      </w:r>
    </w:p>
    <w:p w14:paraId="773455B1">
      <w:pPr>
        <w:ind w:left="210" w:firstLine="210"/>
      </w:pPr>
      <w:r>
        <w:rPr>
          <w:i/>
          <w:iCs/>
        </w:rPr>
        <w:t>P</w:t>
      </w:r>
      <w:r>
        <w:rPr>
          <w:rFonts w:hint="eastAsia"/>
          <w:i/>
          <w:iCs/>
        </w:rPr>
        <w:t xml:space="preserve"> </w:t>
      </w:r>
      <w:r>
        <w:rPr>
          <w:vertAlign w:val="subscript"/>
        </w:rPr>
        <w:t>N</w:t>
      </w:r>
      <w:r>
        <w:t xml:space="preserve"> —— 电化学储能电站额定有功功率，单位为千瓦（kW）或兆瓦（MW）。</w:t>
      </w:r>
    </w:p>
    <w:p w14:paraId="55218435">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6.2.7 </w:t>
      </w:r>
      <w:r>
        <w:rPr>
          <w:rFonts w:hint="eastAsia" w:ascii="宋体" w:hAnsi="宋体" w:eastAsia="宋体" w:cs="宋体"/>
          <w:szCs w:val="21"/>
        </w:rPr>
        <w:t>一次调频响应滞后时间应不大于1s，一次调频上升时间应不大于3s，一次调频调节时间应不大于4s，达到稳定时，有功功率控制偏差不应超过额定功率的±1%。</w:t>
      </w:r>
    </w:p>
    <w:p w14:paraId="2012619F">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6.2.8 </w:t>
      </w:r>
      <w:r>
        <w:rPr>
          <w:rFonts w:hint="eastAsia" w:ascii="宋体" w:hAnsi="宋体" w:eastAsia="宋体" w:cs="宋体"/>
          <w:szCs w:val="21"/>
        </w:rPr>
        <w:t>惯量响应</w:t>
      </w:r>
    </w:p>
    <w:p w14:paraId="64EC5EB2">
      <w:pPr>
        <w:pStyle w:val="2"/>
        <w:ind w:left="0" w:leftChars="0"/>
      </w:pPr>
      <w:r>
        <w:rPr>
          <w:rFonts w:hint="eastAsia"/>
        </w:rPr>
        <w:t>当电力系统频率变化大于死区范围,构网型储能应在满足公式</w:t>
      </w:r>
      <w:r>
        <w:rPr>
          <w:iCs/>
        </w:rPr>
        <w:fldChar w:fldCharType="begin"/>
      </w:r>
      <w:r>
        <w:rPr>
          <w:iCs/>
        </w:rPr>
        <w:instrText xml:space="preserve"> </w:instrText>
      </w:r>
      <w:r>
        <w:rPr>
          <w:rFonts w:hint="eastAsia"/>
          <w:iCs/>
        </w:rPr>
        <w:instrText xml:space="preserve">GOTOBUTTON ZEqnNum193003  \* MERGEFORMAT</w:instrText>
      </w:r>
      <w:r>
        <w:rPr>
          <w:iCs/>
        </w:rPr>
        <w:instrText xml:space="preserve"> </w:instrText>
      </w:r>
      <w:r>
        <w:rPr>
          <w:iCs/>
        </w:rPr>
        <w:fldChar w:fldCharType="begin"/>
      </w:r>
      <w:r>
        <w:rPr>
          <w:iCs/>
        </w:rPr>
        <w:instrText xml:space="preserve"> REF ZEqnNum193003 \* Charformat \! \* MERGEFORMAT </w:instrText>
      </w:r>
      <w:r>
        <w:rPr>
          <w:iCs/>
        </w:rPr>
        <w:fldChar w:fldCharType="separate"/>
      </w:r>
      <w:r>
        <w:rPr>
          <w:iCs/>
        </w:rPr>
        <w:instrText xml:space="preserve">(4)</w:instrText>
      </w:r>
      <w:r>
        <w:rPr>
          <w:iCs/>
        </w:rPr>
        <w:fldChar w:fldCharType="end"/>
      </w:r>
      <w:r>
        <w:rPr>
          <w:iCs/>
        </w:rPr>
        <w:fldChar w:fldCharType="end"/>
      </w:r>
      <w:r>
        <w:rPr>
          <w:rFonts w:hint="eastAsia"/>
        </w:rPr>
        <w:t>条件下提供惯量响应能力，根据频率变化率，改变有功功率输出。（计算频率变化的时间窗口宜为100 ms~200 ms）</w:t>
      </w:r>
    </w:p>
    <w:p w14:paraId="61CC67C8">
      <w:pPr>
        <w:pStyle w:val="523"/>
        <w:outlineLvl w:val="9"/>
      </w:pPr>
      <w:r>
        <w:tab/>
      </w:r>
      <w:bookmarkStart w:id="40" w:name="_Toc180587398"/>
      <w:r>
        <w:rPr>
          <w:position w:val="-22"/>
        </w:rPr>
        <w:object>
          <v:shape id="_x0000_i1029" o:spt="75" type="#_x0000_t75" style="height:28pt;width:49.9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1" w:name="ZEqnNum193003"/>
      <w:r>
        <w:instrText xml:space="preserve">(</w:instrText>
      </w:r>
      <w:r>
        <w:fldChar w:fldCharType="begin"/>
      </w:r>
      <w:r>
        <w:instrText xml:space="preserve"> SEQ MTEqn \c \* Arabic \* MERGEFORMAT </w:instrText>
      </w:r>
      <w:r>
        <w:fldChar w:fldCharType="separate"/>
      </w:r>
      <w:r>
        <w:instrText xml:space="preserve">4</w:instrText>
      </w:r>
      <w:r>
        <w:fldChar w:fldCharType="end"/>
      </w:r>
      <w:r>
        <w:instrText xml:space="preserve">)</w:instrText>
      </w:r>
      <w:bookmarkEnd w:id="41"/>
      <w:r>
        <w:fldChar w:fldCharType="end"/>
      </w:r>
      <w:bookmarkEnd w:id="40"/>
    </w:p>
    <w:p w14:paraId="2961338B">
      <w:r>
        <w:rPr>
          <w:rFonts w:hint="eastAsia"/>
        </w:rPr>
        <w:t>式中：</w:t>
      </w:r>
    </w:p>
    <w:p w14:paraId="581B26D7">
      <w:pPr>
        <w:ind w:left="210" w:firstLine="210"/>
      </w:pPr>
      <w:r>
        <w:t>Δ</w:t>
      </w:r>
      <w:r>
        <w:rPr>
          <w:rFonts w:hint="eastAsia"/>
          <w:i/>
          <w:iCs/>
        </w:rPr>
        <w:t>f</w:t>
      </w:r>
      <w:r>
        <w:rPr>
          <w:rFonts w:hint="eastAsia"/>
        </w:rPr>
        <w:t xml:space="preserve"> </w:t>
      </w:r>
      <w:r>
        <w:t>——</w:t>
      </w:r>
      <w:r>
        <w:rPr>
          <w:rFonts w:hint="eastAsia"/>
        </w:rPr>
        <w:t>电化学储能电站并网点频率偏差，单位为赫兹（Hz）；</w:t>
      </w:r>
    </w:p>
    <w:p w14:paraId="21D83F2F">
      <w:pPr>
        <w:ind w:left="210" w:firstLine="210"/>
      </w:pPr>
      <w:r>
        <w:rPr>
          <w:rFonts w:hint="eastAsia"/>
          <w:i/>
          <w:iCs/>
        </w:rPr>
        <w:t>f</w:t>
      </w:r>
      <w:r>
        <w:rPr>
          <w:rFonts w:hint="eastAsia"/>
        </w:rPr>
        <w:t xml:space="preserve">  </w:t>
      </w:r>
      <w:r>
        <w:t>——</w:t>
      </w:r>
      <w:r>
        <w:rPr>
          <w:rFonts w:hint="eastAsia"/>
        </w:rPr>
        <w:t xml:space="preserve"> 电化学储能电站并网点频率，单位为赫兹（Hz）；</w:t>
      </w:r>
    </w:p>
    <w:p w14:paraId="54B8048C">
      <w:pPr>
        <w:ind w:left="210" w:firstLine="210"/>
      </w:pPr>
      <w:r>
        <w:rPr>
          <w:rFonts w:hint="eastAsia"/>
          <w:i/>
          <w:iCs/>
        </w:rPr>
        <w:t xml:space="preserve">t </w:t>
      </w:r>
      <w:r>
        <w:rPr>
          <w:rFonts w:hint="eastAsia"/>
        </w:rPr>
        <w:t xml:space="preserve"> </w:t>
      </w:r>
      <w:r>
        <w:t>——</w:t>
      </w:r>
      <w:r>
        <w:rPr>
          <w:rFonts w:hint="eastAsia"/>
        </w:rPr>
        <w:t xml:space="preserve"> 时间，单位为秒（s）。</w:t>
      </w:r>
    </w:p>
    <w:p w14:paraId="5084CC24">
      <w:pPr>
        <w:pStyle w:val="2"/>
        <w:ind w:left="0" w:leftChars="0" w:firstLine="0" w:firstLineChars="0"/>
      </w:pPr>
      <w:r>
        <w:tab/>
      </w:r>
      <w:r>
        <w:tab/>
      </w:r>
      <w:r>
        <w:rPr>
          <w:rFonts w:hint="eastAsia"/>
        </w:rPr>
        <w:t>惯量响应时，构网型储能有功功率变化量应满足式</w:t>
      </w:r>
      <w:r>
        <w:rPr>
          <w:iCs/>
        </w:rPr>
        <w:fldChar w:fldCharType="begin"/>
      </w:r>
      <w:r>
        <w:rPr>
          <w:iCs/>
        </w:rPr>
        <w:instrText xml:space="preserve"> </w:instrText>
      </w:r>
      <w:r>
        <w:rPr>
          <w:rFonts w:hint="eastAsia"/>
          <w:iCs/>
        </w:rPr>
        <w:instrText xml:space="preserve">GOTOBUTTON ZEqnNum906640  \* MERGEFORMAT</w:instrText>
      </w:r>
      <w:r>
        <w:rPr>
          <w:iCs/>
        </w:rPr>
        <w:instrText xml:space="preserve"> </w:instrText>
      </w:r>
      <w:r>
        <w:rPr>
          <w:iCs/>
        </w:rPr>
        <w:fldChar w:fldCharType="begin"/>
      </w:r>
      <w:r>
        <w:rPr>
          <w:iCs/>
        </w:rPr>
        <w:instrText xml:space="preserve"> REF ZEqnNum906640 \* Charformat \! \* MERGEFORMAT </w:instrText>
      </w:r>
      <w:r>
        <w:rPr>
          <w:iCs/>
        </w:rPr>
        <w:fldChar w:fldCharType="separate"/>
      </w:r>
      <w:r>
        <w:rPr>
          <w:iCs/>
        </w:rPr>
        <w:instrText xml:space="preserve">(5)</w:instrText>
      </w:r>
      <w:r>
        <w:rPr>
          <w:iCs/>
        </w:rPr>
        <w:fldChar w:fldCharType="end"/>
      </w:r>
      <w:r>
        <w:rPr>
          <w:iCs/>
        </w:rPr>
        <w:fldChar w:fldCharType="end"/>
      </w:r>
      <w:r>
        <w:rPr>
          <w:rFonts w:hint="eastAsia"/>
        </w:rPr>
        <w:t>的要求：</w:t>
      </w:r>
    </w:p>
    <w:p w14:paraId="79D5BF8D">
      <w:pPr>
        <w:pStyle w:val="523"/>
        <w:outlineLvl w:val="9"/>
      </w:pPr>
      <w:r>
        <w:tab/>
      </w:r>
      <w:bookmarkStart w:id="42" w:name="_Toc180587399"/>
      <w:r>
        <w:rPr>
          <w:position w:val="-26"/>
        </w:rPr>
        <w:object>
          <v:shape id="_x0000_i1030" o:spt="75" type="#_x0000_t75" style="height:30pt;width:72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3" w:name="ZEqnNum906640"/>
      <w:r>
        <w:instrText xml:space="preserve">(</w:instrText>
      </w:r>
      <w:r>
        <w:fldChar w:fldCharType="begin"/>
      </w:r>
      <w:r>
        <w:instrText xml:space="preserve"> SEQ MTEqn \c \* Arabic \* MERGEFORMAT </w:instrText>
      </w:r>
      <w:r>
        <w:fldChar w:fldCharType="separate"/>
      </w:r>
      <w:r>
        <w:instrText xml:space="preserve">5</w:instrText>
      </w:r>
      <w:r>
        <w:fldChar w:fldCharType="end"/>
      </w:r>
      <w:r>
        <w:instrText xml:space="preserve">)</w:instrText>
      </w:r>
      <w:bookmarkEnd w:id="43"/>
      <w:r>
        <w:fldChar w:fldCharType="end"/>
      </w:r>
      <w:bookmarkEnd w:id="42"/>
    </w:p>
    <w:p w14:paraId="12026BA4">
      <w:r>
        <w:t xml:space="preserve">式中： </w:t>
      </w:r>
    </w:p>
    <w:p w14:paraId="4761E820">
      <w:pPr>
        <w:ind w:left="210" w:firstLine="210"/>
      </w:pPr>
      <w:r>
        <w:t>Δ</w:t>
      </w:r>
      <w:r>
        <w:rPr>
          <w:i/>
          <w:iCs/>
        </w:rPr>
        <w:t>P</w:t>
      </w:r>
      <w:r>
        <w:rPr>
          <w:rFonts w:hint="eastAsia"/>
          <w:vertAlign w:val="subscript"/>
        </w:rPr>
        <w:t>1</w:t>
      </w:r>
      <w:r>
        <w:t xml:space="preserve">—— 电化学储能电站有功功率变化量，单位为千瓦（kW）或兆瓦（MW）； </w:t>
      </w:r>
    </w:p>
    <w:p w14:paraId="776128B0">
      <w:pPr>
        <w:ind w:left="210" w:firstLine="210"/>
      </w:pPr>
      <w:r>
        <w:rPr>
          <w:i/>
          <w:iCs/>
        </w:rPr>
        <w:t>T</w:t>
      </w:r>
      <w:r>
        <w:rPr>
          <w:rFonts w:hint="eastAsia"/>
        </w:rPr>
        <w:t xml:space="preserve"> </w:t>
      </w:r>
      <w:r>
        <w:rPr>
          <w:i/>
          <w:iCs/>
          <w:vertAlign w:val="subscript"/>
        </w:rPr>
        <w:t>j</w:t>
      </w:r>
      <w:r>
        <w:t xml:space="preserve"> —— 电化学储能电站等效惯量时间常数，单位为秒（s），宜设置为 4 s~14 s； </w:t>
      </w:r>
    </w:p>
    <w:p w14:paraId="5AA6C601">
      <w:pPr>
        <w:ind w:left="210" w:firstLine="210"/>
      </w:pPr>
      <w:r>
        <w:rPr>
          <w:rFonts w:hint="eastAsia"/>
          <w:i/>
          <w:iCs/>
        </w:rPr>
        <w:t>f</w:t>
      </w:r>
      <w:r>
        <w:rPr>
          <w:rFonts w:hint="eastAsia"/>
        </w:rPr>
        <w:t xml:space="preserve"> </w:t>
      </w:r>
      <w:r>
        <w:rPr>
          <w:vertAlign w:val="subscript"/>
        </w:rPr>
        <w:t>N</w:t>
      </w:r>
      <w:r>
        <w:t xml:space="preserve"> —— 电力系统额定频率，单位为赫兹（Hz）； </w:t>
      </w:r>
    </w:p>
    <w:p w14:paraId="245A3639">
      <w:pPr>
        <w:ind w:left="210" w:firstLine="210"/>
      </w:pPr>
      <w:r>
        <w:rPr>
          <w:i/>
          <w:iCs/>
        </w:rPr>
        <w:t>P</w:t>
      </w:r>
      <w:r>
        <w:rPr>
          <w:vertAlign w:val="subscript"/>
        </w:rPr>
        <w:t>N</w:t>
      </w:r>
      <w:r>
        <w:t xml:space="preserve"> —— 电化学储能电站额定有功功率，单位为千瓦（kW）或兆瓦（MW）。</w:t>
      </w:r>
    </w:p>
    <w:p w14:paraId="64A143DC">
      <w:pPr>
        <w:pStyle w:val="2"/>
        <w:ind w:left="0" w:leftChars="0" w:firstLine="0" w:firstLineChars="0"/>
      </w:pPr>
    </w:p>
    <w:p w14:paraId="1749DF29">
      <w:pPr>
        <w:pStyle w:val="258"/>
        <w:ind w:firstLine="0" w:firstLineChars="0"/>
        <w:outlineLvl w:val="1"/>
        <w:rPr>
          <w:rFonts w:hint="eastAsia" w:ascii="黑体" w:hAnsi="黑体" w:eastAsia="黑体"/>
          <w:szCs w:val="21"/>
        </w:rPr>
      </w:pPr>
      <w:r>
        <w:rPr>
          <w:rFonts w:hint="eastAsia" w:ascii="黑体" w:hAnsi="黑体" w:eastAsia="黑体" w:cs="黑体"/>
          <w:szCs w:val="21"/>
        </w:rPr>
        <w:t>6.3 分布式光伏与构网型储能协</w:t>
      </w:r>
      <w:r>
        <w:rPr>
          <w:rFonts w:hint="eastAsia" w:ascii="黑体" w:hAnsi="黑体" w:eastAsia="黑体"/>
          <w:szCs w:val="21"/>
        </w:rPr>
        <w:t>同运行时的有功频率控制</w:t>
      </w:r>
    </w:p>
    <w:p w14:paraId="2237B554">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6.3.1 </w:t>
      </w:r>
      <w:r>
        <w:rPr>
          <w:rFonts w:hint="eastAsia" w:ascii="宋体" w:hAnsi="宋体" w:eastAsia="宋体" w:cs="宋体"/>
          <w:szCs w:val="21"/>
        </w:rPr>
        <w:t>协同系统在并网和孤岛两种工况下均应具备参与电网频率调节的功能。当系统频率偏差绝对值大于预设的频率偏差启动值时，协同系统应按照既定的有功–频率（P–f）特性自动调节有功功率，实现一次调频与功率平衡。构网型储能应作为频率支撑的主承担单元，分布式光伏通过功率限额或下调出力方式予以配合，协同参与频率控制。</w:t>
      </w:r>
    </w:p>
    <w:p w14:paraId="2FDBB6FE">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6.3.2 </w:t>
      </w:r>
      <w:r>
        <w:rPr>
          <w:rFonts w:hint="eastAsia" w:ascii="宋体" w:hAnsi="宋体" w:eastAsia="宋体" w:cs="宋体"/>
          <w:szCs w:val="21"/>
        </w:rPr>
        <w:t>协同系统应具备惯量响应功能，由构网型储能提供主惯量支撑，分布式光伏根据需要参与有功功率的协调分配。当系统频率变化率超过预设的频率变化率启动值时，协同系统应基于频率变化率自动改变有功功率输出，抑制电网频率的快速变化，其惯量响应特性和相关参数设置应与 6.3.5 规定相协调。</w:t>
      </w:r>
    </w:p>
    <w:p w14:paraId="59CBFB84">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6.3.3 </w:t>
      </w:r>
      <w:r>
        <w:rPr>
          <w:rFonts w:hint="eastAsia" w:ascii="宋体" w:hAnsi="宋体" w:eastAsia="宋体" w:cs="宋体"/>
          <w:szCs w:val="21"/>
        </w:rPr>
        <w:t>协同系统应具备阻尼控制功能，通过功率振荡阻尼控制或其他适用的控制策略，使因外界扰动或系统内部模态引起的有功功率振荡幅度逐渐减小，避免产生负阻尼效应，提升电力系统动态稳定水平。</w:t>
      </w:r>
    </w:p>
    <w:p w14:paraId="008E7163">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6.3.4 </w:t>
      </w:r>
      <w:r>
        <w:rPr>
          <w:rFonts w:hint="eastAsia" w:ascii="宋体" w:hAnsi="宋体" w:eastAsia="宋体" w:cs="宋体"/>
          <w:szCs w:val="21"/>
        </w:rPr>
        <w:t>协同系统参与一次调频时，应满足下列动态性能要求：</w:t>
      </w:r>
    </w:p>
    <w:p w14:paraId="5A4CB14B">
      <w:pPr>
        <w:pStyle w:val="258"/>
        <w:ind w:firstLine="0" w:firstLineChars="0"/>
        <w:outlineLvl w:val="2"/>
        <w:rPr>
          <w:rFonts w:hint="eastAsia" w:ascii="宋体" w:hAnsi="宋体" w:eastAsia="宋体" w:cs="宋体"/>
          <w:szCs w:val="21"/>
        </w:rPr>
      </w:pPr>
      <w:r>
        <w:rPr>
          <w:rFonts w:hint="eastAsia" w:ascii="宋体" w:hAnsi="宋体" w:eastAsia="宋体" w:cs="宋体"/>
          <w:szCs w:val="21"/>
        </w:rPr>
        <w:t>——有功调频启动时间不应大于 100 ms（从频率偏差超过启动值起计）；</w:t>
      </w:r>
    </w:p>
    <w:p w14:paraId="718528A6">
      <w:pPr>
        <w:pStyle w:val="258"/>
        <w:ind w:firstLine="0" w:firstLineChars="0"/>
        <w:outlineLvl w:val="2"/>
        <w:rPr>
          <w:rFonts w:hint="eastAsia" w:ascii="宋体" w:hAnsi="宋体" w:eastAsia="宋体" w:cs="宋体"/>
          <w:szCs w:val="21"/>
        </w:rPr>
      </w:pPr>
      <w:r>
        <w:rPr>
          <w:rFonts w:hint="eastAsia" w:ascii="宋体" w:hAnsi="宋体" w:eastAsia="宋体" w:cs="宋体"/>
          <w:szCs w:val="21"/>
        </w:rPr>
        <w:t>——有功调频响应时间不应大于 500 ms（有功功率达到目标调节量 90% 所需时间）；</w:t>
      </w:r>
    </w:p>
    <w:p w14:paraId="0FFC2C5C">
      <w:pPr>
        <w:pStyle w:val="258"/>
        <w:ind w:firstLine="0" w:firstLineChars="0"/>
        <w:outlineLvl w:val="2"/>
        <w:rPr>
          <w:rFonts w:hint="eastAsia" w:ascii="宋体" w:hAnsi="宋体" w:eastAsia="宋体" w:cs="宋体"/>
          <w:szCs w:val="21"/>
        </w:rPr>
      </w:pPr>
      <w:r>
        <w:rPr>
          <w:rFonts w:hint="eastAsia" w:ascii="宋体" w:hAnsi="宋体" w:eastAsia="宋体" w:cs="宋体"/>
          <w:szCs w:val="21"/>
        </w:rPr>
        <w:t>——有功调频调节时间不应大于 1 s（有功功率响应进入稳态并满足偏差要求所需时间）；</w:t>
      </w:r>
    </w:p>
    <w:p w14:paraId="22B9D9A8">
      <w:pPr>
        <w:pStyle w:val="258"/>
        <w:ind w:firstLine="0" w:firstLineChars="0"/>
        <w:outlineLvl w:val="2"/>
        <w:rPr>
          <w:rFonts w:hint="eastAsia" w:ascii="宋体" w:hAnsi="宋体" w:eastAsia="宋体" w:cs="宋体"/>
          <w:szCs w:val="21"/>
        </w:rPr>
      </w:pPr>
      <w:r>
        <w:rPr>
          <w:rFonts w:hint="eastAsia" w:ascii="宋体" w:hAnsi="宋体" w:eastAsia="宋体" w:cs="宋体"/>
          <w:szCs w:val="21"/>
        </w:rPr>
        <w:t>——稳态有功功率响应允许误差应在协同系统额定有功功率的 ±</w:t>
      </w:r>
      <w:r>
        <w:rPr>
          <w:rFonts w:hint="eastAsia" w:ascii="宋体" w:hAnsi="宋体" w:eastAsia="宋体" w:cs="宋体"/>
          <w:szCs w:val="21"/>
          <w:lang w:val="en-US" w:eastAsia="zh-CN"/>
        </w:rPr>
        <w:t>5</w:t>
      </w:r>
      <w:r>
        <w:rPr>
          <w:rFonts w:hint="eastAsia" w:ascii="宋体" w:hAnsi="宋体" w:eastAsia="宋体" w:cs="宋体"/>
          <w:szCs w:val="21"/>
        </w:rPr>
        <w:t>% 以内。</w:t>
      </w:r>
    </w:p>
    <w:p w14:paraId="5E677300">
      <w:pPr>
        <w:pStyle w:val="258"/>
        <w:ind w:firstLine="0" w:firstLineChars="0"/>
        <w:jc w:val="center"/>
        <w:outlineLvl w:val="2"/>
      </w:pPr>
      <w:r>
        <w:rPr>
          <w:rFonts w:hint="eastAsia"/>
        </w:rPr>
        <w:object>
          <v:shape id="_x0000_i1031" o:spt="75" type="#_x0000_t75" style="height:224.95pt;width:336pt;" o:ole="t" filled="f" o:preferrelative="t" stroked="f" coordsize="21600,21600">
            <v:path/>
            <v:fill on="f" focussize="0,0"/>
            <v:stroke on="f" joinstyle="miter"/>
            <v:imagedata r:id="rId26" o:title=""/>
            <o:lock v:ext="edit" aspectratio="t"/>
            <w10:wrap type="none"/>
            <w10:anchorlock/>
          </v:shape>
          <o:OLEObject Type="Embed" ProgID="Visio.Drawing.15" ShapeID="_x0000_i1031" DrawAspect="Content" ObjectID="_1468075731" r:id="rId25">
            <o:LockedField>false</o:LockedField>
          </o:OLEObject>
        </w:object>
      </w:r>
    </w:p>
    <w:p w14:paraId="7EFE6970">
      <w:pPr>
        <w:pStyle w:val="258"/>
        <w:ind w:firstLine="0" w:firstLineChars="0"/>
        <w:jc w:val="center"/>
        <w:outlineLvl w:val="2"/>
      </w:pPr>
      <w:r>
        <w:rPr>
          <w:rFonts w:hint="eastAsia"/>
        </w:rPr>
        <w:t>图</w:t>
      </w:r>
      <w:r>
        <w:rPr>
          <w:rFonts w:ascii="Times New Roman"/>
        </w:rPr>
        <w:t>2</w:t>
      </w:r>
      <w:r>
        <w:rPr>
          <w:rFonts w:hint="eastAsia"/>
        </w:rPr>
        <w:t xml:space="preserve"> 有功调频动态响应曲线</w:t>
      </w:r>
    </w:p>
    <w:p w14:paraId="15A017CF">
      <w:pPr>
        <w:pStyle w:val="258"/>
        <w:ind w:firstLine="0" w:firstLineChars="0"/>
        <w:outlineLvl w:val="2"/>
        <w:rPr>
          <w:rFonts w:hint="eastAsia" w:ascii="宋体" w:hAnsi="宋体" w:eastAsia="宋体" w:cs="宋体"/>
          <w:szCs w:val="21"/>
        </w:rPr>
      </w:pPr>
      <w:r>
        <w:rPr>
          <w:rFonts w:hint="eastAsia" w:ascii="黑体" w:hAnsi="黑体" w:eastAsia="黑体"/>
          <w:szCs w:val="21"/>
        </w:rPr>
        <w:t xml:space="preserve">6.3.5 </w:t>
      </w:r>
      <w:r>
        <w:rPr>
          <w:rFonts w:hint="eastAsia" w:ascii="宋体" w:hAnsi="宋体" w:eastAsia="宋体" w:cs="宋体"/>
          <w:szCs w:val="21"/>
        </w:rPr>
        <w:t>协同系统的惯量响应</w:t>
      </w:r>
    </w:p>
    <w:p w14:paraId="524664E8">
      <w:pPr>
        <w:pStyle w:val="258"/>
        <w:ind w:firstLine="0" w:firstLineChars="0"/>
        <w:rPr>
          <w:rFonts w:hint="eastAsia" w:ascii="Times New Roman"/>
        </w:rPr>
      </w:pPr>
      <w:r>
        <w:rPr>
          <w:rFonts w:hint="eastAsia" w:ascii="Times New Roman"/>
        </w:rPr>
        <w:t>协同系统应通过构网型储能等设备实现虚拟同步发电机功能，并具备如下惯量响应特性：</w:t>
      </w:r>
    </w:p>
    <w:p w14:paraId="7D77AAE4">
      <w:pPr>
        <w:pStyle w:val="258"/>
        <w:ind w:firstLine="0" w:firstLineChars="0"/>
        <w:rPr>
          <w:rFonts w:hint="eastAsia" w:ascii="Times New Roman"/>
        </w:rPr>
      </w:pPr>
      <w:r>
        <w:rPr>
          <w:rFonts w:hint="eastAsia" w:ascii="Times New Roman"/>
        </w:rPr>
        <w:t>——虚拟同步发电机等效惯性时间常数 T 宜设置在 3 s～12 s 范围内，可根据电网短路容量、系统惯量水平及新能源占比等因素进行整定；</w:t>
      </w:r>
    </w:p>
    <w:p w14:paraId="793A6420">
      <w:pPr>
        <w:pStyle w:val="258"/>
        <w:ind w:firstLine="0" w:firstLineChars="0"/>
        <w:rPr>
          <w:rFonts w:hint="eastAsia" w:ascii="Times New Roman"/>
        </w:rPr>
      </w:pPr>
      <w:r>
        <w:rPr>
          <w:rFonts w:hint="eastAsia" w:ascii="Times New Roman"/>
        </w:rPr>
        <w:t>——当系统频率变化率超过惯量响应启动阈值时，协同系统应按预设的惯量响应控制策略自动调整有功功率输出，惯量响应启动时间不应大于 500 ms；</w:t>
      </w:r>
    </w:p>
    <w:p w14:paraId="0FEB16C0">
      <w:pPr>
        <w:pStyle w:val="258"/>
        <w:ind w:firstLine="0" w:firstLineChars="0"/>
        <w:rPr>
          <w:rFonts w:hint="eastAsia" w:ascii="Times New Roman"/>
        </w:rPr>
      </w:pPr>
      <w:r>
        <w:rPr>
          <w:rFonts w:hint="eastAsia" w:ascii="Times New Roman"/>
        </w:rPr>
        <w:t>——惯量响应期间协同系统有功功率变化量应与频率变化率成一定比例关系，并在控制周期内保持连续、平滑变化，不得引起新的功率振荡；</w:t>
      </w:r>
    </w:p>
    <w:p w14:paraId="13EDF9DE">
      <w:pPr>
        <w:pStyle w:val="258"/>
        <w:ind w:firstLine="0" w:firstLineChars="0"/>
        <w:rPr>
          <w:rFonts w:ascii="Times New Roman"/>
        </w:rPr>
      </w:pPr>
      <w:r>
        <w:rPr>
          <w:rFonts w:hint="eastAsia" w:ascii="Times New Roman"/>
        </w:rPr>
        <w:t>——惯量响应结束并进入稳态后，有功功率控制的允许偏差应在协同系统额定有功功率的 ±2% 以内。</w:t>
      </w:r>
    </w:p>
    <w:p w14:paraId="2AFB9124">
      <w:pPr>
        <w:pStyle w:val="258"/>
        <w:ind w:firstLine="0" w:firstLineChars="0"/>
        <w:outlineLvl w:val="2"/>
        <w:rPr>
          <w:rFonts w:hint="eastAsia" w:ascii="黑体" w:hAnsi="黑体" w:eastAsia="黑体"/>
        </w:rPr>
      </w:pPr>
      <w:r>
        <w:rPr>
          <w:rFonts w:hint="eastAsia" w:ascii="黑体" w:hAnsi="黑体" w:eastAsia="黑体"/>
        </w:rPr>
        <w:t>6.4 参数设定与容量配置</w:t>
      </w:r>
    </w:p>
    <w:p w14:paraId="20E8C685">
      <w:pPr>
        <w:pStyle w:val="258"/>
        <w:ind w:firstLine="0" w:firstLineChars="0"/>
        <w:outlineLvl w:val="2"/>
        <w:rPr>
          <w:rFonts w:hint="eastAsia" w:ascii="黑体" w:hAnsi="黑体" w:eastAsia="黑体"/>
        </w:rPr>
      </w:pPr>
      <w:r>
        <w:rPr>
          <w:rFonts w:hint="eastAsia" w:ascii="黑体" w:hAnsi="黑体" w:eastAsia="黑体"/>
        </w:rPr>
        <w:t xml:space="preserve">6.4.1 </w:t>
      </w:r>
      <w:r>
        <w:rPr>
          <w:rFonts w:hint="eastAsia" w:ascii="宋体" w:hAnsi="宋体" w:eastAsia="宋体" w:cs="宋体"/>
        </w:rPr>
        <w:t>分布式光伏与构网型储能的控制参数（包括 P–f 下垂系数、Q–V 下垂系数、惯性时间常数、阻尼系数等）应进行协同设计和整定。参数整定应保证协同系统参与一次调频、惯量响应和电压/无功调节时，能够实现适当的功率分配和良好的动态响应性能，避免不同控制环节之间产生不利耦合。</w:t>
      </w:r>
    </w:p>
    <w:p w14:paraId="17478A6E">
      <w:pPr>
        <w:pStyle w:val="258"/>
        <w:ind w:firstLine="0" w:firstLineChars="0"/>
        <w:outlineLvl w:val="2"/>
        <w:rPr>
          <w:rFonts w:hint="eastAsia" w:ascii="宋体" w:hAnsi="宋体" w:eastAsia="宋体" w:cs="宋体"/>
        </w:rPr>
      </w:pPr>
      <w:r>
        <w:rPr>
          <w:rFonts w:hint="eastAsia" w:ascii="黑体" w:hAnsi="黑体" w:eastAsia="黑体"/>
        </w:rPr>
        <w:t xml:space="preserve">6.4.2 </w:t>
      </w:r>
      <w:r>
        <w:rPr>
          <w:rFonts w:hint="eastAsia" w:ascii="宋体" w:hAnsi="宋体" w:eastAsia="宋体" w:cs="宋体"/>
        </w:rPr>
        <w:t>分布式光伏与构网型储能容量的配比应综合考虑光伏出力波动特性、电网惯量水平、一次调频需求、惯量响应时长、紧急功率支撑持续时间等因素进行优化配置。容量配比应保证：</w:t>
      </w:r>
    </w:p>
    <w:p w14:paraId="5557D5DA">
      <w:pPr>
        <w:pStyle w:val="258"/>
        <w:ind w:firstLine="0" w:firstLineChars="0"/>
        <w:outlineLvl w:val="2"/>
        <w:rPr>
          <w:rFonts w:hint="eastAsia" w:ascii="宋体" w:hAnsi="宋体" w:eastAsia="宋体" w:cs="宋体"/>
        </w:rPr>
      </w:pPr>
      <w:r>
        <w:rPr>
          <w:rFonts w:hint="eastAsia" w:ascii="宋体" w:hAnsi="宋体" w:eastAsia="宋体" w:cs="宋体"/>
        </w:rPr>
        <w:t>——在典型及最不利运行工况下，构网型储能具备满足本标准中一次调频、惯量响应及紧急功率支撑等功能的有功功率和能量容量；</w:t>
      </w:r>
    </w:p>
    <w:p w14:paraId="7EC990AA">
      <w:pPr>
        <w:pStyle w:val="258"/>
        <w:ind w:firstLine="0" w:firstLineChars="0"/>
        <w:outlineLvl w:val="2"/>
        <w:rPr>
          <w:rFonts w:hint="eastAsia" w:ascii="宋体" w:hAnsi="宋体" w:eastAsia="宋体" w:cs="宋体"/>
        </w:rPr>
      </w:pPr>
      <w:r>
        <w:rPr>
          <w:rFonts w:hint="eastAsia" w:ascii="宋体" w:hAnsi="宋体" w:eastAsia="宋体" w:cs="宋体"/>
        </w:rPr>
        <w:t>——暂态过程中功率分配合理，不出现构网型储能过载或饱和导致的频率、电压大幅波动；</w:t>
      </w:r>
    </w:p>
    <w:p w14:paraId="2D220DA8">
      <w:pPr>
        <w:pStyle w:val="258"/>
        <w:ind w:firstLine="0" w:firstLineChars="0"/>
        <w:outlineLvl w:val="2"/>
        <w:rPr>
          <w:rFonts w:hint="eastAsia" w:ascii="黑体" w:hAnsi="黑体" w:eastAsia="黑体"/>
        </w:rPr>
      </w:pPr>
      <w:r>
        <w:rPr>
          <w:rFonts w:hint="eastAsia" w:ascii="宋体" w:hAnsi="宋体" w:eastAsia="宋体" w:cs="宋体"/>
        </w:rPr>
        <w:t>——不同接入场景下，应通过仿真和必要的现场试验，对容量配比方案进行校核和验证。</w:t>
      </w:r>
    </w:p>
    <w:p w14:paraId="4CDA9E7F">
      <w:pPr>
        <w:pStyle w:val="258"/>
        <w:ind w:firstLine="0" w:firstLineChars="0"/>
        <w:outlineLvl w:val="2"/>
        <w:rPr>
          <w:rFonts w:hint="eastAsia" w:ascii="黑体" w:hAnsi="黑体" w:eastAsia="黑体"/>
        </w:rPr>
      </w:pPr>
      <w:r>
        <w:rPr>
          <w:rFonts w:hint="eastAsia" w:ascii="黑体" w:hAnsi="黑体" w:eastAsia="黑体"/>
        </w:rPr>
        <w:t>6.5 预测与响应策略</w:t>
      </w:r>
    </w:p>
    <w:p w14:paraId="15416AFB">
      <w:pPr>
        <w:pStyle w:val="258"/>
        <w:ind w:firstLine="0" w:firstLineChars="0"/>
        <w:outlineLvl w:val="2"/>
        <w:rPr>
          <w:rFonts w:hint="eastAsia" w:ascii="黑体" w:hAnsi="黑体" w:eastAsia="黑体"/>
        </w:rPr>
      </w:pPr>
      <w:r>
        <w:rPr>
          <w:rFonts w:hint="eastAsia" w:ascii="黑体" w:hAnsi="黑体" w:eastAsia="黑体"/>
        </w:rPr>
        <w:t xml:space="preserve">6.5.1 </w:t>
      </w:r>
      <w:r>
        <w:rPr>
          <w:rFonts w:hint="eastAsia" w:ascii="宋体" w:hAnsi="宋体" w:eastAsia="宋体" w:cs="宋体"/>
        </w:rPr>
        <w:t>协同系统宜配置短期频率与功率平衡预测功能。应结合光伏发电量预测、负荷预测、电网运行方式及外送/受入功率计划，预测未来一定时间范围内的频率变化趋势和有功功率调节需求，提前调整构网型储能的工作状态（包括 SOC 区间、备用容量和充放电功率限值），提高系统对频率扰动的预控能力。</w:t>
      </w:r>
    </w:p>
    <w:p w14:paraId="2FB863A1">
      <w:pPr>
        <w:pStyle w:val="258"/>
        <w:ind w:firstLine="0" w:firstLineChars="0"/>
        <w:outlineLvl w:val="2"/>
        <w:rPr>
          <w:rFonts w:hint="eastAsia" w:ascii="黑体" w:hAnsi="黑体" w:eastAsia="黑体"/>
        </w:rPr>
      </w:pPr>
    </w:p>
    <w:p w14:paraId="41F21D5D">
      <w:pPr>
        <w:pStyle w:val="258"/>
        <w:ind w:firstLine="0" w:firstLineChars="0"/>
        <w:outlineLvl w:val="2"/>
        <w:rPr>
          <w:rFonts w:hint="eastAsia" w:ascii="宋体" w:hAnsi="宋体" w:eastAsia="宋体" w:cs="宋体"/>
        </w:rPr>
      </w:pPr>
      <w:r>
        <w:rPr>
          <w:rFonts w:hint="eastAsia" w:ascii="黑体" w:hAnsi="黑体" w:eastAsia="黑体"/>
        </w:rPr>
        <w:t xml:space="preserve">6.5.2 </w:t>
      </w:r>
      <w:r>
        <w:rPr>
          <w:rFonts w:hint="eastAsia" w:ascii="宋体" w:hAnsi="宋体" w:eastAsia="宋体" w:cs="宋体"/>
        </w:rPr>
        <w:t>协同系统应采用多阶段有功频率控制策略，将频率偏差的应对划分为多个阶段，包括初始响应阶段、调节阶段和稳定阶段：</w:t>
      </w:r>
    </w:p>
    <w:p w14:paraId="3969B60D">
      <w:pPr>
        <w:pStyle w:val="258"/>
        <w:ind w:firstLine="0" w:firstLineChars="0"/>
        <w:outlineLvl w:val="2"/>
        <w:rPr>
          <w:rFonts w:hint="eastAsia" w:ascii="宋体" w:hAnsi="宋体" w:eastAsia="宋体" w:cs="宋体"/>
        </w:rPr>
      </w:pPr>
      <w:r>
        <w:rPr>
          <w:rFonts w:hint="eastAsia" w:ascii="宋体" w:hAnsi="宋体" w:eastAsia="宋体" w:cs="宋体"/>
        </w:rPr>
        <w:t>——在初始响应阶段，由构网型储能优先通过惯量响应和快速一次调频实现快速放电或充电，抑制频率快速变化；</w:t>
      </w:r>
    </w:p>
    <w:p w14:paraId="511EDC51">
      <w:pPr>
        <w:pStyle w:val="258"/>
        <w:ind w:firstLine="0" w:firstLineChars="0"/>
        <w:outlineLvl w:val="2"/>
        <w:rPr>
          <w:rFonts w:hint="eastAsia" w:ascii="宋体" w:hAnsi="宋体" w:eastAsia="宋体" w:cs="宋体"/>
        </w:rPr>
      </w:pPr>
      <w:r>
        <w:rPr>
          <w:rFonts w:hint="eastAsia" w:ascii="宋体" w:hAnsi="宋体" w:eastAsia="宋体" w:cs="宋体"/>
        </w:rPr>
        <w:t>——在调节阶段，通过 P–f 下垂控制和上级 AGC/有功控制指令，细化构网型储能及分布式光伏的有功功率分配，使系统频率逐步向目标值收敛；</w:t>
      </w:r>
    </w:p>
    <w:p w14:paraId="4569089A">
      <w:pPr>
        <w:pStyle w:val="258"/>
        <w:ind w:firstLine="0" w:firstLineChars="0"/>
        <w:outlineLvl w:val="2"/>
        <w:rPr>
          <w:rFonts w:hint="eastAsia" w:ascii="宋体" w:hAnsi="宋体" w:eastAsia="宋体" w:cs="宋体"/>
        </w:rPr>
      </w:pPr>
      <w:r>
        <w:rPr>
          <w:rFonts w:hint="eastAsia" w:ascii="宋体" w:hAnsi="宋体" w:eastAsia="宋体" w:cs="宋体"/>
        </w:rPr>
        <w:t>——在稳定阶段，协同系统将有功功率调整至新的平衡点，并根据运行方式对储能 SOC 和出力水平进行再优化，保持频率和功率在允许偏差范围内长期稳定运行。</w:t>
      </w:r>
    </w:p>
    <w:p w14:paraId="4E46EBB2">
      <w:pPr>
        <w:pStyle w:val="259"/>
        <w:jc w:val="left"/>
        <w:outlineLvl w:val="0"/>
        <w:rPr>
          <w:rFonts w:ascii="Times New Roman"/>
          <w:szCs w:val="21"/>
        </w:rPr>
      </w:pPr>
      <w:bookmarkStart w:id="44" w:name="_Toc180587400"/>
      <w:r>
        <w:rPr>
          <w:rFonts w:hint="eastAsia" w:ascii="Times New Roman"/>
          <w:szCs w:val="21"/>
        </w:rPr>
        <w:t>暂态稳定性</w:t>
      </w:r>
      <w:bookmarkEnd w:id="44"/>
    </w:p>
    <w:p w14:paraId="302F2CA6">
      <w:pPr>
        <w:pStyle w:val="258"/>
        <w:ind w:firstLine="0" w:firstLineChars="0"/>
        <w:outlineLvl w:val="1"/>
        <w:rPr>
          <w:rFonts w:hint="eastAsia" w:ascii="黑体" w:hAnsi="黑体" w:eastAsia="黑体" w:cs="黑体"/>
          <w:szCs w:val="21"/>
        </w:rPr>
      </w:pPr>
      <w:r>
        <w:rPr>
          <w:rFonts w:hint="eastAsia" w:ascii="黑体" w:hAnsi="黑体" w:eastAsia="黑体" w:cs="黑体"/>
          <w:szCs w:val="21"/>
        </w:rPr>
        <w:t>7.1 低电压穿越</w:t>
      </w:r>
    </w:p>
    <w:p w14:paraId="624A1BF0">
      <w:pPr>
        <w:pStyle w:val="258"/>
        <w:ind w:firstLine="0" w:firstLineChars="0"/>
        <w:outlineLvl w:val="2"/>
        <w:rPr>
          <w:rFonts w:ascii="Times New Roman"/>
          <w:szCs w:val="21"/>
        </w:rPr>
      </w:pPr>
      <w:r>
        <w:rPr>
          <w:rFonts w:hint="eastAsia" w:ascii="黑体" w:hAnsi="黑体" w:eastAsia="黑体"/>
          <w:szCs w:val="21"/>
        </w:rPr>
        <w:t>7.1.1</w:t>
      </w:r>
      <w:r>
        <w:rPr>
          <w:rFonts w:ascii="Times New Roman"/>
          <w:szCs w:val="21"/>
        </w:rPr>
        <w:t>通过低压配电网接入的分布式光伏和构网型储能协同系统应具备如图3所示的低电压穿越能力。</w:t>
      </w:r>
    </w:p>
    <w:p w14:paraId="01B59F0F">
      <w:pPr>
        <w:pStyle w:val="258"/>
        <w:ind w:firstLine="420"/>
        <w:rPr>
          <w:rFonts w:ascii="Times New Roman"/>
          <w:szCs w:val="21"/>
        </w:rPr>
      </w:pPr>
      <w:r>
        <w:rPr>
          <w:rFonts w:ascii="Times New Roman"/>
          <w:szCs w:val="21"/>
        </w:rPr>
        <w:t>1）协同系统并网点电压跌至0时，分布式光伏和构网型储能应能够不脱网连续运行 150 ms；</w:t>
      </w:r>
    </w:p>
    <w:p w14:paraId="2E3B1132">
      <w:pPr>
        <w:pStyle w:val="258"/>
        <w:ind w:firstLine="420"/>
        <w:rPr>
          <w:rFonts w:ascii="Times New Roman"/>
          <w:szCs w:val="21"/>
        </w:rPr>
      </w:pPr>
      <w:r>
        <w:rPr>
          <w:rFonts w:ascii="Times New Roman"/>
          <w:szCs w:val="21"/>
        </w:rPr>
        <w:t>2）协同系统并网点电压跌至标称电压的20%时，分布式光伏和构网型储能应能够不脱网连续运行625ms；</w:t>
      </w:r>
    </w:p>
    <w:p w14:paraId="6D6F31A1">
      <w:pPr>
        <w:pStyle w:val="258"/>
        <w:ind w:firstLine="420"/>
        <w:rPr>
          <w:rFonts w:ascii="Times New Roman"/>
          <w:szCs w:val="21"/>
        </w:rPr>
      </w:pPr>
      <w:r>
        <w:rPr>
          <w:rFonts w:ascii="Times New Roman"/>
          <w:szCs w:val="21"/>
        </w:rPr>
        <w:t>3）协同系统并网点电压跌至标称电压的20%以上至90%时, 分布式光伏和构网型储能应能</w:t>
      </w:r>
      <w:bookmarkStart w:id="45" w:name="_GoBack"/>
      <w:bookmarkEnd w:id="45"/>
      <w:r>
        <w:rPr>
          <w:rFonts w:hint="eastAsia" w:ascii="Times New Roman"/>
          <w:szCs w:val="21"/>
        </w:rPr>
        <w:t>在图3所示的阴影区域内不脱网连续运行</w:t>
      </w:r>
      <w:r>
        <w:rPr>
          <w:rFonts w:ascii="Times New Roman"/>
          <w:szCs w:val="21"/>
        </w:rPr>
        <w:t>。</w:t>
      </w:r>
    </w:p>
    <w:p w14:paraId="7A5DB67E">
      <w:pPr>
        <w:pStyle w:val="258"/>
        <w:ind w:firstLine="0" w:firstLineChars="0"/>
        <w:jc w:val="center"/>
      </w:pPr>
      <w:r>
        <w:rPr>
          <w:rFonts w:hint="eastAsia"/>
        </w:rPr>
        <w:object>
          <v:shape id="_x0000_i1032" o:spt="75" type="#_x0000_t75" style="height:219.55pt;width:363.5pt;" o:ole="t" filled="f" o:preferrelative="t" stroked="f" coordsize="21600,21600">
            <v:path/>
            <v:fill on="f" focussize="0,0"/>
            <v:stroke on="f" joinstyle="miter"/>
            <v:imagedata r:id="rId28" o:title=""/>
            <o:lock v:ext="edit" aspectratio="t"/>
            <w10:wrap type="none"/>
            <w10:anchorlock/>
          </v:shape>
          <o:OLEObject Type="Embed" ProgID="Visio.Drawing.15" ShapeID="_x0000_i1032" DrawAspect="Content" ObjectID="_1468075732" r:id="rId27">
            <o:LockedField>false</o:LockedField>
          </o:OLEObject>
        </w:object>
      </w:r>
    </w:p>
    <w:p w14:paraId="05D076B2">
      <w:pPr>
        <w:pStyle w:val="258"/>
        <w:ind w:firstLine="0" w:firstLineChars="0"/>
        <w:jc w:val="center"/>
      </w:pPr>
      <w:r>
        <w:rPr>
          <w:rFonts w:hint="eastAsia"/>
        </w:rPr>
        <w:t>图</w:t>
      </w:r>
      <w:r>
        <w:rPr>
          <w:rFonts w:ascii="Times New Roman"/>
        </w:rPr>
        <w:t>3</w:t>
      </w:r>
      <w:r>
        <w:rPr>
          <w:rFonts w:hint="eastAsia"/>
        </w:rPr>
        <w:t xml:space="preserve"> 协同系统的低电压穿越要求</w:t>
      </w:r>
    </w:p>
    <w:p w14:paraId="5174C500">
      <w:pPr>
        <w:pStyle w:val="258"/>
        <w:ind w:firstLine="0" w:firstLineChars="0"/>
        <w:outlineLvl w:val="2"/>
        <w:rPr>
          <w:rFonts w:ascii="Times New Roman"/>
          <w:szCs w:val="21"/>
        </w:rPr>
      </w:pPr>
      <w:r>
        <w:rPr>
          <w:rFonts w:hint="eastAsia" w:ascii="黑体" w:hAnsi="黑体" w:eastAsia="黑体"/>
          <w:szCs w:val="21"/>
        </w:rPr>
        <w:t>7.1.2</w:t>
      </w:r>
      <w:r>
        <w:rPr>
          <w:rFonts w:hint="eastAsia" w:ascii="Times New Roman"/>
          <w:szCs w:val="21"/>
        </w:rPr>
        <w:t xml:space="preserve"> 对电力系统故障期间没有与配电网断开的用户侧分布式光伏与构网型储能，自并网点电压恢复至额定电压的90%起，应具有有功功率快速恢复能力，有功功率恢复的变化率宜不小于每秒30%额定有功功率。</w:t>
      </w:r>
    </w:p>
    <w:p w14:paraId="3F6A0434">
      <w:pPr>
        <w:pStyle w:val="258"/>
        <w:ind w:firstLine="0" w:firstLineChars="0"/>
        <w:outlineLvl w:val="2"/>
        <w:rPr>
          <w:rFonts w:ascii="Times New Roman"/>
        </w:rPr>
      </w:pPr>
      <w:r>
        <w:rPr>
          <w:rFonts w:hint="eastAsia" w:ascii="黑体" w:hAnsi="黑体" w:eastAsia="黑体"/>
        </w:rPr>
        <w:t>7.1.3</w:t>
      </w:r>
      <w:r>
        <w:rPr>
          <w:rFonts w:hint="eastAsia"/>
        </w:rPr>
        <w:t xml:space="preserve"> 配网侧接入的协同系统应至少额能承受连续两次低电压穿越能力，其中相邻两次低电压穿越之间的时间间隔可根据其接入配电网的故障重合闸动作时间确定，约为</w:t>
      </w:r>
      <w:r>
        <w:rPr>
          <w:rFonts w:ascii="Times New Roman"/>
        </w:rPr>
        <w:t>0.2~2s。</w:t>
      </w:r>
    </w:p>
    <w:p w14:paraId="3E0EBBE6">
      <w:pPr>
        <w:pStyle w:val="258"/>
        <w:ind w:firstLine="0" w:firstLineChars="0"/>
      </w:pPr>
    </w:p>
    <w:p w14:paraId="48CF6231">
      <w:pPr>
        <w:pStyle w:val="258"/>
        <w:ind w:firstLine="0" w:firstLineChars="0"/>
        <w:outlineLvl w:val="1"/>
        <w:rPr>
          <w:rFonts w:hint="eastAsia" w:ascii="黑体" w:hAnsi="黑体" w:eastAsia="黑体" w:cs="黑体"/>
          <w:szCs w:val="21"/>
        </w:rPr>
      </w:pPr>
      <w:r>
        <w:rPr>
          <w:rFonts w:hint="eastAsia" w:ascii="黑体" w:hAnsi="黑体" w:eastAsia="黑体" w:cs="黑体"/>
          <w:szCs w:val="21"/>
        </w:rPr>
        <w:t>7.2高电压穿越</w:t>
      </w:r>
    </w:p>
    <w:p w14:paraId="1BB704A4">
      <w:pPr>
        <w:pStyle w:val="258"/>
        <w:ind w:firstLine="0" w:firstLineChars="0"/>
        <w:outlineLvl w:val="2"/>
        <w:rPr>
          <w:rFonts w:hint="eastAsia" w:hAnsi="宋体" w:cs="黑体"/>
          <w:szCs w:val="21"/>
        </w:rPr>
      </w:pPr>
      <w:r>
        <w:rPr>
          <w:rFonts w:hint="eastAsia" w:ascii="黑体" w:hAnsi="黑体" w:eastAsia="黑体" w:cs="黑体"/>
          <w:szCs w:val="21"/>
        </w:rPr>
        <w:t xml:space="preserve">7.2.1 </w:t>
      </w:r>
      <w:r>
        <w:rPr>
          <w:rFonts w:hint="eastAsia" w:hAnsi="宋体" w:cs="黑体"/>
          <w:szCs w:val="21"/>
        </w:rPr>
        <w:t>通过配电网接入电力系统的分布式光伏和构网型纯能协同系统应在图4所示的阴影范围内不脱网连续运行，应满足下列要求：</w:t>
      </w:r>
    </w:p>
    <w:p w14:paraId="6E75632C">
      <w:pPr>
        <w:pStyle w:val="258"/>
        <w:ind w:firstLine="420"/>
        <w:rPr>
          <w:rFonts w:ascii="Times New Roman"/>
          <w:szCs w:val="21"/>
        </w:rPr>
      </w:pPr>
      <w:r>
        <w:rPr>
          <w:rFonts w:ascii="Times New Roman"/>
          <w:szCs w:val="21"/>
        </w:rPr>
        <w:t>1）协同系统并网点电压升高至额定电压的125%~130%时,能不脱网连续运行不少于500 ms</w:t>
      </w:r>
      <w:r>
        <w:rPr>
          <w:rFonts w:hint="eastAsia" w:ascii="Times New Roman"/>
          <w:szCs w:val="21"/>
        </w:rPr>
        <w:t>；</w:t>
      </w:r>
    </w:p>
    <w:p w14:paraId="487E4E3F">
      <w:pPr>
        <w:pStyle w:val="258"/>
        <w:ind w:firstLine="420"/>
        <w:rPr>
          <w:rFonts w:ascii="Times New Roman"/>
          <w:szCs w:val="21"/>
        </w:rPr>
      </w:pPr>
      <w:r>
        <w:rPr>
          <w:rFonts w:ascii="Times New Roman"/>
          <w:szCs w:val="21"/>
        </w:rPr>
        <w:t>2）协同系统并网点电压升高至额定电压的120%~125%时,能不脱网连续运行不少于1 s;</w:t>
      </w:r>
    </w:p>
    <w:p w14:paraId="2A625A0A">
      <w:pPr>
        <w:pStyle w:val="258"/>
        <w:ind w:firstLine="420"/>
        <w:rPr>
          <w:rFonts w:ascii="Times New Roman"/>
          <w:szCs w:val="21"/>
        </w:rPr>
      </w:pPr>
      <w:r>
        <w:rPr>
          <w:rFonts w:ascii="Times New Roman"/>
          <w:szCs w:val="21"/>
        </w:rPr>
        <w:t>3）协同系统并网点电压升高至额定电压的110%~120%时,能不脱网连续运行不少于10 s。</w:t>
      </w:r>
    </w:p>
    <w:p w14:paraId="2FC91C53">
      <w:pPr>
        <w:pStyle w:val="258"/>
        <w:ind w:firstLine="0" w:firstLineChars="0"/>
        <w:jc w:val="center"/>
      </w:pPr>
      <w:r>
        <w:rPr>
          <w:rFonts w:hint="eastAsia"/>
        </w:rPr>
        <w:object>
          <v:shape id="_x0000_i1033" o:spt="75" type="#_x0000_t75" style="height:204pt;width:398.5pt;" o:ole="t" filled="f" o:preferrelative="t" stroked="f" coordsize="21600,21600">
            <v:path/>
            <v:fill on="f" focussize="0,0"/>
            <v:stroke on="f" joinstyle="miter"/>
            <v:imagedata r:id="rId30" o:title=""/>
            <o:lock v:ext="edit" aspectratio="t"/>
            <w10:wrap type="none"/>
            <w10:anchorlock/>
          </v:shape>
          <o:OLEObject Type="Embed" ProgID="Visio.Drawing.15" ShapeID="_x0000_i1033" DrawAspect="Content" ObjectID="_1468075733" r:id="rId29">
            <o:LockedField>false</o:LockedField>
          </o:OLEObject>
        </w:object>
      </w:r>
    </w:p>
    <w:p w14:paraId="1AA08A4E">
      <w:pPr>
        <w:pStyle w:val="258"/>
        <w:ind w:firstLine="0" w:firstLineChars="0"/>
        <w:jc w:val="center"/>
      </w:pPr>
      <w:r>
        <w:rPr>
          <w:rFonts w:hint="eastAsia"/>
        </w:rPr>
        <w:t>图</w:t>
      </w:r>
      <w:r>
        <w:rPr>
          <w:rFonts w:ascii="Times New Roman"/>
        </w:rPr>
        <w:t xml:space="preserve">4 </w:t>
      </w:r>
      <w:r>
        <w:rPr>
          <w:rFonts w:hint="eastAsia"/>
        </w:rPr>
        <w:t>协同系统高电压穿越要求</w:t>
      </w:r>
    </w:p>
    <w:p w14:paraId="0A8E4F10">
      <w:pPr>
        <w:pStyle w:val="258"/>
        <w:ind w:firstLine="0" w:firstLineChars="0"/>
        <w:outlineLvl w:val="2"/>
        <w:rPr>
          <w:rFonts w:hint="eastAsia" w:ascii="黑体" w:hAnsi="黑体" w:eastAsia="黑体" w:cs="黑体"/>
          <w:szCs w:val="21"/>
        </w:rPr>
      </w:pPr>
      <w:r>
        <w:rPr>
          <w:rFonts w:hint="eastAsia" w:ascii="黑体" w:hAnsi="黑体" w:eastAsia="黑体" w:cs="黑体"/>
          <w:szCs w:val="21"/>
        </w:rPr>
        <w:t xml:space="preserve">7.2.2 </w:t>
      </w:r>
      <w:r>
        <w:rPr>
          <w:rFonts w:hint="eastAsia" w:cs="黑体" w:asciiTheme="minorEastAsia" w:hAnsiTheme="minorEastAsia" w:eastAsiaTheme="minorEastAsia"/>
          <w:szCs w:val="21"/>
        </w:rPr>
        <w:t>协同系统应具有至少连续三次高电压穿越能力</w:t>
      </w:r>
    </w:p>
    <w:p w14:paraId="09B3A1B6">
      <w:pPr>
        <w:pStyle w:val="258"/>
        <w:ind w:firstLine="0" w:firstLineChars="0"/>
        <w:outlineLvl w:val="1"/>
        <w:rPr>
          <w:rFonts w:hint="eastAsia" w:ascii="黑体" w:hAnsi="黑体" w:eastAsia="黑体" w:cs="黑体"/>
          <w:szCs w:val="21"/>
        </w:rPr>
      </w:pPr>
      <w:r>
        <w:rPr>
          <w:rFonts w:hint="eastAsia" w:ascii="黑体" w:hAnsi="黑体" w:eastAsia="黑体" w:cs="黑体"/>
          <w:szCs w:val="21"/>
        </w:rPr>
        <w:t>7.3故障下的暂态协同</w:t>
      </w:r>
    </w:p>
    <w:p w14:paraId="562AC1D6">
      <w:pPr>
        <w:pStyle w:val="258"/>
        <w:ind w:firstLine="0" w:firstLineChars="0"/>
        <w:outlineLvl w:val="2"/>
        <w:rPr>
          <w:rFonts w:hint="eastAsia" w:cs="黑体" w:asciiTheme="minorEastAsia" w:hAnsiTheme="minorEastAsia" w:eastAsiaTheme="minorEastAsia"/>
          <w:szCs w:val="21"/>
        </w:rPr>
      </w:pPr>
      <w:r>
        <w:rPr>
          <w:rFonts w:hint="eastAsia" w:ascii="黑体" w:hAnsi="黑体" w:eastAsia="黑体" w:cs="黑体"/>
          <w:szCs w:val="21"/>
        </w:rPr>
        <w:t xml:space="preserve">7.3.1 </w:t>
      </w:r>
      <w:r>
        <w:rPr>
          <w:rFonts w:hint="eastAsia" w:cs="黑体" w:asciiTheme="minorEastAsia" w:hAnsiTheme="minorEastAsia" w:eastAsiaTheme="minorEastAsia"/>
          <w:szCs w:val="21"/>
        </w:rPr>
        <w:t>当配电网发生短路故障或严重电压、频率扰动时，分布式光伏与构网型储能协同系统应在满足 7.1、7.2 规定的低电压穿越和高电压穿越要求的前提下保持并网运行。故障期间，构网型储能应优先提供电压和频率支撑，分布式光伏应限制有功出力并按电压跌落程度注入无功电流，避免因电流冲击和功率振荡引发系统不稳定。</w:t>
      </w:r>
    </w:p>
    <w:p w14:paraId="295AF5C6">
      <w:pPr>
        <w:pStyle w:val="258"/>
        <w:ind w:firstLine="0" w:firstLineChars="0"/>
        <w:outlineLvl w:val="2"/>
        <w:rPr>
          <w:rFonts w:hint="eastAsia" w:ascii="黑体" w:hAnsi="黑体" w:eastAsia="黑体" w:cs="黑体"/>
          <w:szCs w:val="21"/>
        </w:rPr>
      </w:pPr>
      <w:r>
        <w:rPr>
          <w:rFonts w:hint="eastAsia" w:ascii="黑体" w:hAnsi="黑体" w:eastAsia="黑体" w:cs="黑体"/>
          <w:szCs w:val="21"/>
        </w:rPr>
        <w:t xml:space="preserve">7.3.2 </w:t>
      </w:r>
      <w:r>
        <w:rPr>
          <w:rFonts w:hint="eastAsia" w:ascii="宋体" w:hAnsi="宋体" w:eastAsia="宋体" w:cs="宋体"/>
          <w:szCs w:val="21"/>
        </w:rPr>
        <w:t>故障恢复阶段，分布式光伏应随并网点电压恢复过程持续注入无功电流，支持电压快速恢复至允许范围；构网型储能应完成运行模式（如并网/孤岛、虚拟同步机/常规并网控制等）的平滑切换，运行模式切换时间应尽可能缩短，一般宜不大于 500 ms，且切换过程中不得引起并网点电压、频率的明显阶跃和越限。</w:t>
      </w:r>
    </w:p>
    <w:p w14:paraId="6EA1A6F1">
      <w:pPr>
        <w:pStyle w:val="258"/>
        <w:ind w:firstLine="0" w:firstLineChars="0"/>
        <w:outlineLvl w:val="2"/>
        <w:rPr>
          <w:rFonts w:hint="eastAsia" w:ascii="黑体" w:hAnsi="黑体" w:eastAsia="黑体" w:cs="黑体"/>
          <w:szCs w:val="21"/>
        </w:rPr>
      </w:pPr>
      <w:r>
        <w:rPr>
          <w:rFonts w:hint="eastAsia" w:ascii="黑体" w:hAnsi="黑体" w:eastAsia="黑体" w:cs="黑体"/>
          <w:szCs w:val="21"/>
        </w:rPr>
        <w:t xml:space="preserve">7.3.3 </w:t>
      </w:r>
      <w:r>
        <w:rPr>
          <w:rFonts w:hint="eastAsia" w:ascii="宋体" w:hAnsi="宋体" w:eastAsia="宋体" w:cs="宋体"/>
          <w:szCs w:val="21"/>
        </w:rPr>
        <w:t>故障期间及故障刚恢复阶段，构网型储能应能够自动接收并执行降功率、限功率或功率保持等指令，必要时与分布式光伏有功功率下调或限额控制协同配合，避免协同系统在故障恢复时同时大幅升功率，防止出现二次频率跌落、电压反弹或功率振荡现象，保证联合系统的暂态稳定。</w:t>
      </w:r>
    </w:p>
    <w:p w14:paraId="0131ACC5">
      <w:pPr>
        <w:pStyle w:val="258"/>
        <w:ind w:firstLine="0" w:firstLineChars="0"/>
        <w:outlineLvl w:val="2"/>
        <w:rPr>
          <w:rFonts w:hint="eastAsia" w:ascii="黑体" w:hAnsi="黑体" w:eastAsia="黑体" w:cs="黑体"/>
          <w:szCs w:val="21"/>
        </w:rPr>
      </w:pPr>
      <w:r>
        <w:rPr>
          <w:rFonts w:hint="eastAsia" w:ascii="黑体" w:hAnsi="黑体" w:eastAsia="黑体" w:cs="黑体"/>
          <w:szCs w:val="21"/>
        </w:rPr>
        <w:t xml:space="preserve">7.3.4 </w:t>
      </w:r>
      <w:r>
        <w:rPr>
          <w:rFonts w:hint="eastAsia" w:ascii="宋体" w:hAnsi="宋体" w:eastAsia="宋体" w:cs="宋体"/>
          <w:szCs w:val="21"/>
        </w:rPr>
        <w:t>协同系统在故障穿越及故障恢复全过程中，有功功率和无功功率的变化率应进行约束和优化设置，恢复并网后的有功功率爬坡策略应与电网调度机构相关规定一致，避免因恢复过快或变化率过大导致线路过载、设备越限或机组间功率振荡。</w:t>
      </w:r>
    </w:p>
    <w:sectPr>
      <w:headerReference r:id="rId9" w:type="default"/>
      <w:footerReference r:id="rId11" w:type="default"/>
      <w:headerReference r:id="rId10" w:type="even"/>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E1DB">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8BD2104">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C249">
    <w:pPr>
      <w:pStyle w:val="60"/>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16</w:t>
    </w:r>
    <w:r>
      <w:rPr>
        <w:rStyle w:val="234"/>
      </w:rPr>
      <w:fldChar w:fldCharType="end"/>
    </w:r>
  </w:p>
  <w:p w14:paraId="68CC12A3">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910">
    <w:pPr>
      <w:pStyle w:val="6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9316">
    <w:pPr>
      <w:pStyle w:val="60"/>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2B83">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DBFA">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9650">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69BF">
    <w:pPr>
      <w:pStyle w:val="253"/>
      <w:wordWrap w:val="0"/>
    </w:pPr>
    <w:r>
      <w:rPr>
        <w:rFonts w:hint="eastAsia"/>
      </w:rPr>
      <w:t>T</w:t>
    </w:r>
    <w:r>
      <w:t>/</w:t>
    </w:r>
    <w:r>
      <w:rPr>
        <w:rFonts w:hint="eastAsia"/>
      </w:rPr>
      <w:t xml:space="preserve">CSEE </w:t>
    </w:r>
    <w:r>
      <w:rPr>
        <w:rFonts w:hint="eastAsia" w:hAnsi="黑体"/>
      </w:rPr>
      <w:t xml:space="preserve"> XXXX-YYYY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6A89">
    <w:pPr>
      <w:pStyle w:val="253"/>
      <w:spacing w:before="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5"/>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41"/>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2"/>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default"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7">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7"/>
  </w:num>
  <w:num w:numId="16">
    <w:abstractNumId w:val="12"/>
  </w:num>
  <w:num w:numId="17">
    <w:abstractNumId w:val="19"/>
  </w:num>
  <w:num w:numId="18">
    <w:abstractNumId w:val="22"/>
  </w:num>
  <w:num w:numId="19">
    <w:abstractNumId w:val="11"/>
  </w:num>
  <w:num w:numId="20">
    <w:abstractNumId w:val="21"/>
  </w:num>
  <w:num w:numId="21">
    <w:abstractNumId w:val="25"/>
  </w:num>
  <w:num w:numId="22">
    <w:abstractNumId w:val="10"/>
  </w:num>
  <w:num w:numId="23">
    <w:abstractNumId w:val="18"/>
  </w:num>
  <w:num w:numId="24">
    <w:abstractNumId w:val="20"/>
  </w:num>
  <w:num w:numId="25">
    <w:abstractNumId w:val="26"/>
  </w:num>
  <w:num w:numId="26">
    <w:abstractNumId w:val="13"/>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attachedTemplate r:id="rId1"/>
  <w:documentProtection w:enforcement="0"/>
  <w:defaultTabStop w:val="2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1MGJhZDFlNTAxZWRjZWNkZjIyMjBhYWZhNTNhZTQifQ=="/>
  </w:docVars>
  <w:rsids>
    <w:rsidRoot w:val="00BA7C85"/>
    <w:rsid w:val="000059B7"/>
    <w:rsid w:val="00006548"/>
    <w:rsid w:val="00020D18"/>
    <w:rsid w:val="00023F1B"/>
    <w:rsid w:val="00027BD3"/>
    <w:rsid w:val="00031EEE"/>
    <w:rsid w:val="000327BE"/>
    <w:rsid w:val="00036B39"/>
    <w:rsid w:val="000372EA"/>
    <w:rsid w:val="0003762E"/>
    <w:rsid w:val="00040BA7"/>
    <w:rsid w:val="00040BBF"/>
    <w:rsid w:val="00043421"/>
    <w:rsid w:val="00044B93"/>
    <w:rsid w:val="00044D1E"/>
    <w:rsid w:val="00050E91"/>
    <w:rsid w:val="00053FB5"/>
    <w:rsid w:val="000559B7"/>
    <w:rsid w:val="0006739E"/>
    <w:rsid w:val="00070D35"/>
    <w:rsid w:val="00075DD9"/>
    <w:rsid w:val="000768C7"/>
    <w:rsid w:val="00076F59"/>
    <w:rsid w:val="00087B62"/>
    <w:rsid w:val="0009271F"/>
    <w:rsid w:val="00093689"/>
    <w:rsid w:val="0009648F"/>
    <w:rsid w:val="00096586"/>
    <w:rsid w:val="000A3504"/>
    <w:rsid w:val="000A568D"/>
    <w:rsid w:val="000A6E5F"/>
    <w:rsid w:val="000B6461"/>
    <w:rsid w:val="000B6ECB"/>
    <w:rsid w:val="000C21DC"/>
    <w:rsid w:val="000C2881"/>
    <w:rsid w:val="000C2EFF"/>
    <w:rsid w:val="000C64FC"/>
    <w:rsid w:val="000D2D03"/>
    <w:rsid w:val="000E2B29"/>
    <w:rsid w:val="000E7B1D"/>
    <w:rsid w:val="000F1341"/>
    <w:rsid w:val="00114B6D"/>
    <w:rsid w:val="00123BF9"/>
    <w:rsid w:val="00127602"/>
    <w:rsid w:val="00144633"/>
    <w:rsid w:val="001517CF"/>
    <w:rsid w:val="00152DD3"/>
    <w:rsid w:val="00154DFA"/>
    <w:rsid w:val="00157736"/>
    <w:rsid w:val="00164C6D"/>
    <w:rsid w:val="00170B1F"/>
    <w:rsid w:val="00172236"/>
    <w:rsid w:val="00173789"/>
    <w:rsid w:val="001748CC"/>
    <w:rsid w:val="0017737E"/>
    <w:rsid w:val="001830DE"/>
    <w:rsid w:val="00187F8A"/>
    <w:rsid w:val="001900C6"/>
    <w:rsid w:val="001978F5"/>
    <w:rsid w:val="001A5BF9"/>
    <w:rsid w:val="001C2054"/>
    <w:rsid w:val="001D0914"/>
    <w:rsid w:val="001D5AA4"/>
    <w:rsid w:val="001D71BA"/>
    <w:rsid w:val="001E07C3"/>
    <w:rsid w:val="001E17E3"/>
    <w:rsid w:val="001E6DDD"/>
    <w:rsid w:val="001F0E09"/>
    <w:rsid w:val="001F724D"/>
    <w:rsid w:val="00216264"/>
    <w:rsid w:val="0022583F"/>
    <w:rsid w:val="00227E52"/>
    <w:rsid w:val="002310FD"/>
    <w:rsid w:val="00232700"/>
    <w:rsid w:val="00235CB0"/>
    <w:rsid w:val="00241AA4"/>
    <w:rsid w:val="002442CF"/>
    <w:rsid w:val="00247E6D"/>
    <w:rsid w:val="00263766"/>
    <w:rsid w:val="00264B0A"/>
    <w:rsid w:val="00267674"/>
    <w:rsid w:val="00272E1F"/>
    <w:rsid w:val="00277D91"/>
    <w:rsid w:val="00282FBE"/>
    <w:rsid w:val="00287FD8"/>
    <w:rsid w:val="002903E4"/>
    <w:rsid w:val="002917C0"/>
    <w:rsid w:val="00291C9B"/>
    <w:rsid w:val="00297955"/>
    <w:rsid w:val="00297CDD"/>
    <w:rsid w:val="002A3BE2"/>
    <w:rsid w:val="002A4DD0"/>
    <w:rsid w:val="002A68DF"/>
    <w:rsid w:val="002A6B18"/>
    <w:rsid w:val="002B37D7"/>
    <w:rsid w:val="002B778D"/>
    <w:rsid w:val="002C6C4A"/>
    <w:rsid w:val="002D19CB"/>
    <w:rsid w:val="002E08C1"/>
    <w:rsid w:val="002E3452"/>
    <w:rsid w:val="002E5F3F"/>
    <w:rsid w:val="002E7D89"/>
    <w:rsid w:val="002F1862"/>
    <w:rsid w:val="00303CA5"/>
    <w:rsid w:val="00311E2C"/>
    <w:rsid w:val="00316CBA"/>
    <w:rsid w:val="00324802"/>
    <w:rsid w:val="003308E4"/>
    <w:rsid w:val="00337CA1"/>
    <w:rsid w:val="00341615"/>
    <w:rsid w:val="00366B99"/>
    <w:rsid w:val="003749DB"/>
    <w:rsid w:val="003922A9"/>
    <w:rsid w:val="0039249C"/>
    <w:rsid w:val="00397925"/>
    <w:rsid w:val="003A06C5"/>
    <w:rsid w:val="003A4F7B"/>
    <w:rsid w:val="003B5B6F"/>
    <w:rsid w:val="003B65E2"/>
    <w:rsid w:val="003C44DC"/>
    <w:rsid w:val="003C5113"/>
    <w:rsid w:val="003C5C82"/>
    <w:rsid w:val="003D636C"/>
    <w:rsid w:val="003E198B"/>
    <w:rsid w:val="003E4714"/>
    <w:rsid w:val="003E7CE2"/>
    <w:rsid w:val="003F2DA8"/>
    <w:rsid w:val="003F603C"/>
    <w:rsid w:val="003F764E"/>
    <w:rsid w:val="00405A8A"/>
    <w:rsid w:val="00405B77"/>
    <w:rsid w:val="00406CC1"/>
    <w:rsid w:val="0041207A"/>
    <w:rsid w:val="004149CE"/>
    <w:rsid w:val="00417115"/>
    <w:rsid w:val="00431DEE"/>
    <w:rsid w:val="00436ECC"/>
    <w:rsid w:val="004377A4"/>
    <w:rsid w:val="004414E6"/>
    <w:rsid w:val="00445319"/>
    <w:rsid w:val="00447732"/>
    <w:rsid w:val="00447DDB"/>
    <w:rsid w:val="004548A9"/>
    <w:rsid w:val="004619AC"/>
    <w:rsid w:val="00461E4E"/>
    <w:rsid w:val="00463A10"/>
    <w:rsid w:val="00463C61"/>
    <w:rsid w:val="004659E0"/>
    <w:rsid w:val="00465B7B"/>
    <w:rsid w:val="00466FF2"/>
    <w:rsid w:val="00467339"/>
    <w:rsid w:val="00470981"/>
    <w:rsid w:val="004826C9"/>
    <w:rsid w:val="0048668C"/>
    <w:rsid w:val="00490088"/>
    <w:rsid w:val="004A009B"/>
    <w:rsid w:val="004A3243"/>
    <w:rsid w:val="004D0182"/>
    <w:rsid w:val="004D3C6F"/>
    <w:rsid w:val="004E13A4"/>
    <w:rsid w:val="004E4A5B"/>
    <w:rsid w:val="004F2763"/>
    <w:rsid w:val="004F43A3"/>
    <w:rsid w:val="005013C9"/>
    <w:rsid w:val="005019ED"/>
    <w:rsid w:val="0050545B"/>
    <w:rsid w:val="005101BD"/>
    <w:rsid w:val="005134E3"/>
    <w:rsid w:val="005137B1"/>
    <w:rsid w:val="00515AC9"/>
    <w:rsid w:val="00516B11"/>
    <w:rsid w:val="005175BF"/>
    <w:rsid w:val="00517D40"/>
    <w:rsid w:val="00517D92"/>
    <w:rsid w:val="00520DEA"/>
    <w:rsid w:val="00521E61"/>
    <w:rsid w:val="005272AE"/>
    <w:rsid w:val="005322CC"/>
    <w:rsid w:val="0053283F"/>
    <w:rsid w:val="00532D32"/>
    <w:rsid w:val="0053303D"/>
    <w:rsid w:val="00534928"/>
    <w:rsid w:val="00543114"/>
    <w:rsid w:val="00545827"/>
    <w:rsid w:val="0055373C"/>
    <w:rsid w:val="00557E46"/>
    <w:rsid w:val="005608D0"/>
    <w:rsid w:val="00562526"/>
    <w:rsid w:val="00565EB1"/>
    <w:rsid w:val="00573966"/>
    <w:rsid w:val="00573CAA"/>
    <w:rsid w:val="00594DAB"/>
    <w:rsid w:val="005968D5"/>
    <w:rsid w:val="00596BBE"/>
    <w:rsid w:val="005A35D5"/>
    <w:rsid w:val="005A406C"/>
    <w:rsid w:val="005D203A"/>
    <w:rsid w:val="005D4285"/>
    <w:rsid w:val="005D5966"/>
    <w:rsid w:val="005F40CC"/>
    <w:rsid w:val="005F645E"/>
    <w:rsid w:val="00601445"/>
    <w:rsid w:val="00601BF2"/>
    <w:rsid w:val="00601FE1"/>
    <w:rsid w:val="006031E1"/>
    <w:rsid w:val="00611BD0"/>
    <w:rsid w:val="0061695B"/>
    <w:rsid w:val="006270BF"/>
    <w:rsid w:val="00630366"/>
    <w:rsid w:val="00630EC5"/>
    <w:rsid w:val="00640186"/>
    <w:rsid w:val="0065094C"/>
    <w:rsid w:val="00654EBB"/>
    <w:rsid w:val="00655BDE"/>
    <w:rsid w:val="00674639"/>
    <w:rsid w:val="00677E34"/>
    <w:rsid w:val="00681844"/>
    <w:rsid w:val="00695523"/>
    <w:rsid w:val="006A01D7"/>
    <w:rsid w:val="006B643E"/>
    <w:rsid w:val="006D0200"/>
    <w:rsid w:val="006D12A2"/>
    <w:rsid w:val="006D281E"/>
    <w:rsid w:val="006D6D2B"/>
    <w:rsid w:val="006E0DAA"/>
    <w:rsid w:val="006E4DBB"/>
    <w:rsid w:val="006E740A"/>
    <w:rsid w:val="006E7E4F"/>
    <w:rsid w:val="006F1FF9"/>
    <w:rsid w:val="006F207E"/>
    <w:rsid w:val="007064A5"/>
    <w:rsid w:val="00712C19"/>
    <w:rsid w:val="007141B1"/>
    <w:rsid w:val="00715BD0"/>
    <w:rsid w:val="00727842"/>
    <w:rsid w:val="00737CA4"/>
    <w:rsid w:val="00743CC7"/>
    <w:rsid w:val="0074732A"/>
    <w:rsid w:val="007602DB"/>
    <w:rsid w:val="00762356"/>
    <w:rsid w:val="00762D17"/>
    <w:rsid w:val="00767B2F"/>
    <w:rsid w:val="00771546"/>
    <w:rsid w:val="00773A5E"/>
    <w:rsid w:val="00775E39"/>
    <w:rsid w:val="00776408"/>
    <w:rsid w:val="00777A2D"/>
    <w:rsid w:val="0078233D"/>
    <w:rsid w:val="00785F97"/>
    <w:rsid w:val="00787B67"/>
    <w:rsid w:val="00792DBE"/>
    <w:rsid w:val="00795E45"/>
    <w:rsid w:val="007A3A15"/>
    <w:rsid w:val="007A7829"/>
    <w:rsid w:val="007B224D"/>
    <w:rsid w:val="007B3CF2"/>
    <w:rsid w:val="007B3E4E"/>
    <w:rsid w:val="007C6C57"/>
    <w:rsid w:val="007C7ACE"/>
    <w:rsid w:val="007D2FAA"/>
    <w:rsid w:val="007D57EF"/>
    <w:rsid w:val="007D5A07"/>
    <w:rsid w:val="007E0206"/>
    <w:rsid w:val="007E1A72"/>
    <w:rsid w:val="007E3F4F"/>
    <w:rsid w:val="007F081F"/>
    <w:rsid w:val="007F69B9"/>
    <w:rsid w:val="0080524B"/>
    <w:rsid w:val="00811C33"/>
    <w:rsid w:val="008276C1"/>
    <w:rsid w:val="008300A4"/>
    <w:rsid w:val="00832699"/>
    <w:rsid w:val="008345DD"/>
    <w:rsid w:val="00846D16"/>
    <w:rsid w:val="00852FD6"/>
    <w:rsid w:val="00854E15"/>
    <w:rsid w:val="00862997"/>
    <w:rsid w:val="0086798F"/>
    <w:rsid w:val="008708FD"/>
    <w:rsid w:val="00876547"/>
    <w:rsid w:val="0089112B"/>
    <w:rsid w:val="008950F1"/>
    <w:rsid w:val="008A2012"/>
    <w:rsid w:val="008A6DAF"/>
    <w:rsid w:val="008B3352"/>
    <w:rsid w:val="008C0296"/>
    <w:rsid w:val="008C5347"/>
    <w:rsid w:val="008C6C85"/>
    <w:rsid w:val="008D2560"/>
    <w:rsid w:val="008D383F"/>
    <w:rsid w:val="008E1AE0"/>
    <w:rsid w:val="008E351F"/>
    <w:rsid w:val="008F1300"/>
    <w:rsid w:val="008F1552"/>
    <w:rsid w:val="00901DA3"/>
    <w:rsid w:val="0091784D"/>
    <w:rsid w:val="00917E12"/>
    <w:rsid w:val="00931D00"/>
    <w:rsid w:val="00932A82"/>
    <w:rsid w:val="009535DF"/>
    <w:rsid w:val="0095659D"/>
    <w:rsid w:val="00960310"/>
    <w:rsid w:val="00960596"/>
    <w:rsid w:val="0096456D"/>
    <w:rsid w:val="0096648C"/>
    <w:rsid w:val="009676B1"/>
    <w:rsid w:val="009721AF"/>
    <w:rsid w:val="009821C3"/>
    <w:rsid w:val="00991793"/>
    <w:rsid w:val="00995610"/>
    <w:rsid w:val="009A09E9"/>
    <w:rsid w:val="009A2C2B"/>
    <w:rsid w:val="009B1678"/>
    <w:rsid w:val="009C0704"/>
    <w:rsid w:val="009C682F"/>
    <w:rsid w:val="009D19E4"/>
    <w:rsid w:val="009D7758"/>
    <w:rsid w:val="009E0625"/>
    <w:rsid w:val="009E723F"/>
    <w:rsid w:val="009F6214"/>
    <w:rsid w:val="009F7CDF"/>
    <w:rsid w:val="00A076B8"/>
    <w:rsid w:val="00A07DA9"/>
    <w:rsid w:val="00A329C9"/>
    <w:rsid w:val="00A342E2"/>
    <w:rsid w:val="00A35C5B"/>
    <w:rsid w:val="00A37B34"/>
    <w:rsid w:val="00A40CF5"/>
    <w:rsid w:val="00A470A7"/>
    <w:rsid w:val="00A473CC"/>
    <w:rsid w:val="00A47F95"/>
    <w:rsid w:val="00A5031D"/>
    <w:rsid w:val="00A77706"/>
    <w:rsid w:val="00A82202"/>
    <w:rsid w:val="00A832D8"/>
    <w:rsid w:val="00A87239"/>
    <w:rsid w:val="00A94542"/>
    <w:rsid w:val="00A95071"/>
    <w:rsid w:val="00AA4903"/>
    <w:rsid w:val="00AA4BDA"/>
    <w:rsid w:val="00AB12B4"/>
    <w:rsid w:val="00AB1B15"/>
    <w:rsid w:val="00AC06BB"/>
    <w:rsid w:val="00AC3ACC"/>
    <w:rsid w:val="00AD4F34"/>
    <w:rsid w:val="00AD7991"/>
    <w:rsid w:val="00AD7ECC"/>
    <w:rsid w:val="00AE108D"/>
    <w:rsid w:val="00AE1DD2"/>
    <w:rsid w:val="00AE25BE"/>
    <w:rsid w:val="00AE3FF9"/>
    <w:rsid w:val="00AE547B"/>
    <w:rsid w:val="00AE63B6"/>
    <w:rsid w:val="00AF2B0D"/>
    <w:rsid w:val="00AF2DD6"/>
    <w:rsid w:val="00B01D8B"/>
    <w:rsid w:val="00B0338D"/>
    <w:rsid w:val="00B0682B"/>
    <w:rsid w:val="00B06B22"/>
    <w:rsid w:val="00B06F9F"/>
    <w:rsid w:val="00B110AF"/>
    <w:rsid w:val="00B13E76"/>
    <w:rsid w:val="00B140AF"/>
    <w:rsid w:val="00B226E1"/>
    <w:rsid w:val="00B23075"/>
    <w:rsid w:val="00B24932"/>
    <w:rsid w:val="00B37C0E"/>
    <w:rsid w:val="00B40E76"/>
    <w:rsid w:val="00B454CA"/>
    <w:rsid w:val="00B45CC7"/>
    <w:rsid w:val="00B530B0"/>
    <w:rsid w:val="00B55871"/>
    <w:rsid w:val="00B565EB"/>
    <w:rsid w:val="00B57F96"/>
    <w:rsid w:val="00B614B1"/>
    <w:rsid w:val="00B74D02"/>
    <w:rsid w:val="00B807AF"/>
    <w:rsid w:val="00B90349"/>
    <w:rsid w:val="00BA4EA3"/>
    <w:rsid w:val="00BA7C85"/>
    <w:rsid w:val="00BC17B9"/>
    <w:rsid w:val="00BC6C4C"/>
    <w:rsid w:val="00BE027D"/>
    <w:rsid w:val="00BF3DB8"/>
    <w:rsid w:val="00BF533F"/>
    <w:rsid w:val="00C048E2"/>
    <w:rsid w:val="00C12F1C"/>
    <w:rsid w:val="00C21105"/>
    <w:rsid w:val="00C22264"/>
    <w:rsid w:val="00C231D9"/>
    <w:rsid w:val="00C26FF1"/>
    <w:rsid w:val="00C422BC"/>
    <w:rsid w:val="00C531E8"/>
    <w:rsid w:val="00C54F4B"/>
    <w:rsid w:val="00C570B9"/>
    <w:rsid w:val="00C63371"/>
    <w:rsid w:val="00C7294C"/>
    <w:rsid w:val="00C7721B"/>
    <w:rsid w:val="00C80B64"/>
    <w:rsid w:val="00C825D9"/>
    <w:rsid w:val="00C9093C"/>
    <w:rsid w:val="00CA1496"/>
    <w:rsid w:val="00CA612B"/>
    <w:rsid w:val="00CA6A4E"/>
    <w:rsid w:val="00CB4B70"/>
    <w:rsid w:val="00CB4F64"/>
    <w:rsid w:val="00CB5BB7"/>
    <w:rsid w:val="00CC19EC"/>
    <w:rsid w:val="00CD53F5"/>
    <w:rsid w:val="00CD5D7D"/>
    <w:rsid w:val="00CE0378"/>
    <w:rsid w:val="00CF61A1"/>
    <w:rsid w:val="00CF740D"/>
    <w:rsid w:val="00D10F52"/>
    <w:rsid w:val="00D20260"/>
    <w:rsid w:val="00D218AD"/>
    <w:rsid w:val="00D32102"/>
    <w:rsid w:val="00D46185"/>
    <w:rsid w:val="00D56542"/>
    <w:rsid w:val="00D679FB"/>
    <w:rsid w:val="00D77681"/>
    <w:rsid w:val="00DB3DB0"/>
    <w:rsid w:val="00DB5820"/>
    <w:rsid w:val="00DC300E"/>
    <w:rsid w:val="00DC5920"/>
    <w:rsid w:val="00DD7330"/>
    <w:rsid w:val="00DE2977"/>
    <w:rsid w:val="00DE3517"/>
    <w:rsid w:val="00DE6C5C"/>
    <w:rsid w:val="00DE79D1"/>
    <w:rsid w:val="00DF3719"/>
    <w:rsid w:val="00DF3FF3"/>
    <w:rsid w:val="00E030D4"/>
    <w:rsid w:val="00E05C6A"/>
    <w:rsid w:val="00E05E73"/>
    <w:rsid w:val="00E063D5"/>
    <w:rsid w:val="00E12E32"/>
    <w:rsid w:val="00E23324"/>
    <w:rsid w:val="00E245C7"/>
    <w:rsid w:val="00E307EE"/>
    <w:rsid w:val="00E30917"/>
    <w:rsid w:val="00E33A22"/>
    <w:rsid w:val="00E376DF"/>
    <w:rsid w:val="00E558DE"/>
    <w:rsid w:val="00E6258F"/>
    <w:rsid w:val="00E638E4"/>
    <w:rsid w:val="00E70F0F"/>
    <w:rsid w:val="00E72F21"/>
    <w:rsid w:val="00E73319"/>
    <w:rsid w:val="00E83142"/>
    <w:rsid w:val="00E83E0D"/>
    <w:rsid w:val="00E87A23"/>
    <w:rsid w:val="00E96E93"/>
    <w:rsid w:val="00EA32E3"/>
    <w:rsid w:val="00EB54C1"/>
    <w:rsid w:val="00ED0CF3"/>
    <w:rsid w:val="00ED1474"/>
    <w:rsid w:val="00ED7098"/>
    <w:rsid w:val="00EE4858"/>
    <w:rsid w:val="00EE4A1A"/>
    <w:rsid w:val="00F172FB"/>
    <w:rsid w:val="00F17B6A"/>
    <w:rsid w:val="00F21105"/>
    <w:rsid w:val="00F23301"/>
    <w:rsid w:val="00F252F0"/>
    <w:rsid w:val="00F25CA4"/>
    <w:rsid w:val="00F3590F"/>
    <w:rsid w:val="00F45168"/>
    <w:rsid w:val="00F66499"/>
    <w:rsid w:val="00F71B95"/>
    <w:rsid w:val="00F71BBA"/>
    <w:rsid w:val="00F72156"/>
    <w:rsid w:val="00F73EF2"/>
    <w:rsid w:val="00F8041E"/>
    <w:rsid w:val="00F863B5"/>
    <w:rsid w:val="00F9700C"/>
    <w:rsid w:val="00FA1E07"/>
    <w:rsid w:val="00FB6A1E"/>
    <w:rsid w:val="00FC52FA"/>
    <w:rsid w:val="00FD2859"/>
    <w:rsid w:val="00FD2A8F"/>
    <w:rsid w:val="00FD74B3"/>
    <w:rsid w:val="00FE15CE"/>
    <w:rsid w:val="01000966"/>
    <w:rsid w:val="012F117F"/>
    <w:rsid w:val="0136167F"/>
    <w:rsid w:val="01895599"/>
    <w:rsid w:val="01CD2E21"/>
    <w:rsid w:val="01CD6AEE"/>
    <w:rsid w:val="02102371"/>
    <w:rsid w:val="0277699B"/>
    <w:rsid w:val="027F5011"/>
    <w:rsid w:val="02F361E7"/>
    <w:rsid w:val="034A2334"/>
    <w:rsid w:val="039D2DFC"/>
    <w:rsid w:val="03B42A21"/>
    <w:rsid w:val="046A0A26"/>
    <w:rsid w:val="04DB539B"/>
    <w:rsid w:val="04F61A33"/>
    <w:rsid w:val="051818B3"/>
    <w:rsid w:val="057D459A"/>
    <w:rsid w:val="059130A6"/>
    <w:rsid w:val="05B04F70"/>
    <w:rsid w:val="05DA5C72"/>
    <w:rsid w:val="05E608B1"/>
    <w:rsid w:val="061A04A9"/>
    <w:rsid w:val="064005D5"/>
    <w:rsid w:val="06810DEA"/>
    <w:rsid w:val="068F75F6"/>
    <w:rsid w:val="06D12D14"/>
    <w:rsid w:val="06DA0EFB"/>
    <w:rsid w:val="071F0D2D"/>
    <w:rsid w:val="073E5DF1"/>
    <w:rsid w:val="07B701FE"/>
    <w:rsid w:val="080F22AE"/>
    <w:rsid w:val="0844355D"/>
    <w:rsid w:val="08A5418E"/>
    <w:rsid w:val="08B67BF8"/>
    <w:rsid w:val="08D8719E"/>
    <w:rsid w:val="08F84D58"/>
    <w:rsid w:val="09091949"/>
    <w:rsid w:val="0946508E"/>
    <w:rsid w:val="09A940D9"/>
    <w:rsid w:val="09DE7D53"/>
    <w:rsid w:val="0A383860"/>
    <w:rsid w:val="0A654E3F"/>
    <w:rsid w:val="0B8514D7"/>
    <w:rsid w:val="0C014219"/>
    <w:rsid w:val="0C086258"/>
    <w:rsid w:val="0C875344"/>
    <w:rsid w:val="0CC3461A"/>
    <w:rsid w:val="0CDC59C6"/>
    <w:rsid w:val="0CE0332B"/>
    <w:rsid w:val="0D233F19"/>
    <w:rsid w:val="0D542420"/>
    <w:rsid w:val="0DF9603F"/>
    <w:rsid w:val="0E0B4678"/>
    <w:rsid w:val="0E1F3AE9"/>
    <w:rsid w:val="0E550512"/>
    <w:rsid w:val="0E9552C4"/>
    <w:rsid w:val="0EDB54E1"/>
    <w:rsid w:val="0EF93F8A"/>
    <w:rsid w:val="0EFF74A8"/>
    <w:rsid w:val="0F6B7708"/>
    <w:rsid w:val="0FCF726C"/>
    <w:rsid w:val="10F50E12"/>
    <w:rsid w:val="112E4730"/>
    <w:rsid w:val="1138530D"/>
    <w:rsid w:val="113E06B1"/>
    <w:rsid w:val="11452DE3"/>
    <w:rsid w:val="11BB005D"/>
    <w:rsid w:val="120F5F37"/>
    <w:rsid w:val="126E0623"/>
    <w:rsid w:val="127B60B1"/>
    <w:rsid w:val="12AB04B1"/>
    <w:rsid w:val="12F42F9E"/>
    <w:rsid w:val="13327A1F"/>
    <w:rsid w:val="1370771E"/>
    <w:rsid w:val="139629E8"/>
    <w:rsid w:val="13B61F78"/>
    <w:rsid w:val="140736AA"/>
    <w:rsid w:val="14407958"/>
    <w:rsid w:val="14A90570"/>
    <w:rsid w:val="14FA18A1"/>
    <w:rsid w:val="154B6121"/>
    <w:rsid w:val="15F72424"/>
    <w:rsid w:val="165B311B"/>
    <w:rsid w:val="16B97B66"/>
    <w:rsid w:val="17200028"/>
    <w:rsid w:val="17542F14"/>
    <w:rsid w:val="17BF0417"/>
    <w:rsid w:val="17BF4CD6"/>
    <w:rsid w:val="17E06981"/>
    <w:rsid w:val="1827680C"/>
    <w:rsid w:val="189A0759"/>
    <w:rsid w:val="18A0480B"/>
    <w:rsid w:val="195548CA"/>
    <w:rsid w:val="19F24626"/>
    <w:rsid w:val="1A331B5B"/>
    <w:rsid w:val="1AC86E71"/>
    <w:rsid w:val="1AD5489E"/>
    <w:rsid w:val="1AF32A3C"/>
    <w:rsid w:val="1B2B6A6A"/>
    <w:rsid w:val="1BB9710B"/>
    <w:rsid w:val="1BD01D4C"/>
    <w:rsid w:val="1BD4716C"/>
    <w:rsid w:val="1C371599"/>
    <w:rsid w:val="1C4D32B6"/>
    <w:rsid w:val="1CF7097D"/>
    <w:rsid w:val="1D0620AC"/>
    <w:rsid w:val="1D481C44"/>
    <w:rsid w:val="1D5B77A2"/>
    <w:rsid w:val="1D9B79B1"/>
    <w:rsid w:val="1E0C57E2"/>
    <w:rsid w:val="1E1831D9"/>
    <w:rsid w:val="1E3B672C"/>
    <w:rsid w:val="1E3B7C23"/>
    <w:rsid w:val="1F0417AA"/>
    <w:rsid w:val="1FDF68D4"/>
    <w:rsid w:val="1FE1434B"/>
    <w:rsid w:val="207164F6"/>
    <w:rsid w:val="2086014F"/>
    <w:rsid w:val="20B14A96"/>
    <w:rsid w:val="2145163A"/>
    <w:rsid w:val="21681F50"/>
    <w:rsid w:val="219A53BA"/>
    <w:rsid w:val="21C4641B"/>
    <w:rsid w:val="222F38A7"/>
    <w:rsid w:val="224D0C96"/>
    <w:rsid w:val="226C084E"/>
    <w:rsid w:val="228B2BD2"/>
    <w:rsid w:val="22CF3D37"/>
    <w:rsid w:val="23243364"/>
    <w:rsid w:val="236741AC"/>
    <w:rsid w:val="236A1CE2"/>
    <w:rsid w:val="23972673"/>
    <w:rsid w:val="240E77C4"/>
    <w:rsid w:val="246D1D10"/>
    <w:rsid w:val="24F324BC"/>
    <w:rsid w:val="24FA77B3"/>
    <w:rsid w:val="259A23EF"/>
    <w:rsid w:val="25DC41F0"/>
    <w:rsid w:val="26084D39"/>
    <w:rsid w:val="260F5F86"/>
    <w:rsid w:val="2626635B"/>
    <w:rsid w:val="269D6AF1"/>
    <w:rsid w:val="26DB4427"/>
    <w:rsid w:val="26E06B7B"/>
    <w:rsid w:val="27253303"/>
    <w:rsid w:val="275C556D"/>
    <w:rsid w:val="27620BBB"/>
    <w:rsid w:val="277F610B"/>
    <w:rsid w:val="27C44A41"/>
    <w:rsid w:val="27D22A33"/>
    <w:rsid w:val="2882098E"/>
    <w:rsid w:val="28AC1CB9"/>
    <w:rsid w:val="28AC20DB"/>
    <w:rsid w:val="28BC7F2A"/>
    <w:rsid w:val="2929681E"/>
    <w:rsid w:val="293554AB"/>
    <w:rsid w:val="29D020A8"/>
    <w:rsid w:val="29D954B6"/>
    <w:rsid w:val="29E262CE"/>
    <w:rsid w:val="2A0579F1"/>
    <w:rsid w:val="2A1A5F20"/>
    <w:rsid w:val="2A397D00"/>
    <w:rsid w:val="2A8F082C"/>
    <w:rsid w:val="2A9A571C"/>
    <w:rsid w:val="2A9E34BD"/>
    <w:rsid w:val="2AA20D6D"/>
    <w:rsid w:val="2AA770CC"/>
    <w:rsid w:val="2BC873FF"/>
    <w:rsid w:val="2C28055F"/>
    <w:rsid w:val="2CBE1E5A"/>
    <w:rsid w:val="2CCA452B"/>
    <w:rsid w:val="2CD20C43"/>
    <w:rsid w:val="2D4C60FE"/>
    <w:rsid w:val="2D557EA4"/>
    <w:rsid w:val="2D6B237C"/>
    <w:rsid w:val="2DF54D0D"/>
    <w:rsid w:val="2E3B6201"/>
    <w:rsid w:val="2E6B7761"/>
    <w:rsid w:val="2F0F70B2"/>
    <w:rsid w:val="2F200037"/>
    <w:rsid w:val="2F3F19BA"/>
    <w:rsid w:val="2F47774C"/>
    <w:rsid w:val="2F5359C0"/>
    <w:rsid w:val="2FDA7525"/>
    <w:rsid w:val="2FE51A26"/>
    <w:rsid w:val="2FF96FBE"/>
    <w:rsid w:val="30037D25"/>
    <w:rsid w:val="303E560C"/>
    <w:rsid w:val="306A2F4D"/>
    <w:rsid w:val="30A67045"/>
    <w:rsid w:val="30D47270"/>
    <w:rsid w:val="310B72F5"/>
    <w:rsid w:val="311E65CB"/>
    <w:rsid w:val="31C83D02"/>
    <w:rsid w:val="32640138"/>
    <w:rsid w:val="32B64A78"/>
    <w:rsid w:val="32DC24AC"/>
    <w:rsid w:val="33666962"/>
    <w:rsid w:val="339148F1"/>
    <w:rsid w:val="33BA74F4"/>
    <w:rsid w:val="33D8445E"/>
    <w:rsid w:val="343E64E2"/>
    <w:rsid w:val="348A4E22"/>
    <w:rsid w:val="3530556F"/>
    <w:rsid w:val="355E5E0A"/>
    <w:rsid w:val="3582734B"/>
    <w:rsid w:val="35E9634C"/>
    <w:rsid w:val="360175AB"/>
    <w:rsid w:val="361C5565"/>
    <w:rsid w:val="36371547"/>
    <w:rsid w:val="369234E5"/>
    <w:rsid w:val="36B44A60"/>
    <w:rsid w:val="36D2111C"/>
    <w:rsid w:val="37E73F88"/>
    <w:rsid w:val="38657E6D"/>
    <w:rsid w:val="38742384"/>
    <w:rsid w:val="389A2C0F"/>
    <w:rsid w:val="38EE4BC1"/>
    <w:rsid w:val="39665366"/>
    <w:rsid w:val="39B83248"/>
    <w:rsid w:val="39C0202C"/>
    <w:rsid w:val="39CA242A"/>
    <w:rsid w:val="39CF761E"/>
    <w:rsid w:val="39DA01D9"/>
    <w:rsid w:val="39FF05EC"/>
    <w:rsid w:val="3A102429"/>
    <w:rsid w:val="3A946669"/>
    <w:rsid w:val="3AB544EE"/>
    <w:rsid w:val="3B1F5B6E"/>
    <w:rsid w:val="3BB4421F"/>
    <w:rsid w:val="3BB76232"/>
    <w:rsid w:val="3BF51882"/>
    <w:rsid w:val="3BF961F6"/>
    <w:rsid w:val="3C594574"/>
    <w:rsid w:val="3C5E53AF"/>
    <w:rsid w:val="3C797BA7"/>
    <w:rsid w:val="3CB8523E"/>
    <w:rsid w:val="3CFC097E"/>
    <w:rsid w:val="3D0021C1"/>
    <w:rsid w:val="3D837140"/>
    <w:rsid w:val="3DFA69F1"/>
    <w:rsid w:val="3E4177CA"/>
    <w:rsid w:val="3E7C1594"/>
    <w:rsid w:val="3EAD4E1E"/>
    <w:rsid w:val="3EBE03C7"/>
    <w:rsid w:val="3EFF5E5D"/>
    <w:rsid w:val="3F9C1A6B"/>
    <w:rsid w:val="3FD910E0"/>
    <w:rsid w:val="3FEA6E5B"/>
    <w:rsid w:val="403065DD"/>
    <w:rsid w:val="404068C1"/>
    <w:rsid w:val="40612ED8"/>
    <w:rsid w:val="40827067"/>
    <w:rsid w:val="40862539"/>
    <w:rsid w:val="40C205EF"/>
    <w:rsid w:val="40F33589"/>
    <w:rsid w:val="412C68BB"/>
    <w:rsid w:val="41456AA2"/>
    <w:rsid w:val="416F06F6"/>
    <w:rsid w:val="417253E3"/>
    <w:rsid w:val="4176549D"/>
    <w:rsid w:val="41F03023"/>
    <w:rsid w:val="421E5985"/>
    <w:rsid w:val="42424E2B"/>
    <w:rsid w:val="42846D04"/>
    <w:rsid w:val="44334DD9"/>
    <w:rsid w:val="446908C9"/>
    <w:rsid w:val="44B14582"/>
    <w:rsid w:val="44C479BF"/>
    <w:rsid w:val="44F54447"/>
    <w:rsid w:val="45252960"/>
    <w:rsid w:val="45261A5D"/>
    <w:rsid w:val="45A602D1"/>
    <w:rsid w:val="45A61BBD"/>
    <w:rsid w:val="45E26ECE"/>
    <w:rsid w:val="45EA0CC0"/>
    <w:rsid w:val="463047C1"/>
    <w:rsid w:val="465A1DC0"/>
    <w:rsid w:val="465D1FFE"/>
    <w:rsid w:val="46763F15"/>
    <w:rsid w:val="47687CA3"/>
    <w:rsid w:val="47E70CD5"/>
    <w:rsid w:val="48344520"/>
    <w:rsid w:val="48481E35"/>
    <w:rsid w:val="488D62F5"/>
    <w:rsid w:val="489C38B5"/>
    <w:rsid w:val="48E64688"/>
    <w:rsid w:val="49073B7A"/>
    <w:rsid w:val="49785290"/>
    <w:rsid w:val="498A6676"/>
    <w:rsid w:val="49BB4AD7"/>
    <w:rsid w:val="49C70EAD"/>
    <w:rsid w:val="4A171940"/>
    <w:rsid w:val="4A200D2B"/>
    <w:rsid w:val="4A3A645F"/>
    <w:rsid w:val="4A743162"/>
    <w:rsid w:val="4B126756"/>
    <w:rsid w:val="4BB17D56"/>
    <w:rsid w:val="4BE1161D"/>
    <w:rsid w:val="4BE82B8F"/>
    <w:rsid w:val="4C9C7BF1"/>
    <w:rsid w:val="4CF40625"/>
    <w:rsid w:val="4D860AD4"/>
    <w:rsid w:val="4D977DB6"/>
    <w:rsid w:val="4DD32205"/>
    <w:rsid w:val="4DDB6E33"/>
    <w:rsid w:val="4DDC3013"/>
    <w:rsid w:val="4DE41F1D"/>
    <w:rsid w:val="4E8B1C92"/>
    <w:rsid w:val="4F1F6120"/>
    <w:rsid w:val="4F763691"/>
    <w:rsid w:val="50071B5B"/>
    <w:rsid w:val="502D65EE"/>
    <w:rsid w:val="50602399"/>
    <w:rsid w:val="516156AA"/>
    <w:rsid w:val="51955C12"/>
    <w:rsid w:val="51DB373C"/>
    <w:rsid w:val="52133D87"/>
    <w:rsid w:val="526608F0"/>
    <w:rsid w:val="52F862ED"/>
    <w:rsid w:val="53113CD7"/>
    <w:rsid w:val="531279DE"/>
    <w:rsid w:val="53511713"/>
    <w:rsid w:val="53A8533F"/>
    <w:rsid w:val="54FC2E0E"/>
    <w:rsid w:val="55375EDD"/>
    <w:rsid w:val="55713E92"/>
    <w:rsid w:val="557D4BF2"/>
    <w:rsid w:val="55DE3D48"/>
    <w:rsid w:val="56072AEE"/>
    <w:rsid w:val="5649005B"/>
    <w:rsid w:val="5650277A"/>
    <w:rsid w:val="56B0714F"/>
    <w:rsid w:val="56B90B7D"/>
    <w:rsid w:val="56CC254C"/>
    <w:rsid w:val="56EB781D"/>
    <w:rsid w:val="575C38A2"/>
    <w:rsid w:val="57F443DF"/>
    <w:rsid w:val="58160210"/>
    <w:rsid w:val="586F2680"/>
    <w:rsid w:val="58927757"/>
    <w:rsid w:val="58AA09D9"/>
    <w:rsid w:val="591A57FB"/>
    <w:rsid w:val="5923074E"/>
    <w:rsid w:val="594614CC"/>
    <w:rsid w:val="59604430"/>
    <w:rsid w:val="5A006B8B"/>
    <w:rsid w:val="5AC43E66"/>
    <w:rsid w:val="5AC61609"/>
    <w:rsid w:val="5AD56DE2"/>
    <w:rsid w:val="5AE25C1E"/>
    <w:rsid w:val="5AFA5478"/>
    <w:rsid w:val="5B0753A1"/>
    <w:rsid w:val="5B0B62AC"/>
    <w:rsid w:val="5B1907BC"/>
    <w:rsid w:val="5B771AA0"/>
    <w:rsid w:val="5C535746"/>
    <w:rsid w:val="5C685063"/>
    <w:rsid w:val="5C8E4351"/>
    <w:rsid w:val="5D353EDB"/>
    <w:rsid w:val="5D4B1845"/>
    <w:rsid w:val="5D9A56C3"/>
    <w:rsid w:val="5DB92914"/>
    <w:rsid w:val="5EE56A44"/>
    <w:rsid w:val="5EEA4BE6"/>
    <w:rsid w:val="5F37339F"/>
    <w:rsid w:val="5F53437C"/>
    <w:rsid w:val="5F561AAD"/>
    <w:rsid w:val="60B76E62"/>
    <w:rsid w:val="610B4408"/>
    <w:rsid w:val="610D3079"/>
    <w:rsid w:val="611C17E3"/>
    <w:rsid w:val="612A0AF8"/>
    <w:rsid w:val="613F7A65"/>
    <w:rsid w:val="615E3A2D"/>
    <w:rsid w:val="618A2FF0"/>
    <w:rsid w:val="6191090D"/>
    <w:rsid w:val="62753EC8"/>
    <w:rsid w:val="634F4940"/>
    <w:rsid w:val="63BD0501"/>
    <w:rsid w:val="63D27C69"/>
    <w:rsid w:val="63EA7C0F"/>
    <w:rsid w:val="640C70CD"/>
    <w:rsid w:val="643D1A0F"/>
    <w:rsid w:val="6468739F"/>
    <w:rsid w:val="64CE3CFE"/>
    <w:rsid w:val="651E5A1B"/>
    <w:rsid w:val="65877FE4"/>
    <w:rsid w:val="66082BF5"/>
    <w:rsid w:val="66332182"/>
    <w:rsid w:val="664E6208"/>
    <w:rsid w:val="66C00DA0"/>
    <w:rsid w:val="67125B26"/>
    <w:rsid w:val="67355964"/>
    <w:rsid w:val="674C6A27"/>
    <w:rsid w:val="67A9464D"/>
    <w:rsid w:val="67CA6B5A"/>
    <w:rsid w:val="6834667B"/>
    <w:rsid w:val="68380B62"/>
    <w:rsid w:val="686C5771"/>
    <w:rsid w:val="68860830"/>
    <w:rsid w:val="68AC3A52"/>
    <w:rsid w:val="68C45E27"/>
    <w:rsid w:val="68E777AA"/>
    <w:rsid w:val="6913427C"/>
    <w:rsid w:val="69546826"/>
    <w:rsid w:val="695A3776"/>
    <w:rsid w:val="698C4FC9"/>
    <w:rsid w:val="69BF0EFD"/>
    <w:rsid w:val="6A146A32"/>
    <w:rsid w:val="6A6C42F5"/>
    <w:rsid w:val="6B202AB4"/>
    <w:rsid w:val="6B9A7328"/>
    <w:rsid w:val="6C3A5C10"/>
    <w:rsid w:val="6C5F665C"/>
    <w:rsid w:val="6C89204B"/>
    <w:rsid w:val="6CB66EE8"/>
    <w:rsid w:val="6CEE48AF"/>
    <w:rsid w:val="6CF70478"/>
    <w:rsid w:val="6D520B9A"/>
    <w:rsid w:val="6D950475"/>
    <w:rsid w:val="6D9E66E1"/>
    <w:rsid w:val="6DC55625"/>
    <w:rsid w:val="6DE457FA"/>
    <w:rsid w:val="6E0F3F39"/>
    <w:rsid w:val="6E3E7F64"/>
    <w:rsid w:val="6EBE1E3F"/>
    <w:rsid w:val="6EE032CF"/>
    <w:rsid w:val="6F5A00A6"/>
    <w:rsid w:val="6F914B05"/>
    <w:rsid w:val="6FA234BB"/>
    <w:rsid w:val="6FFA23E7"/>
    <w:rsid w:val="701852C6"/>
    <w:rsid w:val="701B5237"/>
    <w:rsid w:val="705F5088"/>
    <w:rsid w:val="708945F9"/>
    <w:rsid w:val="708954AD"/>
    <w:rsid w:val="70A27299"/>
    <w:rsid w:val="70B914D0"/>
    <w:rsid w:val="70C32083"/>
    <w:rsid w:val="71376738"/>
    <w:rsid w:val="713E0290"/>
    <w:rsid w:val="714D72A9"/>
    <w:rsid w:val="716E27BF"/>
    <w:rsid w:val="717D46A1"/>
    <w:rsid w:val="717F5901"/>
    <w:rsid w:val="71CA0E33"/>
    <w:rsid w:val="71EE6C3A"/>
    <w:rsid w:val="7289687A"/>
    <w:rsid w:val="72D83010"/>
    <w:rsid w:val="72E26EF7"/>
    <w:rsid w:val="72F8550B"/>
    <w:rsid w:val="733E500B"/>
    <w:rsid w:val="73411F1A"/>
    <w:rsid w:val="7362371C"/>
    <w:rsid w:val="73790B40"/>
    <w:rsid w:val="73DF2529"/>
    <w:rsid w:val="73E36E56"/>
    <w:rsid w:val="74BC2958"/>
    <w:rsid w:val="74D931CB"/>
    <w:rsid w:val="75337AAE"/>
    <w:rsid w:val="75515461"/>
    <w:rsid w:val="75767924"/>
    <w:rsid w:val="75BC1437"/>
    <w:rsid w:val="75CF5154"/>
    <w:rsid w:val="75D5338F"/>
    <w:rsid w:val="765F3E44"/>
    <w:rsid w:val="767D70DE"/>
    <w:rsid w:val="7701016A"/>
    <w:rsid w:val="773D03F2"/>
    <w:rsid w:val="773D3342"/>
    <w:rsid w:val="77472D69"/>
    <w:rsid w:val="77485FD7"/>
    <w:rsid w:val="774A183B"/>
    <w:rsid w:val="7769629D"/>
    <w:rsid w:val="77DF61B9"/>
    <w:rsid w:val="77ED48E0"/>
    <w:rsid w:val="77FE5BC6"/>
    <w:rsid w:val="788159C2"/>
    <w:rsid w:val="78B10E33"/>
    <w:rsid w:val="79472F1E"/>
    <w:rsid w:val="794A7D09"/>
    <w:rsid w:val="79E46F3A"/>
    <w:rsid w:val="79F727D8"/>
    <w:rsid w:val="7A1B455D"/>
    <w:rsid w:val="7AA5202C"/>
    <w:rsid w:val="7B735D97"/>
    <w:rsid w:val="7B767510"/>
    <w:rsid w:val="7B9839A3"/>
    <w:rsid w:val="7BBA2F93"/>
    <w:rsid w:val="7BDA78A7"/>
    <w:rsid w:val="7BFA5C0B"/>
    <w:rsid w:val="7C0515B2"/>
    <w:rsid w:val="7C2E46D3"/>
    <w:rsid w:val="7C786D43"/>
    <w:rsid w:val="7CA54CA4"/>
    <w:rsid w:val="7CB16F7E"/>
    <w:rsid w:val="7D4E6942"/>
    <w:rsid w:val="7E416FA7"/>
    <w:rsid w:val="7E4472F3"/>
    <w:rsid w:val="7E5E116B"/>
    <w:rsid w:val="7EBC1CF4"/>
    <w:rsid w:val="7EC27F8B"/>
    <w:rsid w:val="7ED27BE4"/>
    <w:rsid w:val="7F9E75F2"/>
    <w:rsid w:val="7FAE2EED"/>
    <w:rsid w:val="7FB078C3"/>
    <w:rsid w:val="7FCE4590"/>
    <w:rsid w:val="7FFF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semiHidden="0" w:name="index heading"/>
    <w:lsdException w:qFormat="1" w:unhideWhenUsed="0" w:uiPriority="0" w:semiHidden="0" w:name="caption"/>
    <w:lsdException w:qFormat="1" w:unhideWhenUsed="0" w:uiPriority="0" w:name="table of figures"/>
    <w:lsdException w:qFormat="1" w:uiPriority="99" w:semiHidden="0" w:name="envelope address"/>
    <w:lsdException w:qFormat="1" w:uiPriority="99" w:semiHidden="0" w:name="envelope return"/>
    <w:lsdException w:qFormat="1" w:unhideWhenUsed="0" w:uiPriority="0" w:name="footnote reference"/>
    <w:lsdException w:qFormat="1" w:uiPriority="99" w:semiHidden="0" w:name="annotation reference"/>
    <w:lsdException w:qFormat="1" w:uiPriority="99" w:semiHidden="0" w:name="line number"/>
    <w:lsdException w:qFormat="1" w:unhideWhenUsed="0" w:uiPriority="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iPriority="99" w:semiHidden="0" w:name="Closing"/>
    <w:lsdException w:qFormat="1" w:uiPriority="99" w:semiHidden="0" w:name="Signature"/>
    <w:lsdException w:qFormat="1" w:uiPriority="1"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59" w:semiHidden="0" w:name="Table Grid"/>
    <w:lsdException w:qFormat="1" w:uiPriority="99" w:semiHidden="0" w:name="Table Theme"/>
    <w:lsdException w:qFormat="1" w:uiPriority="60" w:semiHidden="0" w:name="Light Shading"/>
    <w:lsdException w:qFormat="1" w:uiPriority="61" w:semiHidden="0" w:name="Light List"/>
    <w:lsdException w:qFormat="1" w:uiPriority="62" w:semiHidden="0" w:name="Light Grid"/>
    <w:lsdException w:qFormat="1" w:uiPriority="63" w:semiHidden="0" w:name="Medium Shading 1"/>
    <w:lsdException w:qFormat="1" w:uiPriority="64" w:semiHidden="0" w:name="Medium Shading 2"/>
    <w:lsdException w:qFormat="1" w:uiPriority="65" w:semiHidden="0" w:name="Medium List 1"/>
    <w:lsdException w:qFormat="1" w:uiPriority="66" w:semiHidden="0" w:name="Medium List 2"/>
    <w:lsdException w:qFormat="1" w:uiPriority="67" w:semiHidden="0" w:name="Medium Grid 1"/>
    <w:lsdException w:qFormat="1" w:uiPriority="68" w:semiHidden="0" w:name="Medium Grid 2"/>
    <w:lsdException w:qFormat="1" w:uiPriority="69" w:semiHidden="0" w:name="Medium Grid 3"/>
    <w:lsdException w:qFormat="1" w:uiPriority="70" w:semiHidden="0" w:name="Dark List"/>
    <w:lsdException w:qFormat="1" w:uiPriority="71" w:semiHidden="0" w:name="Colorful Shading"/>
    <w:lsdException w:qFormat="1" w:uiPriority="72" w:semiHidden="0" w:name="Colorful List"/>
    <w:lsdException w:qFormat="1" w:uiPriority="73" w:semiHidden="0" w:name="Colorful Grid"/>
    <w:lsdException w:qFormat="1" w:uiPriority="60" w:semiHidden="0" w:name="Light Shading Accent 1"/>
    <w:lsdException w:qFormat="1" w:uiPriority="61" w:semiHidden="0" w:name="Light List Accent 1"/>
    <w:lsdException w:qFormat="1" w:uiPriority="62" w:semiHidden="0" w:name="Light Grid Accent 1"/>
    <w:lsdException w:qFormat="1" w:uiPriority="63" w:semiHidden="0" w:name="Medium Shading 1 Accent 1"/>
    <w:lsdException w:qFormat="1" w:uiPriority="64" w:semiHidden="0" w:name="Medium Shading 2 Accent 1"/>
    <w:lsdException w:qFormat="1" w:uiPriority="65" w:semiHidden="0" w:name="Medium List 1 Accent 1"/>
    <w:lsdException w:qFormat="1" w:uiPriority="66" w:semiHidden="0" w:name="Medium List 2 Accent 1"/>
    <w:lsdException w:qFormat="1" w:uiPriority="67" w:semiHidden="0" w:name="Medium Grid 1 Accent 1"/>
    <w:lsdException w:qFormat="1" w:uiPriority="68" w:semiHidden="0" w:name="Medium Grid 2 Accent 1"/>
    <w:lsdException w:qFormat="1" w:uiPriority="69" w:semiHidden="0" w:name="Medium Grid 3 Accent 1"/>
    <w:lsdException w:qFormat="1" w:uiPriority="70" w:semiHidden="0" w:name="Dark List Accent 1"/>
    <w:lsdException w:qFormat="1"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qFormat="1" w:uiPriority="61" w:semiHidden="0" w:name="Light List Accent 2"/>
    <w:lsdException w:qFormat="1" w:uiPriority="62" w:semiHidden="0" w:name="Light Grid Accent 2"/>
    <w:lsdException w:qFormat="1" w:uiPriority="63" w:semiHidden="0" w:name="Medium Shading 1 Accent 2"/>
    <w:lsdException w:qFormat="1" w:uiPriority="64" w:semiHidden="0" w:name="Medium Shading 2 Accent 2"/>
    <w:lsdException w:qFormat="1" w:uiPriority="65" w:semiHidden="0" w:name="Medium List 1 Accent 2"/>
    <w:lsdException w:qFormat="1" w:uiPriority="66" w:semiHidden="0" w:name="Medium List 2 Accent 2"/>
    <w:lsdException w:qFormat="1" w:uiPriority="67" w:semiHidden="0" w:name="Medium Grid 1 Accent 2"/>
    <w:lsdException w:qFormat="1" w:uiPriority="68" w:semiHidden="0" w:name="Medium Grid 2 Accent 2"/>
    <w:lsdException w:qFormat="1" w:uiPriority="69" w:semiHidden="0" w:name="Medium Grid 3 Accent 2"/>
    <w:lsdException w:qFormat="1" w:uiPriority="70" w:semiHidden="0" w:name="Dark List Accent 2"/>
    <w:lsdException w:qFormat="1" w:uiPriority="71" w:semiHidden="0" w:name="Colorful Shading Accent 2"/>
    <w:lsdException w:qFormat="1" w:uiPriority="72" w:semiHidden="0" w:name="Colorful List Accent 2"/>
    <w:lsdException w:qFormat="1" w:uiPriority="73" w:semiHidden="0" w:name="Colorful Grid Accent 2"/>
    <w:lsdException w:qFormat="1" w:uiPriority="60" w:semiHidden="0" w:name="Light Shading Accent 3"/>
    <w:lsdException w:qFormat="1" w:uiPriority="61" w:semiHidden="0" w:name="Light List Accent 3"/>
    <w:lsdException w:qFormat="1" w:uiPriority="62" w:semiHidden="0" w:name="Light Grid Accent 3"/>
    <w:lsdException w:qFormat="1" w:uiPriority="63" w:semiHidden="0" w:name="Medium Shading 1 Accent 3"/>
    <w:lsdException w:qFormat="1" w:uiPriority="64" w:semiHidden="0" w:name="Medium Shading 2 Accent 3"/>
    <w:lsdException w:qFormat="1" w:uiPriority="65" w:semiHidden="0" w:name="Medium List 1 Accent 3"/>
    <w:lsdException w:qFormat="1" w:uiPriority="66" w:semiHidden="0" w:name="Medium List 2 Accent 3"/>
    <w:lsdException w:qFormat="1" w:uiPriority="67" w:semiHidden="0" w:name="Medium Grid 1 Accent 3"/>
    <w:lsdException w:qFormat="1" w:uiPriority="68" w:semiHidden="0" w:name="Medium Grid 2 Accent 3"/>
    <w:lsdException w:qFormat="1" w:uiPriority="69" w:semiHidden="0" w:name="Medium Grid 3 Accent 3"/>
    <w:lsdException w:qFormat="1" w:uiPriority="70" w:semiHidden="0" w:name="Dark List Accent 3"/>
    <w:lsdException w:qFormat="1" w:uiPriority="71" w:semiHidden="0" w:name="Colorful Shading Accent 3"/>
    <w:lsdException w:qFormat="1" w:uiPriority="72" w:semiHidden="0" w:name="Colorful List Accent 3"/>
    <w:lsdException w:qFormat="1" w:uiPriority="73" w:semiHidden="0" w:name="Colorful Grid Accent 3"/>
    <w:lsdException w:qFormat="1" w:uiPriority="60" w:semiHidden="0" w:name="Light Shading Accent 4"/>
    <w:lsdException w:qFormat="1" w:uiPriority="61" w:semiHidden="0" w:name="Light List Accent 4"/>
    <w:lsdException w:qFormat="1" w:uiPriority="62" w:semiHidden="0" w:name="Light Grid Accent 4"/>
    <w:lsdException w:qFormat="1" w:uiPriority="63" w:semiHidden="0" w:name="Medium Shading 1 Accent 4"/>
    <w:lsdException w:qFormat="1" w:uiPriority="64" w:semiHidden="0" w:name="Medium Shading 2 Accent 4"/>
    <w:lsdException w:qFormat="1" w:uiPriority="65" w:semiHidden="0" w:name="Medium List 1 Accent 4"/>
    <w:lsdException w:qFormat="1" w:uiPriority="66" w:semiHidden="0" w:name="Medium List 2 Accent 4"/>
    <w:lsdException w:qFormat="1" w:uiPriority="67" w:semiHidden="0" w:name="Medium Grid 1 Accent 4"/>
    <w:lsdException w:qFormat="1" w:uiPriority="68" w:semiHidden="0" w:name="Medium Grid 2 Accent 4"/>
    <w:lsdException w:qFormat="1" w:uiPriority="69" w:semiHidden="0" w:name="Medium Grid 3 Accent 4"/>
    <w:lsdException w:qFormat="1" w:uiPriority="70" w:semiHidden="0" w:name="Dark List Accent 4"/>
    <w:lsdException w:qFormat="1" w:uiPriority="71" w:semiHidden="0" w:name="Colorful Shading Accent 4"/>
    <w:lsdException w:qFormat="1" w:uiPriority="72" w:semiHidden="0" w:name="Colorful List Accent 4"/>
    <w:lsdException w:qFormat="1" w:uiPriority="73" w:semiHidden="0" w:name="Colorful Grid Accent 4"/>
    <w:lsdException w:qFormat="1" w:uiPriority="60" w:semiHidden="0" w:name="Light Shading Accent 5"/>
    <w:lsdException w:qFormat="1" w:uiPriority="61" w:semiHidden="0" w:name="Light List Accent 5"/>
    <w:lsdException w:qFormat="1" w:uiPriority="62" w:semiHidden="0" w:name="Light Grid Accent 5"/>
    <w:lsdException w:qFormat="1" w:uiPriority="63" w:semiHidden="0" w:name="Medium Shading 1 Accent 5"/>
    <w:lsdException w:qFormat="1" w:uiPriority="64" w:semiHidden="0" w:name="Medium Shading 2 Accent 5"/>
    <w:lsdException w:qFormat="1" w:uiPriority="65" w:semiHidden="0" w:name="Medium List 1 Accent 5"/>
    <w:lsdException w:qFormat="1" w:uiPriority="66" w:semiHidden="0" w:name="Medium List 2 Accent 5"/>
    <w:lsdException w:qFormat="1" w:uiPriority="67" w:semiHidden="0" w:name="Medium Grid 1 Accent 5"/>
    <w:lsdException w:qFormat="1" w:uiPriority="68" w:semiHidden="0" w:name="Medium Grid 2 Accent 5"/>
    <w:lsdException w:qFormat="1" w:uiPriority="69" w:semiHidden="0" w:name="Medium Grid 3 Accent 5"/>
    <w:lsdException w:qFormat="1" w:uiPriority="70" w:semiHidden="0" w:name="Dark List Accent 5"/>
    <w:lsdException w:qFormat="1" w:uiPriority="71" w:semiHidden="0" w:name="Colorful Shading Accent 5"/>
    <w:lsdException w:qFormat="1" w:uiPriority="72" w:semiHidden="0" w:name="Colorful List Accent 5"/>
    <w:lsdException w:qFormat="1" w:uiPriority="73" w:semiHidden="0" w:name="Colorful Grid Accent 5"/>
    <w:lsdException w:qFormat="1" w:uiPriority="60" w:semiHidden="0" w:name="Light Shading Accent 6"/>
    <w:lsdException w:qFormat="1" w:uiPriority="61" w:semiHidden="0" w:name="Light List Accent 6"/>
    <w:lsdException w:qFormat="1" w:uiPriority="62" w:semiHidden="0" w:name="Light Grid Accent 6"/>
    <w:lsdException w:qFormat="1" w:uiPriority="63" w:semiHidden="0" w:name="Medium Shading 1 Accent 6"/>
    <w:lsdException w:qFormat="1" w:uiPriority="64" w:semiHidden="0" w:name="Medium Shading 2 Accent 6"/>
    <w:lsdException w:qFormat="1" w:uiPriority="65" w:semiHidden="0" w:name="Medium List 1 Accent 6"/>
    <w:lsdException w:qFormat="1" w:uiPriority="66" w:semiHidden="0" w:name="Medium List 2 Accent 6"/>
    <w:lsdException w:qFormat="1" w:uiPriority="67" w:semiHidden="0" w:name="Medium Grid 1 Accent 6"/>
    <w:lsdException w:qFormat="1" w:uiPriority="68" w:semiHidden="0" w:name="Medium Grid 2 Accent 6"/>
    <w:lsdException w:qFormat="1" w:uiPriority="69" w:semiHidden="0" w:name="Medium Grid 3 Accent 6"/>
    <w:lsdException w:qFormat="1" w:uiPriority="70" w:semiHidden="0" w:name="Dark List Accent 6"/>
    <w:lsdException w:qFormat="1" w:uiPriority="71" w:semiHidden="0" w:name="Colorful Shading Accent 6"/>
    <w:lsdException w:qFormat="1" w:uiPriority="72" w:semiHidden="0" w:name="Colorful List Accent 6"/>
    <w:lsdException w:qFormat="1"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qFormat/>
    <w:uiPriority w:val="0"/>
    <w:pPr>
      <w:keepNext/>
      <w:keepLines/>
      <w:spacing w:before="240" w:after="64" w:line="320" w:lineRule="auto"/>
      <w:outlineLvl w:val="6"/>
    </w:pPr>
    <w:rPr>
      <w:b/>
      <w:bCs/>
      <w:sz w:val="24"/>
    </w:rPr>
  </w:style>
  <w:style w:type="paragraph" w:styleId="12">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87"/>
    <w:unhideWhenUsed/>
    <w:qFormat/>
    <w:uiPriority w:val="99"/>
    <w:pPr>
      <w:ind w:firstLine="420" w:firstLineChars="200"/>
    </w:pPr>
  </w:style>
  <w:style w:type="paragraph" w:styleId="3">
    <w:name w:val="Body Text Indent"/>
    <w:basedOn w:val="1"/>
    <w:link w:val="486"/>
    <w:unhideWhenUsed/>
    <w:qFormat/>
    <w:uiPriority w:val="99"/>
    <w:pPr>
      <w:spacing w:after="120"/>
      <w:ind w:left="420" w:leftChars="200"/>
    </w:pPr>
  </w:style>
  <w:style w:type="paragraph" w:styleId="4">
    <w:name w:val="macro"/>
    <w:link w:val="36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unhideWhenUsed/>
    <w:qFormat/>
    <w:uiPriority w:val="99"/>
    <w:pPr>
      <w:ind w:left="100" w:leftChars="400" w:hanging="200" w:hangingChars="200"/>
      <w:contextualSpacing/>
    </w:pPr>
  </w:style>
  <w:style w:type="paragraph" w:styleId="15">
    <w:name w:val="toc 7"/>
    <w:basedOn w:val="16"/>
    <w:next w:val="1"/>
    <w:semiHidden/>
    <w:qFormat/>
    <w:uiPriority w:val="0"/>
    <w:pPr>
      <w:ind w:left="500" w:leftChars="500"/>
    </w:pPr>
  </w:style>
  <w:style w:type="paragraph" w:styleId="16">
    <w:name w:val="toc 6"/>
    <w:basedOn w:val="17"/>
    <w:next w:val="1"/>
    <w:semiHidden/>
    <w:qFormat/>
    <w:uiPriority w:val="0"/>
    <w:pPr>
      <w:ind w:left="400" w:leftChars="400"/>
    </w:pPr>
  </w:style>
  <w:style w:type="paragraph" w:styleId="17">
    <w:name w:val="toc 5"/>
    <w:basedOn w:val="18"/>
    <w:next w:val="1"/>
    <w:semiHidden/>
    <w:qFormat/>
    <w:uiPriority w:val="0"/>
    <w:pPr>
      <w:ind w:left="300" w:leftChars="300"/>
    </w:pPr>
  </w:style>
  <w:style w:type="paragraph" w:styleId="18">
    <w:name w:val="toc 4"/>
    <w:basedOn w:val="19"/>
    <w:next w:val="1"/>
    <w:semiHidden/>
    <w:qFormat/>
    <w:uiPriority w:val="0"/>
    <w:pPr>
      <w:ind w:left="200" w:leftChars="200"/>
    </w:pPr>
  </w:style>
  <w:style w:type="paragraph" w:styleId="19">
    <w:name w:val="toc 3"/>
    <w:basedOn w:val="20"/>
    <w:next w:val="1"/>
    <w:qFormat/>
    <w:uiPriority w:val="39"/>
    <w:pPr>
      <w:ind w:left="100" w:leftChars="100"/>
    </w:pPr>
  </w:style>
  <w:style w:type="paragraph" w:styleId="20">
    <w:name w:val="toc 2"/>
    <w:basedOn w:val="21"/>
    <w:next w:val="1"/>
    <w:qFormat/>
    <w:uiPriority w:val="39"/>
  </w:style>
  <w:style w:type="paragraph" w:styleId="21">
    <w:name w:val="toc 1"/>
    <w:basedOn w:val="1"/>
    <w:next w:val="1"/>
    <w:qFormat/>
    <w:uiPriority w:val="39"/>
    <w:pPr>
      <w:spacing w:before="25" w:beforeLines="25" w:after="25" w:afterLines="25"/>
    </w:pPr>
    <w:rPr>
      <w:rFonts w:ascii="宋体"/>
    </w:rPr>
  </w:style>
  <w:style w:type="paragraph" w:styleId="22">
    <w:name w:val="List Number 2"/>
    <w:basedOn w:val="1"/>
    <w:unhideWhenUsed/>
    <w:qFormat/>
    <w:uiPriority w:val="99"/>
    <w:pPr>
      <w:numPr>
        <w:ilvl w:val="0"/>
        <w:numId w:val="1"/>
      </w:numPr>
      <w:contextualSpacing/>
    </w:pPr>
  </w:style>
  <w:style w:type="paragraph" w:styleId="23">
    <w:name w:val="table of authorities"/>
    <w:basedOn w:val="1"/>
    <w:next w:val="1"/>
    <w:unhideWhenUsed/>
    <w:qFormat/>
    <w:uiPriority w:val="99"/>
    <w:pPr>
      <w:ind w:left="420" w:leftChars="200"/>
    </w:pPr>
  </w:style>
  <w:style w:type="paragraph" w:styleId="24">
    <w:name w:val="Note Heading"/>
    <w:basedOn w:val="1"/>
    <w:next w:val="1"/>
    <w:link w:val="492"/>
    <w:unhideWhenUsed/>
    <w:qFormat/>
    <w:uiPriority w:val="99"/>
    <w:pPr>
      <w:jc w:val="center"/>
    </w:pPr>
  </w:style>
  <w:style w:type="paragraph" w:styleId="25">
    <w:name w:val="List Bullet 4"/>
    <w:basedOn w:val="1"/>
    <w:unhideWhenUsed/>
    <w:qFormat/>
    <w:uiPriority w:val="99"/>
    <w:pPr>
      <w:numPr>
        <w:ilvl w:val="0"/>
        <w:numId w:val="2"/>
      </w:numPr>
      <w:contextualSpacing/>
    </w:pPr>
  </w:style>
  <w:style w:type="paragraph" w:styleId="26">
    <w:name w:val="index 8"/>
    <w:basedOn w:val="1"/>
    <w:next w:val="1"/>
    <w:unhideWhenUsed/>
    <w:qFormat/>
    <w:uiPriority w:val="99"/>
    <w:pPr>
      <w:ind w:left="1400" w:leftChars="1400"/>
    </w:pPr>
  </w:style>
  <w:style w:type="paragraph" w:styleId="27">
    <w:name w:val="E-mail Signature"/>
    <w:basedOn w:val="1"/>
    <w:link w:val="358"/>
    <w:unhideWhenUsed/>
    <w:qFormat/>
    <w:uiPriority w:val="99"/>
  </w:style>
  <w:style w:type="paragraph" w:styleId="28">
    <w:name w:val="List Number"/>
    <w:basedOn w:val="1"/>
    <w:unhideWhenUsed/>
    <w:qFormat/>
    <w:uiPriority w:val="99"/>
    <w:pPr>
      <w:numPr>
        <w:ilvl w:val="0"/>
        <w:numId w:val="3"/>
      </w:numPr>
      <w:contextualSpacing/>
    </w:pPr>
  </w:style>
  <w:style w:type="paragraph" w:styleId="29">
    <w:name w:val="Normal Indent"/>
    <w:basedOn w:val="1"/>
    <w:unhideWhenUsed/>
    <w:qFormat/>
    <w:uiPriority w:val="99"/>
    <w:pPr>
      <w:ind w:firstLine="420" w:firstLineChars="200"/>
    </w:pPr>
  </w:style>
  <w:style w:type="paragraph" w:styleId="30">
    <w:name w:val="caption"/>
    <w:basedOn w:val="1"/>
    <w:next w:val="1"/>
    <w:qFormat/>
    <w:uiPriority w:val="0"/>
    <w:rPr>
      <w:rFonts w:ascii="宋体" w:hAnsi="Arial" w:cs="Arial"/>
      <w:szCs w:val="20"/>
    </w:rPr>
  </w:style>
  <w:style w:type="paragraph" w:styleId="31">
    <w:name w:val="index 5"/>
    <w:basedOn w:val="1"/>
    <w:next w:val="1"/>
    <w:unhideWhenUsed/>
    <w:qFormat/>
    <w:uiPriority w:val="99"/>
    <w:pPr>
      <w:ind w:left="800" w:leftChars="800"/>
    </w:pPr>
  </w:style>
  <w:style w:type="paragraph" w:styleId="32">
    <w:name w:val="List Bullet"/>
    <w:basedOn w:val="1"/>
    <w:unhideWhenUsed/>
    <w:qFormat/>
    <w:uiPriority w:val="99"/>
    <w:pPr>
      <w:numPr>
        <w:ilvl w:val="0"/>
        <w:numId w:val="4"/>
      </w:numPr>
      <w:contextualSpacing/>
    </w:pPr>
  </w:style>
  <w:style w:type="paragraph" w:styleId="33">
    <w:name w:val="envelope address"/>
    <w:basedOn w:val="1"/>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4">
    <w:name w:val="Document Map"/>
    <w:basedOn w:val="1"/>
    <w:link w:val="474"/>
    <w:unhideWhenUsed/>
    <w:qFormat/>
    <w:uiPriority w:val="99"/>
    <w:rPr>
      <w:rFonts w:ascii="Microsoft YaHei UI" w:eastAsia="Microsoft YaHei UI"/>
      <w:sz w:val="18"/>
      <w:szCs w:val="18"/>
    </w:rPr>
  </w:style>
  <w:style w:type="paragraph" w:styleId="35">
    <w:name w:val="toa heading"/>
    <w:basedOn w:val="1"/>
    <w:next w:val="1"/>
    <w:unhideWhenUsed/>
    <w:qFormat/>
    <w:uiPriority w:val="99"/>
    <w:pPr>
      <w:spacing w:before="120"/>
    </w:pPr>
    <w:rPr>
      <w:rFonts w:asciiTheme="majorHAnsi" w:hAnsiTheme="majorHAnsi" w:cstheme="majorBidi"/>
      <w:sz w:val="24"/>
    </w:rPr>
  </w:style>
  <w:style w:type="paragraph" w:styleId="36">
    <w:name w:val="annotation text"/>
    <w:basedOn w:val="1"/>
    <w:link w:val="368"/>
    <w:unhideWhenUsed/>
    <w:qFormat/>
    <w:uiPriority w:val="99"/>
    <w:pPr>
      <w:jc w:val="left"/>
    </w:pPr>
  </w:style>
  <w:style w:type="paragraph" w:styleId="37">
    <w:name w:val="index 6"/>
    <w:basedOn w:val="1"/>
    <w:next w:val="1"/>
    <w:unhideWhenUsed/>
    <w:qFormat/>
    <w:uiPriority w:val="99"/>
    <w:pPr>
      <w:ind w:left="1000" w:leftChars="1000"/>
    </w:pPr>
  </w:style>
  <w:style w:type="paragraph" w:styleId="38">
    <w:name w:val="Salutation"/>
    <w:basedOn w:val="1"/>
    <w:next w:val="1"/>
    <w:link w:val="356"/>
    <w:unhideWhenUsed/>
    <w:qFormat/>
    <w:uiPriority w:val="99"/>
  </w:style>
  <w:style w:type="paragraph" w:styleId="39">
    <w:name w:val="Body Text 3"/>
    <w:basedOn w:val="1"/>
    <w:link w:val="489"/>
    <w:unhideWhenUsed/>
    <w:qFormat/>
    <w:uiPriority w:val="99"/>
    <w:pPr>
      <w:spacing w:after="120"/>
    </w:pPr>
    <w:rPr>
      <w:sz w:val="16"/>
      <w:szCs w:val="16"/>
    </w:rPr>
  </w:style>
  <w:style w:type="paragraph" w:styleId="40">
    <w:name w:val="Closing"/>
    <w:basedOn w:val="1"/>
    <w:link w:val="361"/>
    <w:unhideWhenUsed/>
    <w:qFormat/>
    <w:uiPriority w:val="99"/>
    <w:pPr>
      <w:ind w:left="100" w:leftChars="2100"/>
    </w:pPr>
  </w:style>
  <w:style w:type="paragraph" w:styleId="41">
    <w:name w:val="List Bullet 3"/>
    <w:basedOn w:val="1"/>
    <w:unhideWhenUsed/>
    <w:qFormat/>
    <w:uiPriority w:val="99"/>
    <w:pPr>
      <w:numPr>
        <w:ilvl w:val="0"/>
        <w:numId w:val="5"/>
      </w:numPr>
      <w:contextualSpacing/>
    </w:pPr>
  </w:style>
  <w:style w:type="paragraph" w:styleId="42">
    <w:name w:val="Body Text"/>
    <w:basedOn w:val="1"/>
    <w:link w:val="333"/>
    <w:unhideWhenUsed/>
    <w:qFormat/>
    <w:uiPriority w:val="99"/>
    <w:pPr>
      <w:spacing w:after="120"/>
    </w:pPr>
  </w:style>
  <w:style w:type="paragraph" w:styleId="43">
    <w:name w:val="List Number 3"/>
    <w:basedOn w:val="1"/>
    <w:unhideWhenUsed/>
    <w:qFormat/>
    <w:uiPriority w:val="99"/>
    <w:pPr>
      <w:numPr>
        <w:ilvl w:val="0"/>
        <w:numId w:val="6"/>
      </w:numPr>
      <w:contextualSpacing/>
    </w:pPr>
  </w:style>
  <w:style w:type="paragraph" w:styleId="44">
    <w:name w:val="List 2"/>
    <w:basedOn w:val="1"/>
    <w:unhideWhenUsed/>
    <w:qFormat/>
    <w:uiPriority w:val="99"/>
    <w:pPr>
      <w:ind w:left="100" w:leftChars="200" w:hanging="200" w:hangingChars="200"/>
      <w:contextualSpacing/>
    </w:pPr>
  </w:style>
  <w:style w:type="paragraph" w:styleId="45">
    <w:name w:val="List Continue"/>
    <w:basedOn w:val="1"/>
    <w:unhideWhenUsed/>
    <w:qFormat/>
    <w:uiPriority w:val="99"/>
    <w:pPr>
      <w:spacing w:after="120"/>
      <w:ind w:left="420" w:leftChars="200"/>
      <w:contextualSpacing/>
    </w:pPr>
  </w:style>
  <w:style w:type="paragraph" w:styleId="46">
    <w:name w:val="Block Text"/>
    <w:basedOn w:val="1"/>
    <w:unhideWhenUsed/>
    <w:qFormat/>
    <w:uiPriority w:val="99"/>
    <w:pPr>
      <w:spacing w:after="120"/>
      <w:ind w:left="1440" w:leftChars="700" w:right="1440" w:rightChars="700"/>
    </w:pPr>
  </w:style>
  <w:style w:type="paragraph" w:styleId="47">
    <w:name w:val="List Bullet 2"/>
    <w:basedOn w:val="1"/>
    <w:unhideWhenUsed/>
    <w:qFormat/>
    <w:uiPriority w:val="99"/>
    <w:pPr>
      <w:numPr>
        <w:ilvl w:val="0"/>
        <w:numId w:val="7"/>
      </w:numPr>
      <w:contextualSpacing/>
    </w:pPr>
  </w:style>
  <w:style w:type="paragraph" w:styleId="48">
    <w:name w:val="HTML Address"/>
    <w:basedOn w:val="1"/>
    <w:semiHidden/>
    <w:qFormat/>
    <w:uiPriority w:val="0"/>
    <w:rPr>
      <w:i/>
      <w:iCs/>
    </w:rPr>
  </w:style>
  <w:style w:type="paragraph" w:styleId="49">
    <w:name w:val="index 4"/>
    <w:basedOn w:val="1"/>
    <w:next w:val="1"/>
    <w:unhideWhenUsed/>
    <w:qFormat/>
    <w:uiPriority w:val="99"/>
    <w:pPr>
      <w:ind w:left="600" w:leftChars="600"/>
    </w:pPr>
  </w:style>
  <w:style w:type="paragraph" w:styleId="50">
    <w:name w:val="Plain Text"/>
    <w:basedOn w:val="1"/>
    <w:link w:val="357"/>
    <w:unhideWhenUsed/>
    <w:qFormat/>
    <w:uiPriority w:val="99"/>
    <w:rPr>
      <w:rFonts w:ascii="宋体" w:hAnsi="Courier New" w:cs="Courier New"/>
      <w:szCs w:val="21"/>
    </w:rPr>
  </w:style>
  <w:style w:type="paragraph" w:styleId="51">
    <w:name w:val="List Bullet 5"/>
    <w:basedOn w:val="1"/>
    <w:unhideWhenUsed/>
    <w:qFormat/>
    <w:uiPriority w:val="99"/>
    <w:pPr>
      <w:numPr>
        <w:ilvl w:val="0"/>
        <w:numId w:val="8"/>
      </w:numPr>
      <w:contextualSpacing/>
    </w:pPr>
  </w:style>
  <w:style w:type="paragraph" w:styleId="52">
    <w:name w:val="List Number 4"/>
    <w:basedOn w:val="1"/>
    <w:unhideWhenUsed/>
    <w:qFormat/>
    <w:uiPriority w:val="99"/>
    <w:pPr>
      <w:numPr>
        <w:ilvl w:val="0"/>
        <w:numId w:val="9"/>
      </w:numPr>
      <w:contextualSpacing/>
    </w:pPr>
  </w:style>
  <w:style w:type="paragraph" w:styleId="53">
    <w:name w:val="toc 8"/>
    <w:basedOn w:val="15"/>
    <w:next w:val="1"/>
    <w:semiHidden/>
    <w:qFormat/>
    <w:uiPriority w:val="0"/>
  </w:style>
  <w:style w:type="paragraph" w:styleId="54">
    <w:name w:val="index 3"/>
    <w:basedOn w:val="1"/>
    <w:next w:val="1"/>
    <w:unhideWhenUsed/>
    <w:qFormat/>
    <w:uiPriority w:val="99"/>
    <w:pPr>
      <w:ind w:left="400" w:leftChars="400"/>
    </w:pPr>
  </w:style>
  <w:style w:type="paragraph" w:styleId="55">
    <w:name w:val="Date"/>
    <w:basedOn w:val="1"/>
    <w:next w:val="1"/>
    <w:link w:val="420"/>
    <w:unhideWhenUsed/>
    <w:qFormat/>
    <w:uiPriority w:val="99"/>
    <w:pPr>
      <w:ind w:left="100" w:leftChars="2500"/>
    </w:pPr>
  </w:style>
  <w:style w:type="paragraph" w:styleId="56">
    <w:name w:val="Body Text Indent 2"/>
    <w:basedOn w:val="1"/>
    <w:link w:val="490"/>
    <w:unhideWhenUsed/>
    <w:qFormat/>
    <w:uiPriority w:val="99"/>
    <w:pPr>
      <w:spacing w:after="120" w:line="480" w:lineRule="auto"/>
      <w:ind w:left="420" w:leftChars="200"/>
    </w:pPr>
  </w:style>
  <w:style w:type="paragraph" w:styleId="57">
    <w:name w:val="endnote text"/>
    <w:basedOn w:val="1"/>
    <w:link w:val="473"/>
    <w:unhideWhenUsed/>
    <w:qFormat/>
    <w:uiPriority w:val="99"/>
    <w:pPr>
      <w:snapToGrid w:val="0"/>
      <w:jc w:val="left"/>
    </w:pPr>
  </w:style>
  <w:style w:type="paragraph" w:styleId="58">
    <w:name w:val="List Continue 5"/>
    <w:basedOn w:val="1"/>
    <w:unhideWhenUsed/>
    <w:qFormat/>
    <w:uiPriority w:val="99"/>
    <w:pPr>
      <w:spacing w:after="120"/>
      <w:ind w:left="2100" w:leftChars="1000"/>
      <w:contextualSpacing/>
    </w:pPr>
  </w:style>
  <w:style w:type="paragraph" w:styleId="59">
    <w:name w:val="Balloon Text"/>
    <w:basedOn w:val="1"/>
    <w:link w:val="367"/>
    <w:unhideWhenUsed/>
    <w:qFormat/>
    <w:uiPriority w:val="99"/>
    <w:rPr>
      <w:sz w:val="18"/>
      <w:szCs w:val="18"/>
    </w:rPr>
  </w:style>
  <w:style w:type="paragraph" w:styleId="60">
    <w:name w:val="footer"/>
    <w:basedOn w:val="1"/>
    <w:semiHidden/>
    <w:qFormat/>
    <w:uiPriority w:val="0"/>
    <w:pPr>
      <w:tabs>
        <w:tab w:val="center" w:pos="4153"/>
        <w:tab w:val="right" w:pos="8306"/>
      </w:tabs>
      <w:snapToGrid w:val="0"/>
      <w:ind w:right="210" w:rightChars="100"/>
      <w:jc w:val="right"/>
    </w:pPr>
    <w:rPr>
      <w:sz w:val="18"/>
      <w:szCs w:val="18"/>
    </w:rPr>
  </w:style>
  <w:style w:type="paragraph" w:styleId="61">
    <w:name w:val="envelope return"/>
    <w:basedOn w:val="1"/>
    <w:unhideWhenUsed/>
    <w:qFormat/>
    <w:uiPriority w:val="99"/>
    <w:pPr>
      <w:snapToGrid w:val="0"/>
    </w:pPr>
    <w:rPr>
      <w:rFonts w:asciiTheme="majorHAnsi" w:hAnsiTheme="majorHAnsi" w:eastAsiaTheme="majorEastAsia" w:cstheme="majorBidi"/>
    </w:rPr>
  </w:style>
  <w:style w:type="paragraph" w:styleId="6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70"/>
    <w:unhideWhenUsed/>
    <w:qFormat/>
    <w:uiPriority w:val="99"/>
    <w:pPr>
      <w:ind w:left="100" w:leftChars="2100"/>
    </w:pPr>
  </w:style>
  <w:style w:type="paragraph" w:styleId="64">
    <w:name w:val="List Continue 4"/>
    <w:basedOn w:val="1"/>
    <w:unhideWhenUsed/>
    <w:qFormat/>
    <w:uiPriority w:val="99"/>
    <w:pPr>
      <w:spacing w:after="120"/>
      <w:ind w:left="1680" w:leftChars="800"/>
      <w:contextualSpacing/>
    </w:pPr>
  </w:style>
  <w:style w:type="paragraph" w:styleId="65">
    <w:name w:val="index heading"/>
    <w:basedOn w:val="1"/>
    <w:next w:val="66"/>
    <w:unhideWhenUsed/>
    <w:qFormat/>
    <w:uiPriority w:val="99"/>
    <w:pPr>
      <w:spacing w:before="100" w:beforeLines="100" w:after="100" w:afterLines="100"/>
      <w:jc w:val="center"/>
    </w:pPr>
    <w:rPr>
      <w:rFonts w:eastAsia="黑体" w:asciiTheme="majorHAnsi" w:hAnsiTheme="majorHAnsi" w:cstheme="majorBidi"/>
      <w:bCs/>
    </w:rPr>
  </w:style>
  <w:style w:type="paragraph" w:styleId="66">
    <w:name w:val="index 1"/>
    <w:basedOn w:val="1"/>
    <w:next w:val="1"/>
    <w:unhideWhenUsed/>
    <w:qFormat/>
    <w:uiPriority w:val="99"/>
    <w:rPr>
      <w:rFonts w:ascii="宋体" w:hAnsi="宋体"/>
    </w:rPr>
  </w:style>
  <w:style w:type="paragraph" w:styleId="67">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unhideWhenUsed/>
    <w:qFormat/>
    <w:uiPriority w:val="99"/>
    <w:pPr>
      <w:numPr>
        <w:ilvl w:val="0"/>
        <w:numId w:val="10"/>
      </w:numPr>
      <w:contextualSpacing/>
    </w:pPr>
  </w:style>
  <w:style w:type="paragraph" w:styleId="69">
    <w:name w:val="List"/>
    <w:basedOn w:val="1"/>
    <w:unhideWhenUsed/>
    <w:qFormat/>
    <w:uiPriority w:val="99"/>
    <w:pPr>
      <w:ind w:left="200" w:hanging="200" w:hangingChars="200"/>
      <w:contextualSpacing/>
    </w:pPr>
  </w:style>
  <w:style w:type="paragraph" w:styleId="70">
    <w:name w:val="footnote text"/>
    <w:basedOn w:val="1"/>
    <w:semiHidden/>
    <w:qFormat/>
    <w:uiPriority w:val="0"/>
    <w:pPr>
      <w:snapToGrid w:val="0"/>
      <w:ind w:left="400" w:leftChars="200" w:hanging="200" w:hangingChars="200"/>
      <w:jc w:val="left"/>
    </w:pPr>
    <w:rPr>
      <w:sz w:val="18"/>
      <w:szCs w:val="18"/>
    </w:rPr>
  </w:style>
  <w:style w:type="paragraph" w:styleId="71">
    <w:name w:val="List 5"/>
    <w:basedOn w:val="1"/>
    <w:unhideWhenUsed/>
    <w:qFormat/>
    <w:uiPriority w:val="99"/>
    <w:pPr>
      <w:ind w:left="100" w:leftChars="800" w:hanging="200" w:hangingChars="200"/>
      <w:contextualSpacing/>
    </w:pPr>
  </w:style>
  <w:style w:type="paragraph" w:styleId="72">
    <w:name w:val="Body Text Indent 3"/>
    <w:basedOn w:val="1"/>
    <w:link w:val="491"/>
    <w:unhideWhenUsed/>
    <w:qFormat/>
    <w:uiPriority w:val="99"/>
    <w:pPr>
      <w:spacing w:after="120"/>
      <w:ind w:left="420" w:leftChars="200"/>
    </w:pPr>
    <w:rPr>
      <w:sz w:val="16"/>
      <w:szCs w:val="16"/>
    </w:rPr>
  </w:style>
  <w:style w:type="paragraph" w:styleId="73">
    <w:name w:val="index 7"/>
    <w:basedOn w:val="1"/>
    <w:next w:val="1"/>
    <w:unhideWhenUsed/>
    <w:qFormat/>
    <w:uiPriority w:val="99"/>
    <w:pPr>
      <w:ind w:left="1200" w:leftChars="1200"/>
    </w:pPr>
  </w:style>
  <w:style w:type="paragraph" w:styleId="74">
    <w:name w:val="index 9"/>
    <w:basedOn w:val="1"/>
    <w:next w:val="1"/>
    <w:unhideWhenUsed/>
    <w:qFormat/>
    <w:uiPriority w:val="99"/>
    <w:pPr>
      <w:ind w:left="1600" w:leftChars="1600"/>
    </w:pPr>
  </w:style>
  <w:style w:type="paragraph" w:styleId="75">
    <w:name w:val="table of figures"/>
    <w:basedOn w:val="1"/>
    <w:next w:val="1"/>
    <w:semiHidden/>
    <w:qFormat/>
    <w:uiPriority w:val="0"/>
  </w:style>
  <w:style w:type="paragraph" w:styleId="76">
    <w:name w:val="toc 9"/>
    <w:basedOn w:val="53"/>
    <w:next w:val="1"/>
    <w:semiHidden/>
    <w:qFormat/>
    <w:uiPriority w:val="0"/>
  </w:style>
  <w:style w:type="paragraph" w:styleId="77">
    <w:name w:val="Body Text 2"/>
    <w:basedOn w:val="1"/>
    <w:link w:val="488"/>
    <w:unhideWhenUsed/>
    <w:qFormat/>
    <w:uiPriority w:val="99"/>
    <w:pPr>
      <w:spacing w:after="120" w:line="480" w:lineRule="auto"/>
    </w:pPr>
  </w:style>
  <w:style w:type="paragraph" w:styleId="78">
    <w:name w:val="List 4"/>
    <w:basedOn w:val="1"/>
    <w:unhideWhenUsed/>
    <w:qFormat/>
    <w:uiPriority w:val="99"/>
    <w:pPr>
      <w:ind w:left="100" w:leftChars="600" w:hanging="200" w:hangingChars="200"/>
      <w:contextualSpacing/>
    </w:pPr>
  </w:style>
  <w:style w:type="paragraph" w:styleId="79">
    <w:name w:val="List Continue 2"/>
    <w:basedOn w:val="1"/>
    <w:unhideWhenUsed/>
    <w:qFormat/>
    <w:uiPriority w:val="99"/>
    <w:pPr>
      <w:spacing w:after="120"/>
      <w:ind w:left="840" w:leftChars="400"/>
      <w:contextualSpacing/>
    </w:pPr>
  </w:style>
  <w:style w:type="paragraph" w:styleId="80">
    <w:name w:val="Message Header"/>
    <w:basedOn w:val="1"/>
    <w:link w:val="48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1">
    <w:name w:val="HTML Preformatted"/>
    <w:basedOn w:val="1"/>
    <w:semiHidden/>
    <w:qFormat/>
    <w:uiPriority w:val="0"/>
    <w:rPr>
      <w:rFonts w:ascii="Courier New" w:hAnsi="Courier New" w:cs="Courier New"/>
      <w:sz w:val="20"/>
      <w:szCs w:val="20"/>
    </w:rPr>
  </w:style>
  <w:style w:type="paragraph" w:styleId="82">
    <w:name w:val="Normal (Web)"/>
    <w:basedOn w:val="1"/>
    <w:unhideWhenUsed/>
    <w:qFormat/>
    <w:uiPriority w:val="99"/>
    <w:rPr>
      <w:sz w:val="24"/>
    </w:rPr>
  </w:style>
  <w:style w:type="paragraph" w:styleId="83">
    <w:name w:val="List Continue 3"/>
    <w:basedOn w:val="1"/>
    <w:unhideWhenUsed/>
    <w:qFormat/>
    <w:uiPriority w:val="99"/>
    <w:pPr>
      <w:spacing w:after="120"/>
      <w:ind w:left="1260" w:leftChars="600"/>
      <w:contextualSpacing/>
    </w:pPr>
  </w:style>
  <w:style w:type="paragraph" w:styleId="84">
    <w:name w:val="index 2"/>
    <w:basedOn w:val="1"/>
    <w:next w:val="1"/>
    <w:unhideWhenUsed/>
    <w:qFormat/>
    <w:uiPriority w:val="99"/>
    <w:pPr>
      <w:ind w:left="200" w:leftChars="200"/>
    </w:pPr>
  </w:style>
  <w:style w:type="paragraph" w:styleId="85">
    <w:name w:val="Title"/>
    <w:basedOn w:val="1"/>
    <w:qFormat/>
    <w:uiPriority w:val="0"/>
    <w:pPr>
      <w:spacing w:before="240" w:after="60"/>
      <w:jc w:val="center"/>
      <w:outlineLvl w:val="0"/>
    </w:pPr>
    <w:rPr>
      <w:rFonts w:ascii="Arial" w:hAnsi="Arial" w:cs="Arial"/>
      <w:b/>
      <w:bCs/>
      <w:sz w:val="32"/>
      <w:szCs w:val="32"/>
    </w:rPr>
  </w:style>
  <w:style w:type="paragraph" w:styleId="86">
    <w:name w:val="annotation subject"/>
    <w:basedOn w:val="36"/>
    <w:next w:val="36"/>
    <w:link w:val="369"/>
    <w:unhideWhenUsed/>
    <w:qFormat/>
    <w:uiPriority w:val="99"/>
    <w:rPr>
      <w:b/>
      <w:bCs/>
    </w:rPr>
  </w:style>
  <w:style w:type="paragraph" w:styleId="87">
    <w:name w:val="Body Text First Indent"/>
    <w:basedOn w:val="42"/>
    <w:link w:val="485"/>
    <w:unhideWhenUsed/>
    <w:qFormat/>
    <w:uiPriority w:val="99"/>
    <w:pPr>
      <w:ind w:firstLine="420" w:firstLineChars="1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258"/>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70"/>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258"/>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字符"/>
    <w:basedOn w:val="231"/>
    <w:link w:val="42"/>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2"/>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5"/>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字符"/>
    <w:basedOn w:val="231"/>
    <w:link w:val="38"/>
    <w:semiHidden/>
    <w:qFormat/>
    <w:uiPriority w:val="99"/>
    <w:rPr>
      <w:kern w:val="2"/>
      <w:sz w:val="21"/>
      <w:szCs w:val="24"/>
    </w:rPr>
  </w:style>
  <w:style w:type="character" w:customStyle="1" w:styleId="357">
    <w:name w:val="纯文本 字符"/>
    <w:basedOn w:val="231"/>
    <w:link w:val="50"/>
    <w:semiHidden/>
    <w:qFormat/>
    <w:uiPriority w:val="99"/>
    <w:rPr>
      <w:rFonts w:ascii="宋体" w:hAnsi="Courier New" w:cs="Courier New"/>
      <w:kern w:val="2"/>
      <w:sz w:val="21"/>
      <w:szCs w:val="21"/>
    </w:rPr>
  </w:style>
  <w:style w:type="character" w:customStyle="1" w:styleId="358">
    <w:name w:val="电子邮件签名 字符"/>
    <w:basedOn w:val="231"/>
    <w:link w:val="27"/>
    <w:semiHidden/>
    <w:qFormat/>
    <w:uiPriority w:val="99"/>
    <w:rPr>
      <w:kern w:val="2"/>
      <w:sz w:val="21"/>
      <w:szCs w:val="24"/>
    </w:rPr>
  </w:style>
  <w:style w:type="character" w:customStyle="1" w:styleId="359">
    <w:name w:val="副标题 字符"/>
    <w:basedOn w:val="231"/>
    <w:link w:val="67"/>
    <w:qFormat/>
    <w:uiPriority w:val="11"/>
    <w:rPr>
      <w:rFonts w:asciiTheme="majorHAnsi" w:hAnsiTheme="majorHAnsi" w:cstheme="majorBidi"/>
      <w:b/>
      <w:bCs/>
      <w:kern w:val="28"/>
      <w:sz w:val="32"/>
      <w:szCs w:val="32"/>
    </w:rPr>
  </w:style>
  <w:style w:type="character" w:customStyle="1" w:styleId="360">
    <w:name w:val="宏文本 字符"/>
    <w:basedOn w:val="231"/>
    <w:link w:val="4"/>
    <w:semiHidden/>
    <w:qFormat/>
    <w:uiPriority w:val="99"/>
    <w:rPr>
      <w:rFonts w:ascii="Courier New" w:hAnsi="Courier New" w:cs="Courier New"/>
      <w:kern w:val="2"/>
      <w:sz w:val="24"/>
      <w:szCs w:val="24"/>
    </w:rPr>
  </w:style>
  <w:style w:type="character" w:customStyle="1" w:styleId="361">
    <w:name w:val="结束语 字符"/>
    <w:basedOn w:val="231"/>
    <w:link w:val="40"/>
    <w:semiHidden/>
    <w:qFormat/>
    <w:uiPriority w:val="99"/>
    <w:rPr>
      <w:kern w:val="2"/>
      <w:sz w:val="21"/>
      <w:szCs w:val="24"/>
    </w:rPr>
  </w:style>
  <w:style w:type="paragraph" w:customStyle="1" w:styleId="362">
    <w:name w:val="列表段落1"/>
    <w:basedOn w:val="1"/>
    <w:qFormat/>
    <w:uiPriority w:val="99"/>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customStyle="1" w:styleId="365">
    <w:name w:val="明显引用1"/>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字符"/>
    <w:basedOn w:val="231"/>
    <w:link w:val="59"/>
    <w:semiHidden/>
    <w:qFormat/>
    <w:uiPriority w:val="99"/>
    <w:rPr>
      <w:kern w:val="2"/>
      <w:sz w:val="18"/>
      <w:szCs w:val="18"/>
    </w:rPr>
  </w:style>
  <w:style w:type="character" w:customStyle="1" w:styleId="368">
    <w:name w:val="批注文字 字符"/>
    <w:basedOn w:val="231"/>
    <w:link w:val="36"/>
    <w:qFormat/>
    <w:uiPriority w:val="99"/>
    <w:rPr>
      <w:kern w:val="2"/>
      <w:sz w:val="21"/>
      <w:szCs w:val="24"/>
    </w:rPr>
  </w:style>
  <w:style w:type="character" w:customStyle="1" w:styleId="369">
    <w:name w:val="批注主题 字符"/>
    <w:basedOn w:val="368"/>
    <w:link w:val="86"/>
    <w:semiHidden/>
    <w:qFormat/>
    <w:uiPriority w:val="99"/>
    <w:rPr>
      <w:b/>
      <w:bCs/>
      <w:kern w:val="2"/>
      <w:sz w:val="21"/>
      <w:szCs w:val="24"/>
    </w:rPr>
  </w:style>
  <w:style w:type="character" w:customStyle="1" w:styleId="370">
    <w:name w:val="签名 字符"/>
    <w:basedOn w:val="231"/>
    <w:link w:val="63"/>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字符"/>
    <w:basedOn w:val="231"/>
    <w:link w:val="55"/>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字符"/>
    <w:basedOn w:val="231"/>
    <w:link w:val="57"/>
    <w:semiHidden/>
    <w:qFormat/>
    <w:uiPriority w:val="99"/>
    <w:rPr>
      <w:kern w:val="2"/>
      <w:sz w:val="21"/>
      <w:szCs w:val="24"/>
    </w:rPr>
  </w:style>
  <w:style w:type="character" w:customStyle="1" w:styleId="474">
    <w:name w:val="文档结构图 字符"/>
    <w:basedOn w:val="231"/>
    <w:link w:val="34"/>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4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字符"/>
    <w:basedOn w:val="231"/>
    <w:link w:val="80"/>
    <w:semiHidden/>
    <w:qFormat/>
    <w:uiPriority w:val="99"/>
    <w:rPr>
      <w:rFonts w:asciiTheme="majorHAnsi" w:hAnsiTheme="majorHAnsi" w:eastAsiaTheme="majorEastAsia" w:cstheme="majorBidi"/>
      <w:kern w:val="2"/>
      <w:sz w:val="24"/>
      <w:szCs w:val="24"/>
      <w:shd w:val="pct20" w:color="auto" w:fill="auto"/>
    </w:rPr>
  </w:style>
  <w:style w:type="paragraph" w:customStyle="1" w:styleId="482">
    <w:name w:val="引用1"/>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484">
    <w:name w:val="占位符文本1"/>
    <w:basedOn w:val="231"/>
    <w:semiHidden/>
    <w:qFormat/>
    <w:uiPriority w:val="99"/>
    <w:rPr>
      <w:color w:val="808080"/>
    </w:rPr>
  </w:style>
  <w:style w:type="character" w:customStyle="1" w:styleId="485">
    <w:name w:val="正文文本首行缩进 字符"/>
    <w:basedOn w:val="333"/>
    <w:link w:val="87"/>
    <w:semiHidden/>
    <w:qFormat/>
    <w:uiPriority w:val="99"/>
    <w:rPr>
      <w:kern w:val="2"/>
      <w:sz w:val="21"/>
      <w:szCs w:val="24"/>
    </w:rPr>
  </w:style>
  <w:style w:type="character" w:customStyle="1" w:styleId="486">
    <w:name w:val="正文文本缩进 字符"/>
    <w:basedOn w:val="231"/>
    <w:link w:val="3"/>
    <w:semiHidden/>
    <w:qFormat/>
    <w:uiPriority w:val="99"/>
    <w:rPr>
      <w:kern w:val="2"/>
      <w:sz w:val="21"/>
      <w:szCs w:val="24"/>
    </w:rPr>
  </w:style>
  <w:style w:type="character" w:customStyle="1" w:styleId="487">
    <w:name w:val="正文文本首行缩进 2 字符"/>
    <w:basedOn w:val="486"/>
    <w:link w:val="2"/>
    <w:semiHidden/>
    <w:qFormat/>
    <w:uiPriority w:val="99"/>
    <w:rPr>
      <w:kern w:val="2"/>
      <w:sz w:val="21"/>
      <w:szCs w:val="24"/>
    </w:rPr>
  </w:style>
  <w:style w:type="character" w:customStyle="1" w:styleId="488">
    <w:name w:val="正文文本 2 字符"/>
    <w:basedOn w:val="231"/>
    <w:link w:val="77"/>
    <w:semiHidden/>
    <w:qFormat/>
    <w:uiPriority w:val="99"/>
    <w:rPr>
      <w:kern w:val="2"/>
      <w:sz w:val="21"/>
      <w:szCs w:val="24"/>
    </w:rPr>
  </w:style>
  <w:style w:type="character" w:customStyle="1" w:styleId="489">
    <w:name w:val="正文文本 3 字符"/>
    <w:basedOn w:val="231"/>
    <w:link w:val="39"/>
    <w:semiHidden/>
    <w:qFormat/>
    <w:uiPriority w:val="99"/>
    <w:rPr>
      <w:kern w:val="2"/>
      <w:sz w:val="16"/>
      <w:szCs w:val="16"/>
    </w:rPr>
  </w:style>
  <w:style w:type="character" w:customStyle="1" w:styleId="490">
    <w:name w:val="正文文本缩进 2 字符"/>
    <w:basedOn w:val="231"/>
    <w:link w:val="56"/>
    <w:semiHidden/>
    <w:qFormat/>
    <w:uiPriority w:val="99"/>
    <w:rPr>
      <w:kern w:val="2"/>
      <w:sz w:val="21"/>
      <w:szCs w:val="24"/>
    </w:rPr>
  </w:style>
  <w:style w:type="character" w:customStyle="1" w:styleId="491">
    <w:name w:val="正文文本缩进 3 字符"/>
    <w:basedOn w:val="231"/>
    <w:link w:val="72"/>
    <w:semiHidden/>
    <w:qFormat/>
    <w:uiPriority w:val="99"/>
    <w:rPr>
      <w:kern w:val="2"/>
      <w:sz w:val="16"/>
      <w:szCs w:val="16"/>
    </w:rPr>
  </w:style>
  <w:style w:type="character" w:customStyle="1" w:styleId="492">
    <w:name w:val="注释标题 字符"/>
    <w:basedOn w:val="231"/>
    <w:link w:val="24"/>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2"/>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2"/>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未处理的提及1"/>
    <w:basedOn w:val="231"/>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样式 标题 1 + 非加粗"/>
    <w:basedOn w:val="5"/>
    <w:qFormat/>
    <w:uiPriority w:val="0"/>
    <w:pPr>
      <w:spacing w:before="100" w:beforeLines="100" w:after="100" w:afterLines="100" w:line="240" w:lineRule="auto"/>
    </w:pPr>
    <w:rPr>
      <w:rFonts w:eastAsia="黑体"/>
      <w:b w:val="0"/>
      <w:bCs w:val="0"/>
      <w:sz w:val="21"/>
    </w:rPr>
  </w:style>
  <w:style w:type="paragraph" w:customStyle="1" w:styleId="5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21">
    <w:name w:val="Unresolved Mention"/>
    <w:basedOn w:val="231"/>
    <w:semiHidden/>
    <w:unhideWhenUsed/>
    <w:qFormat/>
    <w:uiPriority w:val="99"/>
    <w:rPr>
      <w:color w:val="605E5C"/>
      <w:shd w:val="clear" w:color="auto" w:fill="E1DFDD"/>
    </w:rPr>
  </w:style>
  <w:style w:type="character" w:customStyle="1" w:styleId="522">
    <w:name w:val="MTEquationSection"/>
    <w:basedOn w:val="231"/>
    <w:qFormat/>
    <w:uiPriority w:val="0"/>
    <w:rPr>
      <w:vanish/>
      <w:color w:val="FF0000"/>
    </w:rPr>
  </w:style>
  <w:style w:type="paragraph" w:customStyle="1" w:styleId="523">
    <w:name w:val="MTDisplayEquation"/>
    <w:basedOn w:val="258"/>
    <w:next w:val="1"/>
    <w:link w:val="524"/>
    <w:qFormat/>
    <w:uiPriority w:val="0"/>
    <w:pPr>
      <w:tabs>
        <w:tab w:val="center" w:pos="4680"/>
        <w:tab w:val="right" w:pos="9360"/>
      </w:tabs>
      <w:ind w:firstLine="0" w:firstLineChars="0"/>
      <w:outlineLvl w:val="2"/>
    </w:pPr>
  </w:style>
  <w:style w:type="character" w:customStyle="1" w:styleId="524">
    <w:name w:val="MTDisplayEquation 字符"/>
    <w:basedOn w:val="513"/>
    <w:link w:val="523"/>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9.e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emf"/><Relationship Id="rId27" Type="http://schemas.openxmlformats.org/officeDocument/2006/relationships/oleObject" Target="embeddings/oleObject8.bin"/><Relationship Id="rId26" Type="http://schemas.openxmlformats.org/officeDocument/2006/relationships/image" Target="media/image7.e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E234A-6CC9-4864-A23C-152C8EA3DC5A}">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11</Pages>
  <Words>6762</Words>
  <Characters>7572</Characters>
  <Lines>55</Lines>
  <Paragraphs>15</Paragraphs>
  <TotalTime>107</TotalTime>
  <ScaleCrop>false</ScaleCrop>
  <LinksUpToDate>false</LinksUpToDate>
  <CharactersWithSpaces>7917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2024-12-06T09:33:00Z</dcterms:created>
  <dc:creator>GY</dc:creator>
  <cp:lastModifiedBy>旅年之怠</cp:lastModifiedBy>
  <cp:lastPrinted>2025-01-03T01:22:00Z</cp:lastPrinted>
  <dcterms:modified xsi:type="dcterms:W3CDTF">2026-05-11T02:58:55Z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2052-12.1.0.25865</vt:lpwstr>
  </property>
  <property fmtid="{D5CDD505-2E9C-101B-9397-08002B2CF9AE}" pid="22" name="ICV">
    <vt:lpwstr>D93D2B4E47594FEAA8CF0B38E8AD99DB_13</vt:lpwstr>
  </property>
  <property fmtid="{D5CDD505-2E9C-101B-9397-08002B2CF9AE}" pid="23" name="MTEquationSection">
    <vt:lpwstr>1</vt:lpwstr>
  </property>
  <property fmtid="{D5CDD505-2E9C-101B-9397-08002B2CF9AE}" pid="24" name="MTWinEqns">
    <vt:bool>true</vt:bool>
  </property>
  <property fmtid="{D5CDD505-2E9C-101B-9397-08002B2CF9AE}" pid="25" name="MTEquationNumber2">
    <vt:lpwstr>(#E1)</vt:lpwstr>
  </property>
  <property fmtid="{D5CDD505-2E9C-101B-9397-08002B2CF9AE}" pid="26" name="KSOTemplateDocerSaveRecord">
    <vt:lpwstr>eyJoZGlkIjoiZDE1MmQwYjgzZTNmN2I2NWEzZmMzMmI0MjY0N2UzYmMiLCJ1c2VySWQiOiI0MDA5OTY5MjEifQ==</vt:lpwstr>
  </property>
</Properties>
</file>