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jc w:val="left"/>
        <w:rPr>
          <w:rFonts w:ascii="黑体" w:hAnsi="黑体" w:eastAsia="黑体"/>
          <w:b w:val="0"/>
        </w:rPr>
      </w:pPr>
    </w:p>
    <w:p>
      <w:pPr>
        <w:pStyle w:val="14"/>
        <w:ind w:firstLine="0" w:firstLineChars="0"/>
      </w:pPr>
    </w:p>
    <w:p>
      <w:pPr>
        <w:pStyle w:val="14"/>
        <w:ind w:firstLine="0" w:firstLineChars="0"/>
      </w:pPr>
    </w:p>
    <w:p>
      <w:pPr>
        <w:pStyle w:val="14"/>
        <w:ind w:firstLine="0" w:firstLineChars="0"/>
      </w:pPr>
    </w:p>
    <w:p>
      <w:pPr>
        <w:pStyle w:val="14"/>
        <w:ind w:firstLine="0" w:firstLineChars="0"/>
      </w:pPr>
    </w:p>
    <w:p>
      <w:pPr>
        <w:pStyle w:val="14"/>
        <w:ind w:firstLine="0" w:firstLineChars="0"/>
      </w:pPr>
    </w:p>
    <w:p>
      <w:pPr>
        <w:pStyle w:val="14"/>
        <w:ind w:firstLine="0" w:firstLineChars="0"/>
      </w:pPr>
    </w:p>
    <w:p>
      <w:pPr>
        <w:pStyle w:val="14"/>
        <w:ind w:firstLine="0" w:firstLineChars="0"/>
      </w:pPr>
    </w:p>
    <w:p>
      <w:pPr>
        <w:pStyle w:val="24"/>
        <w:spacing w:before="312" w:beforeLines="100"/>
        <w:rPr>
          <w:rFonts w:hint="eastAsia"/>
          <w:sz w:val="44"/>
          <w:szCs w:val="44"/>
        </w:rPr>
      </w:pPr>
      <w:bookmarkStart w:id="0" w:name="_Hlk195536067"/>
      <w:r>
        <w:rPr>
          <w:rFonts w:hint="eastAsia"/>
          <w:sz w:val="44"/>
          <w:szCs w:val="44"/>
        </w:rPr>
        <w:t>无人机用电检查作业导则</w:t>
      </w:r>
    </w:p>
    <w:bookmarkEnd w:id="0"/>
    <w:p>
      <w:pPr>
        <w:pStyle w:val="14"/>
      </w:pPr>
    </w:p>
    <w:p>
      <w:pPr>
        <w:pStyle w:val="14"/>
      </w:pPr>
    </w:p>
    <w:p>
      <w:pPr>
        <w:pStyle w:val="15"/>
        <w:numPr>
          <w:ilvl w:val="0"/>
          <w:numId w:val="0"/>
        </w:numPr>
        <w:jc w:val="center"/>
        <w:rPr>
          <w:sz w:val="28"/>
          <w:szCs w:val="28"/>
        </w:rPr>
      </w:pPr>
      <w:bookmarkStart w:id="1" w:name="_Toc298937333"/>
      <w:bookmarkStart w:id="2" w:name="_Toc298937368"/>
      <w:bookmarkStart w:id="3" w:name="_Toc304824981"/>
      <w:bookmarkStart w:id="4" w:name="_Toc310002657"/>
      <w:bookmarkStart w:id="5" w:name="_Toc318613715"/>
      <w:bookmarkStart w:id="6" w:name="_Toc320020914"/>
      <w:bookmarkStart w:id="7" w:name="_Toc309995598"/>
      <w:bookmarkStart w:id="8" w:name="_Toc304402675"/>
      <w:bookmarkStart w:id="9" w:name="_Toc298938646"/>
      <w:bookmarkStart w:id="10" w:name="_Toc309995492"/>
      <w:bookmarkStart w:id="11" w:name="_Toc309996019"/>
      <w:bookmarkStart w:id="12" w:name="_Toc298937473"/>
      <w:bookmarkStart w:id="13" w:name="_Toc309995410"/>
      <w:bookmarkStart w:id="14" w:name="_Toc298938794"/>
      <w:bookmarkStart w:id="15" w:name="_Toc304828086"/>
      <w:bookmarkStart w:id="16" w:name="_Toc298937430"/>
      <w:bookmarkStart w:id="17" w:name="_Toc309994571"/>
      <w:bookmarkStart w:id="18" w:name="_Toc304825093"/>
      <w:bookmarkStart w:id="19" w:name="_Toc298937620"/>
      <w:bookmarkStart w:id="20" w:name="_Toc309993200"/>
      <w:bookmarkStart w:id="21" w:name="_Toc304825020"/>
      <w:bookmarkStart w:id="22" w:name="_Toc298937560"/>
      <w:bookmarkStart w:id="23" w:name="_Toc309997060"/>
      <w:r>
        <w:rPr>
          <w:rFonts w:hint="eastAsia"/>
          <w:sz w:val="28"/>
          <w:szCs w:val="28"/>
        </w:rPr>
        <w:t>编 制 说</w:t>
      </w:r>
      <w:bookmarkEnd w:id="1"/>
      <w:bookmarkEnd w:id="2"/>
      <w:r>
        <w:rPr>
          <w:rFonts w:hint="eastAsia"/>
          <w:sz w:val="28"/>
          <w:szCs w:val="28"/>
        </w:rPr>
        <w:t> 明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>
      <w:pPr>
        <w:pStyle w:val="14"/>
        <w:ind w:firstLine="560"/>
        <w:jc w:val="center"/>
        <w:rPr>
          <w:rFonts w:ascii="黑体" w:eastAsia="黑体"/>
          <w:sz w:val="28"/>
          <w:szCs w:val="28"/>
        </w:rPr>
      </w:pPr>
    </w:p>
    <w:p>
      <w:pPr>
        <w:pStyle w:val="14"/>
        <w:ind w:firstLine="560"/>
        <w:jc w:val="center"/>
        <w:rPr>
          <w:rFonts w:ascii="黑体" w:eastAsia="黑体"/>
          <w:sz w:val="28"/>
          <w:szCs w:val="28"/>
        </w:rPr>
      </w:pPr>
    </w:p>
    <w:p>
      <w:pPr>
        <w:pStyle w:val="14"/>
        <w:sectPr>
          <w:headerReference r:id="rId3" w:type="default"/>
          <w:headerReference r:id="rId4" w:type="even"/>
          <w:pgSz w:w="11906" w:h="16838"/>
          <w:pgMar w:top="567" w:right="1134" w:bottom="1134" w:left="1417" w:header="1418" w:footer="1134" w:gutter="0"/>
          <w:cols w:space="720" w:num="1"/>
          <w:formProt w:val="0"/>
          <w:docGrid w:type="lines" w:linePitch="312" w:charSpace="0"/>
        </w:sectPr>
      </w:pPr>
    </w:p>
    <w:p>
      <w:pPr>
        <w:pStyle w:val="16"/>
      </w:pPr>
      <w:bookmarkStart w:id="24" w:name="_Toc309992160"/>
      <w:bookmarkStart w:id="25" w:name="_Toc513731109"/>
      <w:bookmarkStart w:id="26" w:name="_Toc513731021"/>
      <w:r>
        <w:rPr>
          <w:rFonts w:hint="eastAsia"/>
        </w:rPr>
        <w:t>目次</w:t>
      </w:r>
      <w:bookmarkEnd w:id="24"/>
      <w:bookmarkEnd w:id="25"/>
      <w:bookmarkEnd w:id="26"/>
    </w:p>
    <w:p>
      <w:pPr>
        <w:pStyle w:val="7"/>
        <w:spacing w:before="78" w:after="78"/>
        <w:rPr>
          <w:rFonts w:ascii="Calibri" w:hAnsi="Calibri"/>
          <w:szCs w:val="22"/>
        </w:rPr>
      </w:pPr>
      <w:r>
        <w:rPr>
          <w:rFonts w:hAnsi="宋体"/>
        </w:rPr>
        <w:fldChar w:fldCharType="begin"/>
      </w:r>
      <w:r>
        <w:rPr>
          <w:rFonts w:hAnsi="宋体"/>
        </w:rPr>
        <w:instrText xml:space="preserve"> </w:instrText>
      </w:r>
      <w:r>
        <w:rPr>
          <w:rFonts w:hint="eastAsia" w:hAnsi="宋体"/>
        </w:rPr>
        <w:instrText xml:space="preserve">TOC \o "1-1" \h \z \u</w:instrText>
      </w:r>
      <w:r>
        <w:rPr>
          <w:rFonts w:hAnsi="宋体"/>
        </w:rPr>
        <w:instrText xml:space="preserve"> </w:instrText>
      </w:r>
      <w:r>
        <w:rPr>
          <w:rFonts w:hAnsi="宋体"/>
        </w:rPr>
        <w:fldChar w:fldCharType="separate"/>
      </w:r>
    </w:p>
    <w:p>
      <w:pPr>
        <w:pStyle w:val="7"/>
        <w:spacing w:before="78" w:after="78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"_Toc513731110" </w:instrText>
      </w:r>
      <w:r>
        <w:fldChar w:fldCharType="separate"/>
      </w:r>
      <w:r>
        <w:rPr>
          <w:rStyle w:val="13"/>
          <w:rFonts w:hAnsi="宋体"/>
        </w:rPr>
        <w:t xml:space="preserve">1 </w:t>
      </w:r>
      <w:r>
        <w:rPr>
          <w:rStyle w:val="13"/>
          <w:rFonts w:hint="eastAsia" w:hAnsi="宋体"/>
        </w:rPr>
        <w:t>编制背景</w:t>
      </w:r>
      <w:r>
        <w:tab/>
      </w:r>
      <w:r>
        <w:fldChar w:fldCharType="begin"/>
      </w:r>
      <w:r>
        <w:instrText xml:space="preserve"> PAGEREF _Toc513731110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7"/>
        <w:spacing w:before="78" w:after="78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"_Toc513731111" </w:instrText>
      </w:r>
      <w:r>
        <w:fldChar w:fldCharType="separate"/>
      </w:r>
      <w:r>
        <w:rPr>
          <w:rStyle w:val="13"/>
          <w:rFonts w:hAnsi="宋体"/>
        </w:rPr>
        <w:t xml:space="preserve">2 </w:t>
      </w:r>
      <w:r>
        <w:rPr>
          <w:rStyle w:val="13"/>
          <w:rFonts w:hint="eastAsia" w:hAnsi="宋体"/>
        </w:rPr>
        <w:t>编制主要原则</w:t>
      </w:r>
      <w:r>
        <w:tab/>
      </w:r>
      <w:r>
        <w:fldChar w:fldCharType="begin"/>
      </w:r>
      <w:r>
        <w:instrText xml:space="preserve"> PAGEREF _Toc513731111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7"/>
        <w:spacing w:before="78" w:after="78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"_Toc513731112" </w:instrText>
      </w:r>
      <w:r>
        <w:fldChar w:fldCharType="separate"/>
      </w:r>
      <w:r>
        <w:rPr>
          <w:rStyle w:val="13"/>
          <w:rFonts w:hAnsi="宋体"/>
        </w:rPr>
        <w:t xml:space="preserve">3 </w:t>
      </w:r>
      <w:r>
        <w:rPr>
          <w:rStyle w:val="13"/>
          <w:rFonts w:hint="eastAsia" w:hAnsi="宋体"/>
        </w:rPr>
        <w:t>主要工作过程</w:t>
      </w:r>
      <w:r>
        <w:tab/>
      </w:r>
      <w:r>
        <w:fldChar w:fldCharType="begin"/>
      </w:r>
      <w:r>
        <w:instrText xml:space="preserve"> PAGEREF _Toc513731112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7"/>
        <w:spacing w:before="78" w:after="78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"_Toc513731113" </w:instrText>
      </w:r>
      <w:r>
        <w:fldChar w:fldCharType="separate"/>
      </w:r>
      <w:r>
        <w:rPr>
          <w:rStyle w:val="13"/>
          <w:rFonts w:hAnsi="宋体"/>
        </w:rPr>
        <w:t>4</w:t>
      </w:r>
      <w:r>
        <w:rPr>
          <w:rStyle w:val="13"/>
        </w:rPr>
        <w:t xml:space="preserve"> </w:t>
      </w:r>
      <w:r>
        <w:rPr>
          <w:rStyle w:val="13"/>
          <w:rFonts w:hint="eastAsia"/>
        </w:rPr>
        <w:t>标准结构和内容说明</w:t>
      </w:r>
      <w:r>
        <w:tab/>
      </w:r>
      <w:r>
        <w:fldChar w:fldCharType="begin"/>
      </w:r>
      <w:r>
        <w:instrText xml:space="preserve"> PAGEREF _Toc513731113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7"/>
        <w:spacing w:before="78" w:after="78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"_Toc513731114" </w:instrText>
      </w:r>
      <w:r>
        <w:fldChar w:fldCharType="separate"/>
      </w:r>
      <w:r>
        <w:rPr>
          <w:rStyle w:val="13"/>
          <w:rFonts w:hAnsi="宋体"/>
        </w:rPr>
        <w:t>5</w:t>
      </w:r>
      <w:r>
        <w:rPr>
          <w:rStyle w:val="13"/>
          <w:rFonts w:hint="eastAsia"/>
        </w:rPr>
        <w:t>相关标准对比说明</w:t>
      </w:r>
      <w:r>
        <w:rPr>
          <w:rStyle w:val="13"/>
        </w:rPr>
        <w:tab/>
      </w:r>
      <w:r>
        <w:fldChar w:fldCharType="begin"/>
      </w:r>
      <w:r>
        <w:rPr>
          <w:rStyle w:val="13"/>
        </w:rPr>
        <w:instrText xml:space="preserve"> PAGEREF _Toc513731114 \h </w:instrText>
      </w:r>
      <w:r>
        <w:fldChar w:fldCharType="separate"/>
      </w:r>
      <w:r>
        <w:rPr>
          <w:rStyle w:val="13"/>
        </w:rPr>
        <w:t>30</w:t>
      </w:r>
      <w:r>
        <w:fldChar w:fldCharType="end"/>
      </w:r>
      <w:r>
        <w:fldChar w:fldCharType="end"/>
      </w:r>
    </w:p>
    <w:p>
      <w:pPr>
        <w:pStyle w:val="7"/>
        <w:spacing w:before="78" w:after="78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"_Toc513731115" </w:instrText>
      </w:r>
      <w:r>
        <w:fldChar w:fldCharType="separate"/>
      </w:r>
      <w:r>
        <w:rPr>
          <w:rStyle w:val="13"/>
          <w:rFonts w:hAnsi="宋体"/>
        </w:rPr>
        <w:t>6</w:t>
      </w:r>
      <w:r>
        <w:rPr>
          <w:rStyle w:val="13"/>
          <w:rFonts w:hint="eastAsia" w:hAnsi="宋体"/>
        </w:rPr>
        <w:t>标准实施措施说明</w:t>
      </w:r>
      <w:r>
        <w:tab/>
      </w:r>
      <w:r>
        <w:fldChar w:fldCharType="begin"/>
      </w:r>
      <w:r>
        <w:instrText xml:space="preserve"> PAGEREF _Toc513731115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14"/>
        <w:rPr>
          <w:rFonts w:hAnsi="宋体"/>
          <w:szCs w:val="21"/>
        </w:rPr>
      </w:pPr>
      <w:r>
        <w:rPr>
          <w:rFonts w:hAnsi="宋体"/>
          <w:szCs w:val="21"/>
        </w:rPr>
        <w:fldChar w:fldCharType="end"/>
      </w:r>
    </w:p>
    <w:p>
      <w:pPr>
        <w:pStyle w:val="14"/>
        <w:rPr>
          <w:rFonts w:hAnsi="宋体"/>
          <w:szCs w:val="21"/>
        </w:rPr>
      </w:pPr>
    </w:p>
    <w:p>
      <w:pPr>
        <w:pStyle w:val="14"/>
        <w:rPr>
          <w:rFonts w:hAnsi="宋体"/>
          <w:szCs w:val="21"/>
        </w:rPr>
      </w:pPr>
    </w:p>
    <w:p>
      <w:pPr>
        <w:pStyle w:val="14"/>
        <w:rPr>
          <w:rFonts w:hAnsi="宋体"/>
          <w:szCs w:val="21"/>
        </w:rPr>
      </w:pPr>
    </w:p>
    <w:p>
      <w:pPr>
        <w:pStyle w:val="14"/>
        <w:rPr>
          <w:rFonts w:hAnsi="宋体"/>
          <w:szCs w:val="21"/>
        </w:rPr>
        <w:sectPr>
          <w:headerReference r:id="rId5" w:type="default"/>
          <w:footerReference r:id="rId6" w:type="default"/>
          <w:pgSz w:w="11906" w:h="16838"/>
          <w:pgMar w:top="567" w:right="1134" w:bottom="1134" w:left="1417" w:header="1418" w:footer="1134" w:gutter="0"/>
          <w:pgNumType w:start="28"/>
          <w:cols w:space="720" w:num="1"/>
          <w:formProt w:val="0"/>
          <w:docGrid w:type="lines" w:linePitch="312" w:charSpace="0"/>
        </w:sectPr>
      </w:pPr>
    </w:p>
    <w:p>
      <w:pPr>
        <w:pStyle w:val="18"/>
        <w:spacing w:before="312" w:after="312" w:line="360" w:lineRule="auto"/>
        <w:rPr>
          <w:rFonts w:ascii="宋体" w:hAnsi="宋体"/>
          <w:szCs w:val="21"/>
        </w:rPr>
      </w:pPr>
      <w:bookmarkStart w:id="27" w:name="_Toc513731110"/>
      <w:r>
        <w:rPr>
          <w:rFonts w:hint="eastAsia" w:ascii="宋体" w:hAnsi="宋体"/>
          <w:szCs w:val="21"/>
        </w:rPr>
        <w:t>1 编制背景</w:t>
      </w:r>
      <w:bookmarkEnd w:id="27"/>
    </w:p>
    <w:p>
      <w:pPr>
        <w:pStyle w:val="14"/>
        <w:spacing w:line="360" w:lineRule="auto"/>
        <w:rPr>
          <w:rFonts w:hint="eastAsia"/>
          <w:kern w:val="2"/>
        </w:rPr>
      </w:pPr>
      <w:r>
        <w:rPr>
          <w:rFonts w:hint="eastAsia"/>
          <w:kern w:val="2"/>
        </w:rPr>
        <w:t>随着我国“双碳”战略纵深推进，电力系统迎来规模化升级，特高压输电网络、智能配电网及新能源并网规模持续扩大，用电设施覆盖范围不断延伸，涵盖高山峡谷、城市楼宇、偏远台区等多种复杂场景，传统人工用电检查模式已难以适配新时代</w:t>
      </w:r>
      <w:r>
        <w:rPr>
          <w:rFonts w:hint="eastAsia"/>
          <w:kern w:val="2"/>
          <w:lang w:val="en-US" w:eastAsia="zh-CN"/>
        </w:rPr>
        <w:t>电力用户用电稽查与安全用电的</w:t>
      </w:r>
      <w:r>
        <w:rPr>
          <w:rFonts w:hint="eastAsia"/>
          <w:kern w:val="2"/>
        </w:rPr>
        <w:t>需求。在此背景下，无人机凭借灵活机动、高效精准、无接触作业的优势，逐步替代人工攀爬、地面目视等传统方式，成为用电检查领域的核心装备，彻底改变</w:t>
      </w:r>
      <w:r>
        <w:rPr>
          <w:rFonts w:hint="eastAsia"/>
          <w:b w:val="0"/>
          <w:bCs w:val="0"/>
          <w:kern w:val="2"/>
        </w:rPr>
        <w:t>了</w:t>
      </w:r>
      <w:r>
        <w:rPr>
          <w:rFonts w:hint="eastAsia"/>
          <w:b w:val="0"/>
          <w:bCs w:val="0"/>
          <w:kern w:val="2"/>
          <w:lang w:val="en-US" w:eastAsia="zh-CN"/>
        </w:rPr>
        <w:t>用电检查</w:t>
      </w:r>
      <w:r>
        <w:rPr>
          <w:rFonts w:hint="eastAsia"/>
          <w:b w:val="0"/>
          <w:bCs w:val="0"/>
          <w:kern w:val="2"/>
        </w:rPr>
        <w:t>“</w:t>
      </w:r>
      <w:r>
        <w:rPr>
          <w:rFonts w:hint="eastAsia"/>
          <w:kern w:val="2"/>
        </w:rPr>
        <w:t>高危、低效、盲区多”的困境，为</w:t>
      </w:r>
      <w:r>
        <w:rPr>
          <w:rFonts w:hint="eastAsia"/>
          <w:kern w:val="2"/>
          <w:lang w:val="en-US" w:eastAsia="zh-CN"/>
        </w:rPr>
        <w:t>电力用户的依法、合规以及安全用电</w:t>
      </w:r>
      <w:r>
        <w:rPr>
          <w:rFonts w:hint="eastAsia"/>
          <w:kern w:val="2"/>
        </w:rPr>
        <w:t>筑起“空中防线”。</w:t>
      </w:r>
    </w:p>
    <w:p>
      <w:pPr>
        <w:pStyle w:val="14"/>
        <w:spacing w:line="360" w:lineRule="auto"/>
        <w:rPr>
          <w:rFonts w:hint="eastAsia"/>
          <w:kern w:val="2"/>
        </w:rPr>
      </w:pPr>
      <w:r>
        <w:rPr>
          <w:rFonts w:hint="eastAsia"/>
          <w:kern w:val="2"/>
        </w:rPr>
        <w:t>当前，无人机用电检查已实现多</w:t>
      </w:r>
      <w:r>
        <w:rPr>
          <w:rFonts w:hint="eastAsia"/>
          <w:b w:val="0"/>
          <w:bCs w:val="0"/>
          <w:kern w:val="2"/>
        </w:rPr>
        <w:t>场景全覆盖，不仅可完成</w:t>
      </w:r>
      <w:r>
        <w:rPr>
          <w:rFonts w:hint="eastAsia"/>
          <w:b w:val="0"/>
          <w:bCs w:val="0"/>
          <w:kern w:val="2"/>
          <w:lang w:val="en-US" w:eastAsia="zh-CN"/>
        </w:rPr>
        <w:t>电力用户的内部</w:t>
      </w:r>
      <w:r>
        <w:rPr>
          <w:rFonts w:hint="eastAsia"/>
          <w:b w:val="0"/>
          <w:bCs w:val="0"/>
          <w:kern w:val="2"/>
        </w:rPr>
        <w:t>线路、变电站</w:t>
      </w:r>
      <w:r>
        <w:rPr>
          <w:rFonts w:hint="eastAsia"/>
          <w:b w:val="0"/>
          <w:bCs w:val="0"/>
          <w:kern w:val="2"/>
          <w:lang w:eastAsia="zh-CN"/>
        </w:rPr>
        <w:t>、</w:t>
      </w:r>
      <w:r>
        <w:rPr>
          <w:rFonts w:hint="eastAsia"/>
          <w:b w:val="0"/>
          <w:bCs w:val="0"/>
          <w:kern w:val="2"/>
          <w:lang w:val="en-US" w:eastAsia="zh-CN"/>
        </w:rPr>
        <w:t>以及新能源并网设备的</w:t>
      </w:r>
      <w:r>
        <w:rPr>
          <w:rFonts w:hint="eastAsia"/>
          <w:b w:val="0"/>
          <w:bCs w:val="0"/>
          <w:kern w:val="2"/>
        </w:rPr>
        <w:t>精细化检查，还能适配供电企业开展量价费合规性、超容用电、转供电、变更用电和窃电等检查</w:t>
      </w:r>
      <w:r>
        <w:rPr>
          <w:rFonts w:hint="eastAsia"/>
          <w:b w:val="0"/>
          <w:bCs w:val="0"/>
          <w:kern w:val="2"/>
          <w:lang w:val="en-US" w:eastAsia="zh-CN"/>
        </w:rPr>
        <w:t>工作</w:t>
      </w:r>
      <w:r>
        <w:rPr>
          <w:rFonts w:hint="eastAsia"/>
          <w:b w:val="0"/>
          <w:bCs w:val="0"/>
          <w:kern w:val="2"/>
        </w:rPr>
        <w:t>。在导线断股、绝缘</w:t>
      </w:r>
      <w:r>
        <w:rPr>
          <w:rFonts w:hint="eastAsia"/>
          <w:kern w:val="2"/>
        </w:rPr>
        <w:t>子破损、设备过热、</w:t>
      </w:r>
      <w:r>
        <w:rPr>
          <w:rFonts w:hint="eastAsia"/>
          <w:kern w:val="2"/>
          <w:lang w:val="en-US" w:eastAsia="zh-CN"/>
        </w:rPr>
        <w:t>新能源并网检查、用户窃电</w:t>
      </w:r>
      <w:r>
        <w:rPr>
          <w:rFonts w:hint="eastAsia"/>
          <w:kern w:val="2"/>
        </w:rPr>
        <w:t>等排查</w:t>
      </w:r>
      <w:r>
        <w:rPr>
          <w:rFonts w:hint="eastAsia"/>
          <w:kern w:val="2"/>
          <w:lang w:val="en-US" w:eastAsia="zh-CN"/>
        </w:rPr>
        <w:t>工作</w:t>
      </w:r>
      <w:r>
        <w:rPr>
          <w:rFonts w:hint="eastAsia"/>
          <w:kern w:val="2"/>
        </w:rPr>
        <w:t>中发挥着不可替代的作用，大幅提升了检查效率与缺陷识别准确率，同时从根本上规避了人工登塔、近距离接触高压设备的安全风险，实现了用电检查“提质、增效、降本、安全”的目标。但与此同时，行业内无</w:t>
      </w:r>
      <w:r>
        <w:rPr>
          <w:rFonts w:hint="eastAsia"/>
          <w:b w:val="0"/>
          <w:bCs w:val="0"/>
          <w:kern w:val="2"/>
        </w:rPr>
        <w:t>人机用电检查作业仍存在诸多不规范问题：不同作业单位的操作流程不统一，作业人员专业素养参差不齐，无人机设备选型、用电隐患判定标准差异较大，部分作业人员缺乏规范的操作意识，存在飞行前检查不到位</w:t>
      </w:r>
      <w:r>
        <w:rPr>
          <w:rFonts w:hint="eastAsia"/>
          <w:b w:val="0"/>
          <w:bCs w:val="0"/>
          <w:kern w:val="2"/>
          <w:lang w:eastAsia="zh-CN"/>
        </w:rPr>
        <w:t>、</w:t>
      </w:r>
      <w:r>
        <w:rPr>
          <w:rFonts w:hint="eastAsia"/>
          <w:b w:val="0"/>
          <w:bCs w:val="0"/>
          <w:kern w:val="2"/>
          <w:lang w:val="en-US" w:eastAsia="zh-CN"/>
        </w:rPr>
        <w:t>飞行安全距离不足、违规进入禁飞区域</w:t>
      </w:r>
      <w:r>
        <w:rPr>
          <w:rFonts w:hint="eastAsia"/>
          <w:b w:val="0"/>
          <w:bCs w:val="0"/>
          <w:kern w:val="2"/>
        </w:rPr>
        <w:t>等问题，不仅影响检查</w:t>
      </w:r>
      <w:r>
        <w:rPr>
          <w:rFonts w:hint="eastAsia"/>
          <w:b w:val="0"/>
          <w:bCs w:val="0"/>
          <w:kern w:val="2"/>
          <w:lang w:val="en-US" w:eastAsia="zh-CN"/>
        </w:rPr>
        <w:t>效率与数据</w:t>
      </w:r>
      <w:r>
        <w:rPr>
          <w:rFonts w:hint="eastAsia"/>
          <w:b w:val="0"/>
          <w:bCs w:val="0"/>
          <w:kern w:val="2"/>
        </w:rPr>
        <w:t>可靠性，还易引发无人机坠机、触电、设备损坏等安全事故，制约了无人机用电检查技术的规模化、规范化应用。</w:t>
      </w:r>
    </w:p>
    <w:p>
      <w:pPr>
        <w:pStyle w:val="14"/>
        <w:spacing w:line="360" w:lineRule="auto"/>
        <w:rPr>
          <w:rFonts w:hint="eastAsia"/>
          <w:b w:val="0"/>
          <w:bCs w:val="0"/>
          <w:kern w:val="2"/>
        </w:rPr>
      </w:pPr>
      <w:r>
        <w:rPr>
          <w:rFonts w:hint="eastAsia"/>
          <w:kern w:val="2"/>
        </w:rPr>
        <w:t>从行业标准层面来看，虽然已出台《电网设备无人机自动巡检技术导则》《变电站无人机巡检系统》等相关标准，规范了无人机在</w:t>
      </w:r>
      <w:r>
        <w:rPr>
          <w:rFonts w:hint="eastAsia"/>
          <w:kern w:val="2"/>
          <w:lang w:val="en-US" w:eastAsia="zh-CN"/>
        </w:rPr>
        <w:t>供电企业产权</w:t>
      </w:r>
      <w:r>
        <w:rPr>
          <w:rFonts w:hint="eastAsia"/>
          <w:kern w:val="2"/>
        </w:rPr>
        <w:t>设备巡检中的部分要求，但针对</w:t>
      </w:r>
      <w:r>
        <w:rPr>
          <w:rFonts w:hint="eastAsia"/>
          <w:kern w:val="2"/>
          <w:lang w:val="en-US" w:eastAsia="zh-CN"/>
        </w:rPr>
        <w:t>供电企业对电力客户产权设备开展</w:t>
      </w:r>
      <w:r>
        <w:rPr>
          <w:rFonts w:hint="eastAsia"/>
          <w:kern w:val="2"/>
        </w:rPr>
        <w:t>“用电检查”这一专项场景，尚未形成系统性、针对性的作业规范，现有标准难以覆盖用电检查的全流程、全环节，无法满足基层单位开展无人机用电检查的实际需求，也难以支撑</w:t>
      </w:r>
      <w:r>
        <w:rPr>
          <w:rFonts w:hint="eastAsia"/>
          <w:kern w:val="2"/>
          <w:lang w:val="en-US" w:eastAsia="zh-CN"/>
        </w:rPr>
        <w:t>用电检查工</w:t>
      </w:r>
      <w:r>
        <w:rPr>
          <w:rFonts w:hint="eastAsia"/>
          <w:b w:val="0"/>
          <w:bCs w:val="0"/>
          <w:kern w:val="2"/>
          <w:lang w:val="en-US" w:eastAsia="zh-CN"/>
        </w:rPr>
        <w:t>作</w:t>
      </w:r>
      <w:r>
        <w:rPr>
          <w:rFonts w:hint="eastAsia"/>
          <w:b w:val="0"/>
          <w:bCs w:val="0"/>
          <w:kern w:val="2"/>
        </w:rPr>
        <w:t>从</w:t>
      </w:r>
      <w:r>
        <w:rPr>
          <w:rFonts w:hint="eastAsia"/>
          <w:b w:val="0"/>
          <w:bCs w:val="0"/>
          <w:kern w:val="2"/>
          <w:lang w:val="en-US" w:eastAsia="zh-CN"/>
        </w:rPr>
        <w:t>传统</w:t>
      </w:r>
      <w:r>
        <w:rPr>
          <w:rFonts w:hint="eastAsia"/>
          <w:b w:val="0"/>
          <w:bCs w:val="0"/>
          <w:kern w:val="2"/>
        </w:rPr>
        <w:t>“</w:t>
      </w:r>
      <w:r>
        <w:rPr>
          <w:rFonts w:hint="eastAsia"/>
          <w:b w:val="0"/>
          <w:bCs w:val="0"/>
          <w:kern w:val="2"/>
          <w:lang w:val="en-US" w:eastAsia="zh-CN"/>
        </w:rPr>
        <w:t>二维平面</w:t>
      </w:r>
      <w:r>
        <w:rPr>
          <w:rFonts w:hint="eastAsia"/>
          <w:b w:val="0"/>
          <w:bCs w:val="0"/>
          <w:kern w:val="2"/>
        </w:rPr>
        <w:t>”向“</w:t>
      </w:r>
      <w:r>
        <w:rPr>
          <w:rFonts w:hint="eastAsia"/>
          <w:b w:val="0"/>
          <w:bCs w:val="0"/>
          <w:kern w:val="2"/>
          <w:lang w:val="en-US" w:eastAsia="zh-CN"/>
        </w:rPr>
        <w:t>三维空间</w:t>
      </w:r>
      <w:r>
        <w:rPr>
          <w:rFonts w:hint="eastAsia"/>
          <w:b w:val="0"/>
          <w:bCs w:val="0"/>
          <w:kern w:val="2"/>
        </w:rPr>
        <w:t>”的数字化、立体化、智能化变革。</w:t>
      </w:r>
    </w:p>
    <w:p>
      <w:pPr>
        <w:pStyle w:val="14"/>
        <w:spacing w:line="360" w:lineRule="auto"/>
        <w:rPr>
          <w:rFonts w:hint="eastAsia"/>
          <w:kern w:val="2"/>
        </w:rPr>
      </w:pPr>
      <w:r>
        <w:rPr>
          <w:rFonts w:hint="eastAsia"/>
          <w:kern w:val="2"/>
        </w:rPr>
        <w:t>为顺应电力智能化运维发展趋势，规范无人机用电检查作业行为，明确作业流程、技术要求、安全规范及质量标准，统一</w:t>
      </w:r>
      <w:r>
        <w:rPr>
          <w:rFonts w:hint="eastAsia"/>
          <w:kern w:val="2"/>
          <w:lang w:val="en-US" w:eastAsia="zh-CN"/>
        </w:rPr>
        <w:t>检查</w:t>
      </w:r>
      <w:r>
        <w:rPr>
          <w:rFonts w:hint="eastAsia"/>
          <w:kern w:val="2"/>
        </w:rPr>
        <w:t>数据管理标准，提升作业安全性、规范性和高效性，防范作业安全风险，保障</w:t>
      </w:r>
      <w:r>
        <w:rPr>
          <w:rFonts w:hint="eastAsia"/>
          <w:kern w:val="2"/>
          <w:lang w:val="en-US" w:eastAsia="zh-CN"/>
        </w:rPr>
        <w:t>电力用户</w:t>
      </w:r>
      <w:r>
        <w:rPr>
          <w:rFonts w:hint="eastAsia"/>
          <w:kern w:val="2"/>
        </w:rPr>
        <w:t>用电设施安全稳定运行，助力电力行业高质量发展，切实发挥无人机在用电检查中的技术优势，填补行业专项作业规范空白，特组织编写本《无人机用电检查作业导则》。</w:t>
      </w:r>
    </w:p>
    <w:p>
      <w:pPr>
        <w:pStyle w:val="18"/>
        <w:spacing w:before="312" w:after="312" w:line="360" w:lineRule="auto"/>
        <w:rPr>
          <w:rFonts w:ascii="宋体" w:hAnsi="宋体"/>
          <w:szCs w:val="21"/>
        </w:rPr>
      </w:pPr>
      <w:bookmarkStart w:id="28" w:name="_Toc513731111"/>
      <w:r>
        <w:rPr>
          <w:rFonts w:hint="eastAsia" w:ascii="宋体" w:hAnsi="宋体"/>
          <w:szCs w:val="21"/>
        </w:rPr>
        <w:t>2 编制主要原则</w:t>
      </w:r>
      <w:bookmarkEnd w:id="28"/>
    </w:p>
    <w:p>
      <w:pPr>
        <w:pStyle w:val="14"/>
        <w:spacing w:line="360" w:lineRule="auto"/>
      </w:pPr>
      <w:bookmarkStart w:id="29" w:name="_Toc513731112"/>
      <w:r>
        <w:rPr>
          <w:rFonts w:hint="eastAsia"/>
        </w:rPr>
        <w:t>本标准的编制主要依据以下原则：</w:t>
      </w:r>
    </w:p>
    <w:p>
      <w:pPr>
        <w:pStyle w:val="14"/>
        <w:spacing w:line="360" w:lineRule="auto"/>
      </w:pPr>
      <w:r>
        <w:rPr>
          <w:rFonts w:hint="eastAsia"/>
        </w:rPr>
        <w:t>a）坚持安全性与高效性相结合、规范性与可操作性相结合、专业性与通用性相结合的原则，以标准化为引领，服务于电力检查作业的安全有序开展，提升用电检查工作质效；</w:t>
      </w:r>
    </w:p>
    <w:p>
      <w:pPr>
        <w:pStyle w:val="14"/>
        <w:spacing w:line="360" w:lineRule="auto"/>
      </w:pPr>
      <w:r>
        <w:rPr>
          <w:rFonts w:hint="eastAsia"/>
        </w:rPr>
        <w:t>b）采用分散与集中的形式，分析调研各省（市）电力公司、</w:t>
      </w:r>
      <w:r>
        <w:rPr>
          <w:rFonts w:hint="eastAsia"/>
          <w:lang w:val="en-US" w:eastAsia="zh-CN"/>
        </w:rPr>
        <w:t>电力</w:t>
      </w:r>
      <w:r>
        <w:rPr>
          <w:rFonts w:hint="eastAsia"/>
        </w:rPr>
        <w:t>用户对于无人机用电检查作业现状、人员操作能力及实际作业需求，充分体现研究成果的实用性、先进性；</w:t>
      </w:r>
    </w:p>
    <w:p>
      <w:pPr>
        <w:pStyle w:val="14"/>
        <w:spacing w:line="360" w:lineRule="auto"/>
      </w:pPr>
      <w:r>
        <w:rPr>
          <w:rFonts w:hint="eastAsia"/>
        </w:rPr>
        <w:t>c）认真研究现行有效的IEC标准、国家标准、行业标准，充分考虑了新理念、新技术发展现状、趋势和需求。导则编制全流程体现无人机用电检查的智能化、规范化发展方向，严格契合国家电力安全、节能降耗相关政策及最新工作要求。</w:t>
      </w:r>
    </w:p>
    <w:p>
      <w:pPr>
        <w:pStyle w:val="18"/>
        <w:spacing w:before="312" w:after="312" w:line="360" w:lineRule="auto"/>
        <w:rPr>
          <w:rFonts w:hint="eastAsia" w:ascii="宋体" w:hAnsi="宋体" w:cs="Times New Roman"/>
          <w:szCs w:val="21"/>
          <w:highlight w:val="none"/>
        </w:rPr>
      </w:pPr>
      <w:r>
        <w:rPr>
          <w:rFonts w:hint="eastAsia" w:ascii="宋体" w:hAnsi="宋体" w:cs="Times New Roman"/>
          <w:szCs w:val="21"/>
          <w:highlight w:val="none"/>
        </w:rPr>
        <w:t>3 主要工作过程</w:t>
      </w:r>
      <w:bookmarkEnd w:id="29"/>
    </w:p>
    <w:p>
      <w:pPr>
        <w:pStyle w:val="14"/>
        <w:spacing w:line="360" w:lineRule="auto"/>
        <w:rPr>
          <w:kern w:val="2"/>
          <w:highlight w:val="none"/>
        </w:rPr>
      </w:pPr>
      <w:bookmarkStart w:id="30" w:name="_Toc513731113"/>
      <w:r>
        <w:rPr>
          <w:kern w:val="2"/>
          <w:highlight w:val="none"/>
        </w:rPr>
        <w:t>本</w:t>
      </w:r>
      <w:r>
        <w:rPr>
          <w:rFonts w:hint="eastAsia"/>
          <w:kern w:val="2"/>
          <w:highlight w:val="none"/>
        </w:rPr>
        <w:t>标准</w:t>
      </w:r>
      <w:r>
        <w:rPr>
          <w:kern w:val="2"/>
          <w:highlight w:val="none"/>
        </w:rPr>
        <w:t>的主要工作过程如下：</w:t>
      </w:r>
    </w:p>
    <w:p>
      <w:pPr>
        <w:pStyle w:val="14"/>
        <w:spacing w:line="360" w:lineRule="auto"/>
        <w:ind w:left="-4" w:leftChars="-2"/>
        <w:rPr>
          <w:kern w:val="2"/>
          <w:highlight w:val="none"/>
        </w:rPr>
      </w:pPr>
      <w:r>
        <w:rPr>
          <w:kern w:val="2"/>
          <w:highlight w:val="none"/>
        </w:rPr>
        <w:t>202</w:t>
      </w:r>
      <w:r>
        <w:rPr>
          <w:rFonts w:hint="eastAsia"/>
          <w:kern w:val="2"/>
          <w:highlight w:val="none"/>
        </w:rPr>
        <w:t>4年</w:t>
      </w:r>
      <w:r>
        <w:rPr>
          <w:rFonts w:hint="eastAsia"/>
          <w:kern w:val="2"/>
          <w:highlight w:val="none"/>
          <w:lang w:val="en-US" w:eastAsia="zh-CN"/>
        </w:rPr>
        <w:t>12</w:t>
      </w:r>
      <w:r>
        <w:rPr>
          <w:rFonts w:hint="eastAsia"/>
          <w:kern w:val="2"/>
          <w:highlight w:val="none"/>
        </w:rPr>
        <w:t>月，项目启动，由</w:t>
      </w:r>
      <w:r>
        <w:rPr>
          <w:rFonts w:hint="eastAsia"/>
          <w:kern w:val="2"/>
          <w:highlight w:val="none"/>
          <w:lang w:val="en-US" w:eastAsia="zh-CN"/>
        </w:rPr>
        <w:t>国网安徽省电力有限公司营销服务中心</w:t>
      </w:r>
      <w:r>
        <w:rPr>
          <w:rFonts w:hint="eastAsia"/>
          <w:kern w:val="2"/>
          <w:highlight w:val="none"/>
          <w:lang w:eastAsia="zh-CN"/>
        </w:rPr>
        <w:t>、</w:t>
      </w:r>
      <w:r>
        <w:rPr>
          <w:rFonts w:hint="eastAsia"/>
          <w:kern w:val="2"/>
          <w:highlight w:val="none"/>
        </w:rPr>
        <w:t>中国电力科学研究院有限公司、</w:t>
      </w:r>
      <w:r>
        <w:rPr>
          <w:rFonts w:hint="eastAsia"/>
          <w:kern w:val="2"/>
          <w:highlight w:val="none"/>
          <w:lang w:val="en-US" w:eastAsia="zh-CN"/>
        </w:rPr>
        <w:t>国网芜湖供电公司、国网六安供电公司、国网安庆供电公司、国网浙江省电力有限公司营销服务中心、国网重庆市电力有限公司、国网河北省电力有限公司营销服务中心、国网辽宁省电力有限公司</w:t>
      </w:r>
      <w:r>
        <w:rPr>
          <w:rFonts w:hint="eastAsia"/>
          <w:kern w:val="2"/>
          <w:highlight w:val="none"/>
        </w:rPr>
        <w:t>参加标准起草。</w:t>
      </w:r>
    </w:p>
    <w:p>
      <w:pPr>
        <w:pStyle w:val="14"/>
        <w:spacing w:line="360" w:lineRule="auto"/>
        <w:ind w:left="-4" w:leftChars="-2"/>
        <w:rPr>
          <w:kern w:val="2"/>
          <w:highlight w:val="none"/>
        </w:rPr>
      </w:pPr>
      <w:r>
        <w:rPr>
          <w:kern w:val="2"/>
          <w:highlight w:val="none"/>
        </w:rPr>
        <w:t>202</w:t>
      </w:r>
      <w:r>
        <w:rPr>
          <w:rFonts w:hint="eastAsia"/>
          <w:kern w:val="2"/>
          <w:highlight w:val="none"/>
          <w:lang w:val="en-US" w:eastAsia="zh-CN"/>
        </w:rPr>
        <w:t>5</w:t>
      </w:r>
      <w:r>
        <w:rPr>
          <w:rFonts w:hint="eastAsia"/>
          <w:kern w:val="2"/>
          <w:highlight w:val="none"/>
        </w:rPr>
        <w:t>年</w:t>
      </w:r>
      <w:r>
        <w:rPr>
          <w:rFonts w:hint="eastAsia"/>
          <w:kern w:val="2"/>
          <w:highlight w:val="none"/>
          <w:lang w:val="en-US" w:eastAsia="zh-CN"/>
        </w:rPr>
        <w:t>1</w:t>
      </w:r>
      <w:r>
        <w:rPr>
          <w:rFonts w:hint="eastAsia"/>
          <w:kern w:val="2"/>
          <w:highlight w:val="none"/>
        </w:rPr>
        <w:t>月，成立编写组，组织召开标准启动会，对标准内容进行调研，部署标准制定工作计划，确定标准体系架构，明确课题的研究目的、思路、任务、分工及进度要求。</w:t>
      </w:r>
    </w:p>
    <w:p>
      <w:pPr>
        <w:pStyle w:val="14"/>
        <w:spacing w:line="360" w:lineRule="auto"/>
        <w:ind w:left="-4" w:leftChars="-2"/>
        <w:rPr>
          <w:rFonts w:hint="eastAsia"/>
          <w:kern w:val="2"/>
          <w:highlight w:val="none"/>
        </w:rPr>
      </w:pPr>
      <w:r>
        <w:rPr>
          <w:rFonts w:hint="eastAsia"/>
          <w:kern w:val="2"/>
          <w:highlight w:val="none"/>
        </w:rPr>
        <w:t>202</w:t>
      </w:r>
      <w:r>
        <w:rPr>
          <w:rFonts w:hint="eastAsia"/>
          <w:kern w:val="2"/>
          <w:highlight w:val="none"/>
          <w:lang w:val="en-US" w:eastAsia="zh-CN"/>
        </w:rPr>
        <w:t>5</w:t>
      </w:r>
      <w:r>
        <w:rPr>
          <w:rFonts w:hint="eastAsia"/>
          <w:kern w:val="2"/>
          <w:highlight w:val="none"/>
        </w:rPr>
        <w:t>年</w:t>
      </w:r>
      <w:r>
        <w:rPr>
          <w:rFonts w:hint="eastAsia"/>
          <w:kern w:val="2"/>
          <w:highlight w:val="none"/>
          <w:lang w:val="en-US" w:eastAsia="zh-CN"/>
        </w:rPr>
        <w:t>2</w:t>
      </w:r>
      <w:r>
        <w:rPr>
          <w:rFonts w:hint="eastAsia"/>
          <w:kern w:val="2"/>
          <w:highlight w:val="none"/>
        </w:rPr>
        <w:t>月，完成标准大纲编写，组织召开大纲研讨会，收集</w:t>
      </w:r>
      <w:r>
        <w:rPr>
          <w:rFonts w:hint="eastAsia"/>
          <w:kern w:val="2"/>
          <w:highlight w:val="none"/>
          <w:lang w:val="en-US" w:eastAsia="zh-CN"/>
        </w:rPr>
        <w:t>无人机在电力巡检方面</w:t>
      </w:r>
      <w:r>
        <w:rPr>
          <w:rFonts w:hint="eastAsia"/>
          <w:kern w:val="2"/>
          <w:highlight w:val="none"/>
        </w:rPr>
        <w:t>的相关资料，对</w:t>
      </w:r>
      <w:r>
        <w:rPr>
          <w:rFonts w:hint="eastAsia"/>
          <w:kern w:val="2"/>
          <w:highlight w:val="none"/>
          <w:lang w:val="en-US" w:eastAsia="zh-CN"/>
        </w:rPr>
        <w:t>无人机巡检系统应用于用电检查业务中人员、环境、安全、作业实施等</w:t>
      </w:r>
      <w:r>
        <w:rPr>
          <w:rFonts w:hint="eastAsia"/>
          <w:kern w:val="2"/>
          <w:highlight w:val="none"/>
        </w:rPr>
        <w:t>有关问题进行研讨。</w:t>
      </w:r>
    </w:p>
    <w:p>
      <w:pPr>
        <w:pStyle w:val="14"/>
        <w:spacing w:line="360" w:lineRule="auto"/>
        <w:ind w:left="-4" w:leftChars="-2"/>
        <w:rPr>
          <w:rFonts w:hint="eastAsia"/>
          <w:kern w:val="2"/>
          <w:highlight w:val="none"/>
        </w:rPr>
      </w:pPr>
      <w:r>
        <w:rPr>
          <w:rFonts w:hint="eastAsia"/>
          <w:kern w:val="2"/>
          <w:highlight w:val="none"/>
        </w:rPr>
        <w:t>202</w:t>
      </w:r>
      <w:r>
        <w:rPr>
          <w:rFonts w:hint="eastAsia"/>
          <w:kern w:val="2"/>
          <w:highlight w:val="none"/>
          <w:lang w:val="en-US" w:eastAsia="zh-CN"/>
        </w:rPr>
        <w:t>5</w:t>
      </w:r>
      <w:r>
        <w:rPr>
          <w:rFonts w:hint="eastAsia"/>
          <w:kern w:val="2"/>
          <w:highlight w:val="none"/>
        </w:rPr>
        <w:t>年</w:t>
      </w:r>
      <w:r>
        <w:rPr>
          <w:rFonts w:hint="eastAsia"/>
          <w:kern w:val="2"/>
          <w:highlight w:val="none"/>
          <w:lang w:val="en-US" w:eastAsia="zh-CN"/>
        </w:rPr>
        <w:t>11</w:t>
      </w:r>
      <w:r>
        <w:rPr>
          <w:rFonts w:hint="eastAsia"/>
          <w:kern w:val="2"/>
          <w:highlight w:val="none"/>
        </w:rPr>
        <w:t>月，由</w:t>
      </w:r>
      <w:r>
        <w:rPr>
          <w:rFonts w:hint="eastAsia"/>
          <w:kern w:val="2"/>
          <w:highlight w:val="none"/>
          <w:lang w:val="en-US" w:eastAsia="zh-CN"/>
        </w:rPr>
        <w:t>国网上海市电力有限公司、国网辽宁省电力有限公司、国网四川省电力有限公司、国网重庆市电力有限公司、国网河北省电力有限公司营销服务中心、国网浙江省电力有限公司营销服务中心、国网宁夏电力有限公司、国网安庆供电公司、浙江巨磁智能技术有限公司、长沙理工大学、湖南大学</w:t>
      </w:r>
      <w:r>
        <w:rPr>
          <w:rFonts w:hint="eastAsia"/>
          <w:kern w:val="2"/>
          <w:highlight w:val="none"/>
        </w:rPr>
        <w:t>对标准初稿进行研讨，验证标准提出性能参数指标的正确性及合理性。</w:t>
      </w:r>
    </w:p>
    <w:p>
      <w:pPr>
        <w:pStyle w:val="14"/>
        <w:spacing w:line="360" w:lineRule="auto"/>
        <w:ind w:left="-4" w:leftChars="-2"/>
        <w:rPr>
          <w:rFonts w:hint="eastAsia"/>
          <w:kern w:val="2"/>
          <w:highlight w:val="none"/>
        </w:rPr>
      </w:pPr>
      <w:r>
        <w:rPr>
          <w:rFonts w:hint="eastAsia"/>
          <w:kern w:val="2"/>
          <w:highlight w:val="none"/>
          <w:lang w:val="en-GB"/>
        </w:rPr>
        <w:t>202</w:t>
      </w:r>
      <w:r>
        <w:rPr>
          <w:rFonts w:hint="eastAsia"/>
          <w:kern w:val="2"/>
          <w:highlight w:val="none"/>
          <w:lang w:val="en-US" w:eastAsia="zh-CN"/>
        </w:rPr>
        <w:t>6</w:t>
      </w:r>
      <w:r>
        <w:rPr>
          <w:rFonts w:hint="eastAsia"/>
          <w:kern w:val="2"/>
          <w:highlight w:val="none"/>
          <w:lang w:val="en-GB"/>
        </w:rPr>
        <w:t>年</w:t>
      </w:r>
      <w:r>
        <w:rPr>
          <w:rFonts w:hint="eastAsia"/>
          <w:kern w:val="2"/>
          <w:highlight w:val="none"/>
          <w:lang w:val="en-US" w:eastAsia="zh-CN"/>
        </w:rPr>
        <w:t>3</w:t>
      </w:r>
      <w:r>
        <w:rPr>
          <w:rFonts w:hint="eastAsia"/>
          <w:kern w:val="2"/>
          <w:highlight w:val="none"/>
          <w:lang w:val="en-GB"/>
        </w:rPr>
        <w:t>月，完成标准征求意见稿编写，</w:t>
      </w:r>
      <w:r>
        <w:rPr>
          <w:rFonts w:hint="eastAsia"/>
          <w:kern w:val="2"/>
          <w:highlight w:val="none"/>
        </w:rPr>
        <w:t>组织评审专家对</w:t>
      </w:r>
      <w:r>
        <w:rPr>
          <w:rFonts w:hint="eastAsia"/>
          <w:kern w:val="2"/>
          <w:highlight w:val="none"/>
          <w:lang w:val="en-GB"/>
        </w:rPr>
        <w:t>标准征求意见稿</w:t>
      </w:r>
      <w:r>
        <w:rPr>
          <w:rFonts w:hint="eastAsia"/>
          <w:kern w:val="2"/>
          <w:highlight w:val="none"/>
        </w:rPr>
        <w:t>评审，形成最终的</w:t>
      </w:r>
      <w:r>
        <w:rPr>
          <w:rFonts w:hint="eastAsia"/>
          <w:kern w:val="2"/>
          <w:highlight w:val="none"/>
          <w:lang w:val="en-GB"/>
        </w:rPr>
        <w:t>标准征求意见稿。</w:t>
      </w:r>
    </w:p>
    <w:p>
      <w:pPr>
        <w:pStyle w:val="14"/>
        <w:spacing w:line="360" w:lineRule="auto"/>
        <w:ind w:left="-4" w:leftChars="-2"/>
        <w:rPr>
          <w:rFonts w:hint="default" w:eastAsia="宋体"/>
          <w:kern w:val="2"/>
          <w:highlight w:val="none"/>
          <w:lang w:val="en-US" w:eastAsia="zh-CN"/>
        </w:rPr>
      </w:pPr>
      <w:r>
        <w:rPr>
          <w:rFonts w:hint="eastAsia"/>
          <w:kern w:val="2"/>
          <w:highlight w:val="none"/>
          <w:lang w:val="en-GB"/>
        </w:rPr>
        <w:t>202</w:t>
      </w:r>
      <w:r>
        <w:rPr>
          <w:rFonts w:hint="eastAsia"/>
          <w:kern w:val="2"/>
          <w:highlight w:val="none"/>
          <w:lang w:val="en-US" w:eastAsia="zh-CN"/>
        </w:rPr>
        <w:t>5</w:t>
      </w:r>
      <w:r>
        <w:rPr>
          <w:rFonts w:hint="eastAsia"/>
          <w:kern w:val="2"/>
          <w:highlight w:val="none"/>
          <w:lang w:val="en-GB"/>
        </w:rPr>
        <w:t>年</w:t>
      </w:r>
      <w:r>
        <w:rPr>
          <w:rFonts w:hint="eastAsia"/>
          <w:kern w:val="2"/>
          <w:highlight w:val="none"/>
          <w:lang w:val="en-US" w:eastAsia="zh-CN"/>
        </w:rPr>
        <w:t>5</w:t>
      </w:r>
      <w:r>
        <w:rPr>
          <w:rFonts w:hint="eastAsia"/>
          <w:kern w:val="2"/>
          <w:highlight w:val="none"/>
          <w:lang w:val="en-GB"/>
        </w:rPr>
        <w:t>月，</w:t>
      </w:r>
      <w:r>
        <w:rPr>
          <w:rFonts w:hint="eastAsia"/>
          <w:kern w:val="2"/>
          <w:highlight w:val="none"/>
          <w:lang w:val="en-US" w:eastAsia="zh-CN"/>
        </w:rPr>
        <w:t>向社会</w:t>
      </w:r>
      <w:r>
        <w:rPr>
          <w:rFonts w:hint="eastAsia"/>
          <w:kern w:val="2"/>
          <w:highlight w:val="none"/>
          <w:lang w:val="en-GB"/>
        </w:rPr>
        <w:t>广泛征集行业意见。</w:t>
      </w:r>
    </w:p>
    <w:p>
      <w:pPr>
        <w:pStyle w:val="18"/>
        <w:spacing w:before="312" w:after="312" w:line="360" w:lineRule="auto"/>
      </w:pPr>
      <w:r>
        <w:rPr>
          <w:rFonts w:hint="eastAsia" w:ascii="宋体" w:hAnsi="宋体"/>
          <w:szCs w:val="21"/>
        </w:rPr>
        <w:t>4</w:t>
      </w:r>
      <w:r>
        <w:rPr>
          <w:rFonts w:hint="eastAsia"/>
        </w:rPr>
        <w:t xml:space="preserve"> 标准结构和内容说明</w:t>
      </w:r>
      <w:bookmarkEnd w:id="30"/>
    </w:p>
    <w:p>
      <w:pPr>
        <w:overflowPunct w:val="0"/>
        <w:topLinePunct/>
        <w:spacing w:line="360" w:lineRule="auto"/>
        <w:ind w:firstLine="420" w:firstLineChars="200"/>
        <w:rPr>
          <w:rFonts w:hint="default" w:eastAsia="宋体"/>
          <w:lang w:val="en-US" w:eastAsia="zh-CN"/>
        </w:rPr>
      </w:pPr>
      <w:r>
        <w:t>本</w:t>
      </w:r>
      <w:r>
        <w:rPr>
          <w:rFonts w:hint="eastAsia"/>
        </w:rPr>
        <w:t>标准</w:t>
      </w:r>
      <w:r>
        <w:t>为规范标准，在形式上具有典型结构，依据GB/T 1.1—2020和GB/T 20001.5《标准编写规则</w:t>
      </w:r>
      <w:r>
        <w:rPr>
          <w:rFonts w:hint="eastAsia"/>
          <w:lang w:val="en-US" w:eastAsia="zh-CN"/>
        </w:rPr>
        <w:t xml:space="preserve"> </w:t>
      </w:r>
      <w:r>
        <w:t>第5部分：规范标准》的要求，对于</w:t>
      </w:r>
      <w:r>
        <w:rPr>
          <w:rFonts w:hint="eastAsia" w:ascii="宋体"/>
          <w:lang w:val="en-US" w:eastAsia="zh-CN"/>
        </w:rPr>
        <w:t>无人机用电检查的</w:t>
      </w:r>
      <w:r>
        <w:rPr>
          <w:rFonts w:hint="eastAsia" w:ascii="宋体"/>
        </w:rPr>
        <w:t>技术要求</w:t>
      </w:r>
      <w:r>
        <w:rPr>
          <w:rFonts w:hint="eastAsia" w:ascii="宋体"/>
          <w:lang w:val="en-US" w:eastAsia="zh-CN"/>
        </w:rPr>
        <w:t>和试验方法</w:t>
      </w:r>
      <w:r>
        <w:rPr>
          <w:i/>
          <w:iCs/>
          <w:sz w:val="18"/>
          <w:szCs w:val="18"/>
        </w:rPr>
        <w:t>，</w:t>
      </w:r>
      <w:r>
        <w:t>按照</w:t>
      </w:r>
      <w:r>
        <w:rPr>
          <w:rFonts w:hint="eastAsia"/>
        </w:rPr>
        <w:t>技术要求</w:t>
      </w:r>
      <w:r>
        <w:rPr>
          <w:rFonts w:hint="eastAsia"/>
          <w:spacing w:val="-12"/>
          <w:lang w:val="en-US" w:eastAsia="zh-CN"/>
        </w:rPr>
        <w:t>和试验方法</w:t>
      </w:r>
      <w:r>
        <w:t>编写。本</w:t>
      </w:r>
      <w:r>
        <w:rPr>
          <w:rFonts w:hint="eastAsia"/>
        </w:rPr>
        <w:t>标准</w:t>
      </w:r>
      <w:r>
        <w:t>第</w:t>
      </w:r>
      <w:r>
        <w:rPr>
          <w:rFonts w:hint="eastAsia"/>
        </w:rPr>
        <w:t>4</w:t>
      </w:r>
      <w:r>
        <w:t>章中明确</w:t>
      </w:r>
      <w:r>
        <w:rPr>
          <w:rFonts w:hint="eastAsia" w:ascii="宋体"/>
          <w:lang w:val="en-US" w:eastAsia="zh-CN"/>
        </w:rPr>
        <w:t>无人机开展用电检查的一</w:t>
      </w:r>
      <w:bookmarkStart w:id="33" w:name="_GoBack"/>
      <w:bookmarkEnd w:id="33"/>
      <w:r>
        <w:rPr>
          <w:rFonts w:hint="eastAsia" w:ascii="宋体"/>
          <w:lang w:val="en-US" w:eastAsia="zh-CN"/>
        </w:rPr>
        <w:t>般要求</w:t>
      </w:r>
      <w:r>
        <w:t>；第</w:t>
      </w:r>
      <w:r>
        <w:rPr>
          <w:rFonts w:hint="eastAsia"/>
        </w:rPr>
        <w:t>5</w:t>
      </w:r>
      <w:r>
        <w:t>章中明确</w:t>
      </w:r>
      <w:r>
        <w:rPr>
          <w:rFonts w:hint="eastAsia"/>
          <w:lang w:val="en-US" w:eastAsia="zh-CN"/>
        </w:rPr>
        <w:t>检查方式与模式要求</w:t>
      </w:r>
      <w:r>
        <w:rPr>
          <w:rFonts w:hint="eastAsia"/>
        </w:rPr>
        <w:t>；</w:t>
      </w:r>
      <w:r>
        <w:t>第6章中</w:t>
      </w:r>
      <w:r>
        <w:rPr>
          <w:rFonts w:hint="eastAsia"/>
        </w:rPr>
        <w:t>明确</w:t>
      </w:r>
      <w:r>
        <w:rPr>
          <w:rFonts w:hint="eastAsia"/>
          <w:lang w:val="en-US" w:eastAsia="zh-CN"/>
        </w:rPr>
        <w:t>作业实施</w:t>
      </w:r>
      <w:r>
        <w:rPr>
          <w:rFonts w:hint="eastAsia"/>
        </w:rPr>
        <w:t>要求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>第7章明确数据处理规则；第8章明确异常情况的处置。</w:t>
      </w:r>
    </w:p>
    <w:p>
      <w:pPr>
        <w:pStyle w:val="18"/>
        <w:spacing w:before="312" w:after="312" w:line="360" w:lineRule="auto"/>
      </w:pPr>
      <w:bookmarkStart w:id="31" w:name="_Toc513731114"/>
      <w:r>
        <w:rPr>
          <w:rFonts w:hint="eastAsia" w:ascii="宋体" w:hAnsi="宋体"/>
          <w:szCs w:val="21"/>
        </w:rPr>
        <w:t>5相关</w:t>
      </w:r>
      <w:r>
        <w:rPr>
          <w:rFonts w:hint="eastAsia"/>
        </w:rPr>
        <w:t>标准对比说明</w:t>
      </w:r>
      <w:bookmarkEnd w:id="31"/>
    </w:p>
    <w:p>
      <w:pPr>
        <w:pStyle w:val="20"/>
        <w:spacing w:line="360" w:lineRule="auto"/>
        <w:ind w:firstLine="0" w:firstLineChars="0"/>
      </w:pPr>
      <w:r>
        <w:rPr>
          <w:rFonts w:hint="eastAsia"/>
        </w:rPr>
        <w:t>本标准与相关技术领域的国家现行法律、法规和政策保持一致。</w:t>
      </w:r>
    </w:p>
    <w:p>
      <w:pPr>
        <w:pStyle w:val="20"/>
        <w:spacing w:line="360" w:lineRule="auto"/>
        <w:ind w:firstLine="0" w:firstLineChars="0"/>
      </w:pPr>
      <w:r>
        <w:rPr>
          <w:rFonts w:hint="eastAsia"/>
        </w:rPr>
        <w:t>本标准的某些内容可能涉及专利。本标准的发布机构不承担识别这些专利的责任。</w:t>
      </w:r>
    </w:p>
    <w:p>
      <w:pPr>
        <w:pStyle w:val="18"/>
        <w:spacing w:before="312" w:after="312" w:line="360" w:lineRule="auto"/>
        <w:rPr>
          <w:rFonts w:hint="eastAsia" w:ascii="宋体" w:hAnsi="宋体"/>
          <w:szCs w:val="21"/>
        </w:rPr>
      </w:pPr>
      <w:bookmarkStart w:id="32" w:name="_Toc513731115"/>
      <w:r>
        <w:rPr>
          <w:rFonts w:hint="eastAsia" w:ascii="宋体" w:hAnsi="宋体"/>
          <w:szCs w:val="21"/>
        </w:rPr>
        <w:t>6标准实施措施说明</w:t>
      </w:r>
      <w:bookmarkEnd w:id="32"/>
    </w:p>
    <w:p>
      <w:pPr>
        <w:pStyle w:val="20"/>
        <w:spacing w:line="300" w:lineRule="exact"/>
        <w:ind w:firstLine="0" w:firstLineChars="0"/>
        <w:rPr>
          <w:rFonts w:hint="eastAsia" w:eastAsia="宋体" w:cs="Times New Roman"/>
          <w:lang w:val="en-US" w:eastAsia="zh-CN"/>
        </w:rPr>
      </w:pPr>
      <w:r>
        <w:rPr>
          <w:rFonts w:hint="eastAsia" w:eastAsia="宋体" w:cs="Times New Roman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wordWrap w:val="0"/>
    </w:pPr>
    <w:r>
      <w:rPr>
        <w:rFonts w:hint="eastAsia"/>
      </w:rPr>
      <w:t>T</w:t>
    </w:r>
    <w:r>
      <w:t>/</w:t>
    </w:r>
    <w:r>
      <w:rPr>
        <w:rFonts w:hint="eastAsia"/>
      </w:rPr>
      <w:t>CSEE</w:t>
    </w:r>
    <w:r>
      <w:rPr>
        <w:rFonts w:hint="eastAsia" w:hAnsi="黑体"/>
      </w:rPr>
      <w:t xml:space="preserve"> XXXX-YYYY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spacing w:before="120" w:after="120"/>
      <w:jc w:val="both"/>
    </w:pPr>
    <w:r>
      <w:t>Q/</w:t>
    </w:r>
    <w:r>
      <w:rPr>
        <w:rFonts w:hint="eastAsia"/>
      </w:rPr>
      <w:t>GDW</w:t>
    </w:r>
    <w:r>
      <w:rPr>
        <w:rFonts w:hint="eastAsia" w:hAnsi="宋体"/>
      </w:rPr>
      <w:t xml:space="preserve"> </w:t>
    </w:r>
    <w:r>
      <w:rPr>
        <w:rFonts w:hint="eastAsia" w:hAnsi="黑体"/>
      </w:rPr>
      <w:t>XX-XXX</w:t>
    </w:r>
    <w:r>
      <w:rPr>
        <w:rFonts w:hAnsi="黑体"/>
      </w:rPr>
      <w:t>—</w:t>
    </w:r>
    <w:r>
      <w:rPr>
        <w:rFonts w:hint="eastAsia" w:hAnsi="黑体"/>
      </w:rPr>
      <w:t>2012-1XXXX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wordWrap w:val="0"/>
      <w:spacing w:before="120"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5"/>
      <w:suff w:val="nothing"/>
      <w:lvlText w:val="%1　"/>
      <w:lvlJc w:val="left"/>
      <w:pPr>
        <w:ind w:left="426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142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568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NTRjNDAxMzljMjc4YmViYjE1M2YwYjYwODc2N2IifQ=="/>
  </w:docVars>
  <w:rsids>
    <w:rsidRoot w:val="2626189E"/>
    <w:rsid w:val="0000682A"/>
    <w:rsid w:val="000F3267"/>
    <w:rsid w:val="002366A1"/>
    <w:rsid w:val="00293E9D"/>
    <w:rsid w:val="002D5F3D"/>
    <w:rsid w:val="003D6AC4"/>
    <w:rsid w:val="006B6E53"/>
    <w:rsid w:val="0078419F"/>
    <w:rsid w:val="009775B2"/>
    <w:rsid w:val="00AA33A2"/>
    <w:rsid w:val="00B34CE2"/>
    <w:rsid w:val="00C65C1A"/>
    <w:rsid w:val="00D008AD"/>
    <w:rsid w:val="00D52223"/>
    <w:rsid w:val="00DA7B32"/>
    <w:rsid w:val="00EF31C7"/>
    <w:rsid w:val="00EF37B5"/>
    <w:rsid w:val="02056D00"/>
    <w:rsid w:val="07787CA1"/>
    <w:rsid w:val="0E4874F8"/>
    <w:rsid w:val="0E4B7C02"/>
    <w:rsid w:val="0E58159A"/>
    <w:rsid w:val="0E710F62"/>
    <w:rsid w:val="0F8C6CB2"/>
    <w:rsid w:val="10F53AB6"/>
    <w:rsid w:val="13515E55"/>
    <w:rsid w:val="1ACE786A"/>
    <w:rsid w:val="1AE856E5"/>
    <w:rsid w:val="1AF10C49"/>
    <w:rsid w:val="1B7925B4"/>
    <w:rsid w:val="1C0F0CDE"/>
    <w:rsid w:val="225D7D68"/>
    <w:rsid w:val="22BA2ACB"/>
    <w:rsid w:val="237C10C0"/>
    <w:rsid w:val="2626189E"/>
    <w:rsid w:val="2C341A92"/>
    <w:rsid w:val="2ED378F1"/>
    <w:rsid w:val="30090B56"/>
    <w:rsid w:val="30AE6517"/>
    <w:rsid w:val="343A7CCB"/>
    <w:rsid w:val="39B63FEE"/>
    <w:rsid w:val="3CEA2E8F"/>
    <w:rsid w:val="3D085B96"/>
    <w:rsid w:val="3D864239"/>
    <w:rsid w:val="3F461CF8"/>
    <w:rsid w:val="40E31BF8"/>
    <w:rsid w:val="44215073"/>
    <w:rsid w:val="446850D1"/>
    <w:rsid w:val="45911483"/>
    <w:rsid w:val="46FF778E"/>
    <w:rsid w:val="47413903"/>
    <w:rsid w:val="493132D9"/>
    <w:rsid w:val="4AE858D8"/>
    <w:rsid w:val="4BFE2794"/>
    <w:rsid w:val="4CD17E36"/>
    <w:rsid w:val="4FE84865"/>
    <w:rsid w:val="527D5219"/>
    <w:rsid w:val="52D15F58"/>
    <w:rsid w:val="546D32BB"/>
    <w:rsid w:val="582708F3"/>
    <w:rsid w:val="5C297F2A"/>
    <w:rsid w:val="5C6C44FE"/>
    <w:rsid w:val="5F7E2C64"/>
    <w:rsid w:val="63D57455"/>
    <w:rsid w:val="64231050"/>
    <w:rsid w:val="687F3E33"/>
    <w:rsid w:val="6CD8249C"/>
    <w:rsid w:val="6D247FDC"/>
    <w:rsid w:val="6DB35909"/>
    <w:rsid w:val="6E0160D3"/>
    <w:rsid w:val="6E155830"/>
    <w:rsid w:val="6FE61C91"/>
    <w:rsid w:val="70622DC0"/>
    <w:rsid w:val="75BD7AE6"/>
    <w:rsid w:val="77E8017E"/>
    <w:rsid w:val="78C31D61"/>
    <w:rsid w:val="7A0A5C53"/>
    <w:rsid w:val="7AFA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envelope return"/>
    <w:basedOn w:val="1"/>
    <w:qFormat/>
    <w:uiPriority w:val="0"/>
    <w:pPr>
      <w:snapToGrid w:val="0"/>
      <w:jc w:val="left"/>
    </w:pPr>
    <w:rPr>
      <w:rFonts w:ascii="Arial" w:hAnsi="Arial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6">
    <w:name w:val="head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41"/>
      </w:tabs>
      <w:spacing w:before="25" w:beforeLines="25" w:after="25" w:afterLines="25"/>
      <w:jc w:val="left"/>
    </w:pPr>
    <w:rPr>
      <w:rFonts w:ascii="宋体"/>
      <w:szCs w:val="21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2">
    <w:name w:val="page number"/>
    <w:qFormat/>
    <w:uiPriority w:val="0"/>
    <w:rPr>
      <w:rFonts w:ascii="Times New Roman" w:hAnsi="Times New Roman" w:eastAsia="宋体"/>
      <w:sz w:val="18"/>
    </w:r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paragraph" w:customStyle="1" w:styleId="1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">
    <w:name w:val="章标题"/>
    <w:next w:val="14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6">
    <w:name w:val="目次、标准名称标题"/>
    <w:basedOn w:val="17"/>
    <w:next w:val="14"/>
    <w:qFormat/>
    <w:uiPriority w:val="0"/>
    <w:pPr>
      <w:keepNext/>
      <w:pageBreakBefore/>
      <w:spacing w:line="460" w:lineRule="exact"/>
    </w:pPr>
  </w:style>
  <w:style w:type="paragraph" w:customStyle="1" w:styleId="17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8">
    <w:name w:val="样式 标题 1 + 非加粗"/>
    <w:basedOn w:val="4"/>
    <w:qFormat/>
    <w:uiPriority w:val="0"/>
    <w:pPr>
      <w:spacing w:before="100" w:beforeLines="100" w:after="100" w:afterLines="100" w:line="240" w:lineRule="auto"/>
    </w:pPr>
    <w:rPr>
      <w:rFonts w:eastAsia="黑体"/>
      <w:b w:val="0"/>
      <w:bCs w:val="0"/>
      <w:sz w:val="21"/>
    </w:rPr>
  </w:style>
  <w:style w:type="paragraph" w:customStyle="1" w:styleId="19">
    <w:name w:val="附录章标题"/>
    <w:next w:val="14"/>
    <w:qFormat/>
    <w:uiPriority w:val="0"/>
    <w:pPr>
      <w:numPr>
        <w:ilvl w:val="1"/>
        <w:numId w:val="2"/>
      </w:numPr>
      <w:tabs>
        <w:tab w:val="left" w:pos="360"/>
      </w:tabs>
      <w:wordWrap w:val="0"/>
      <w:overflowPunct w:val="0"/>
      <w:autoSpaceDE w:val="0"/>
      <w:spacing w:before="100" w:beforeLines="100" w:after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1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2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character" w:customStyle="1" w:styleId="23">
    <w:name w:val="页眉 字符"/>
    <w:basedOn w:val="11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4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2365</Words>
  <Characters>2427</Characters>
  <Lines>20</Lines>
  <Paragraphs>5</Paragraphs>
  <TotalTime>1</TotalTime>
  <ScaleCrop>false</ScaleCrop>
  <LinksUpToDate>false</LinksUpToDate>
  <CharactersWithSpaces>2444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2025-04-14T07:36:00Z</dcterms:created>
  <dc:creator>还是 一抹暖阳</dc:creator>
  <cp:lastModifiedBy>胡吕龙</cp:lastModifiedBy>
  <dcterms:modified xsi:type="dcterms:W3CDTF">2026-05-06T10:03:02Z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210BEF84802B413CAC066EB2772108A0_13</vt:lpwstr>
  </property>
  <property fmtid="{D5CDD505-2E9C-101B-9397-08002B2CF9AE}" pid="4" name="KSOTemplateDocerSaveRecord">
    <vt:lpwstr>eyJoZGlkIjoiYTE2MDkwZTQyYWIyMGQ4YTBkMjZmM2Q4ZTkxZmRmM2IiLCJ1c2VySWQiOiI2MzM4MDA2NTgifQ==</vt:lpwstr>
  </property>
</Properties>
</file>