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pPr>
      <w:bookmarkStart w:id="0" w:name="标准封面"/>
      <w:bookmarkEnd w:id="0"/>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377190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pPr>
                              <w:pStyle w:val="334"/>
                            </w:pPr>
                            <w:r>
                              <w:rPr>
                                <w:rFonts w:hint="eastAsia"/>
                              </w:rPr>
                              <w:t>I</w:t>
                            </w:r>
                            <w:r>
                              <w:t>CS 19.020</w:t>
                            </w:r>
                          </w:p>
                          <w:p>
                            <w:pPr>
                              <w:pStyle w:val="33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9.7pt;height:56.7pt;width:141.75pt;z-index:251659264;mso-width-relative:page;mso-height-relative:page;" filled="f" stroked="f" coordsize="21600,21600" o:gfxdata="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s5jAtYAAAAHAQAADwAAAAAAAAABACAA&#10;AAAiAAAAZHJzL2Rvd25yZXYueG1sUEsBAhQAFAAAAAgAh07iQJ9a8pNIAgAAYwQAAA4AAAAAAAAA&#10;AQAgAAAAJQEAAGRycy9lMm9Eb2MueG1sUEsFBgAAAAAGAAYAWQEAAN8FAAAAAA==&#10;">
                <v:fill on="f" focussize="0,0"/>
                <v:stroke on="f" weight="0.5pt"/>
                <v:imagedata o:title=""/>
                <o:lock v:ext="edit" aspectratio="f"/>
                <v:textbox inset="0mm,0mm,144,0mm" style="mso-fit-shape-to-text:t;">
                  <w:txbxContent>
                    <w:p>
                      <w:pPr>
                        <w:pStyle w:val="334"/>
                      </w:pPr>
                      <w:r>
                        <w:rPr>
                          <w:rFonts w:hint="eastAsia"/>
                        </w:rPr>
                        <w:t>I</w:t>
                      </w:r>
                      <w:r>
                        <w:t>CS 19.020</w:t>
                      </w:r>
                    </w:p>
                    <w:p>
                      <w:pPr>
                        <w:pStyle w:val="334"/>
                      </w:pPr>
                      <w:r>
                        <w:rPr>
                          <w:rFonts w:hint="eastAsia"/>
                        </w:rPr>
                        <w:t>C</w:t>
                      </w:r>
                      <w:r>
                        <w:t>CS K85</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2378710</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5pt;margin-top:187.3pt;height:0pt;width:481.95pt;z-index:251661312;mso-width-relative:page;mso-height-relative:page;" filled="f" stroked="t" coordsize="21600,21600" o:gfxdata="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2W&#10;R7vWAAAACQEAAA8AAAAAAAAAAQAgAAAAIgAAAGRycy9kb3ducmV2LnhtbFBLAQIUABQAAAAIAIdO&#10;4kCIGj277AEAALQDAAAOAAAAAAAAAAEAIAAAACUBAABkcnMvZTJvRG9jLnhtbFBLBQYAAAAABgAG&#10;AFkBAACD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6985</wp:posOffset>
                </wp:positionH>
                <wp:positionV relativeFrom="paragraph">
                  <wp:posOffset>2378710</wp:posOffset>
                </wp:positionV>
                <wp:extent cx="612076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76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55pt;margin-top:187.3pt;height:0pt;width:481.95pt;z-index:251669504;mso-width-relative:page;mso-height-relative:page;" filled="f" stroked="t" coordsize="21600,21600" o:gfxdata="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ryTf9YAAAAJAQAADwAAAAAA&#10;AAABACAAAAAiAAAAZHJzL2Rvd25yZXYueG1sUEsBAhQAFAAAAAgAh07iQOhaYNLcAQAAqAMAAA4A&#10;AAAAAAAAAQAgAAAAJQEAAGRycy9lMm9Eb2MueG1sUEsFBgAAAAAGAAYAWQEAAHMFA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-89535</wp:posOffset>
                </wp:positionH>
                <wp:positionV relativeFrom="paragraph">
                  <wp:posOffset>1021080</wp:posOffset>
                </wp:positionV>
                <wp:extent cx="6276340" cy="883920"/>
                <wp:effectExtent l="0" t="0" r="0" b="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a:effectLst/>
                      </wps:spPr>
                      <wps:txbx>
                        <w:txbxContent>
                          <w:p>
                            <w:pPr>
                              <w:jc w:val="distribute"/>
                              <w:rPr>
                                <w:rFonts w:ascii="黑体" w:hAnsi="黑体" w:eastAsia="黑体"/>
                                <w:sz w:val="84"/>
                                <w:szCs w:val="84"/>
                              </w:rPr>
                            </w:pPr>
                            <w:r>
                              <w:rPr>
                                <w:rFonts w:hint="eastAsia" w:ascii="黑体" w:hAnsi="黑体" w:eastAsia="黑体"/>
                                <w:sz w:val="84"/>
                                <w:szCs w:val="84"/>
                              </w:rPr>
                              <w:t>团体标准</w:t>
                            </w:r>
                          </w:p>
                        </w:txbxContent>
                      </wps:txbx>
                      <wps:bodyPr rot="0" vert="horz" wrap="square" lIns="91440" tIns="45720" rIns="91440" bIns="45720" anchor="ctr" anchorCtr="0">
                        <a:spAutoFit/>
                      </wps:bodyPr>
                    </wps:wsp>
                  </a:graphicData>
                </a:graphic>
              </wp:anchor>
            </w:drawing>
          </mc:Choice>
          <mc:Fallback>
            <w:pict>
              <v:shape id="_x0000_s1026" o:spid="_x0000_s1026" o:spt="202" type="#_x0000_t202" style="position:absolute;left:0pt;margin-left:-7.05pt;margin-top:80.4pt;height:69.6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I/j3tsAAAALAQAADwAAAAAAAAABACAAAAAiAAAAZHJzL2Rvd25yZXYueG1sUEsB&#10;AhQAFAAAAAgAh07iQDLA94grAgAAOQQAAA4AAAAAAAAAAQAgAAAAKgEAAGRycy9lMm9Eb2MueG1s&#10;UEsFBgAAAAAGAAYAWQEAAMcFAAAAAA==&#10;">
                <v:fill on="f" focussize="0,0"/>
                <v:stroke on="f" miterlimit="8" joinstyle="miter"/>
                <v:imagedata o:title=""/>
                <o:lock v:ext="edit" aspectratio="f"/>
                <v:textbox style="mso-fit-shape-to-text:t;">
                  <w:txbxContent>
                    <w:p>
                      <w:pPr>
                        <w:jc w:val="distribute"/>
                        <w:rPr>
                          <w:rFonts w:ascii="黑体" w:hAnsi="黑体" w:eastAsia="黑体"/>
                          <w:sz w:val="84"/>
                          <w:szCs w:val="84"/>
                        </w:rPr>
                      </w:pPr>
                      <w:r>
                        <w:rPr>
                          <w:rFonts w:hint="eastAsia" w:ascii="黑体" w:hAnsi="黑体" w:eastAsia="黑体"/>
                          <w:sz w:val="84"/>
                          <w:szCs w:val="84"/>
                        </w:rPr>
                        <w:t>团体标准</w:t>
                      </w:r>
                    </w:p>
                  </w:txbxContent>
                </v:textbox>
                <w10:wrap type="square"/>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pPr>
                        <w:pStyle w:val="504"/>
                      </w:pPr>
                      <w:r>
                        <w:rPr>
                          <w:rFonts w:hint="eastAsia"/>
                        </w:rPr>
                        <w:t>发 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pPr>
                              <w:pStyle w:val="505"/>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pPr>
                        <w:pStyle w:val="505"/>
                      </w:pPr>
                      <w:r>
                        <w:rPr>
                          <w:rFonts w:hint="eastAsia"/>
                        </w:rPr>
                        <w:t>中国电机工程学会</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144,0mm" style="mso-fit-shape-to-text:t;">
                  <w:txbxContent>
                    <w:p>
                      <w:pPr>
                        <w:pStyle w:val="291"/>
                      </w:pPr>
                      <w:r>
                        <w:t>20XX—XX—XX实施</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144,0mm" style="mso-fit-shape-to-text:t;">
                  <w:txbxContent>
                    <w:p>
                      <w:pPr>
                        <w:pStyle w:val="264"/>
                      </w:pPr>
                      <w:r>
                        <w:t>20XX—XX—XX发布</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pPr>
                              <w:pStyle w:val="268"/>
                              <w:rPr>
                                <w:highlight w:val="none"/>
                              </w:rPr>
                            </w:pPr>
                            <w:r>
                              <w:rPr>
                                <w:rFonts w:hint="eastAsia"/>
                                <w:highlight w:val="none"/>
                                <w:lang w:val="en-US" w:eastAsia="zh-CN"/>
                              </w:rPr>
                              <w:t>无人机用电检查作业导则</w:t>
                            </w:r>
                          </w:p>
                          <w:p>
                            <w:pPr>
                              <w:pStyle w:val="272"/>
                              <w:rPr>
                                <w:highlight w:val="none"/>
                              </w:rPr>
                            </w:pPr>
                            <w:r>
                              <w:rPr>
                                <w:highlight w:val="none"/>
                              </w:rPr>
                              <w:t>（</w:t>
                            </w:r>
                            <w:r>
                              <w:rPr>
                                <w:rFonts w:hint="eastAsia"/>
                                <w:highlight w:val="none"/>
                                <w:lang w:val="en-US" w:eastAsia="zh-CN"/>
                              </w:rPr>
                              <w:t>草</w:t>
                            </w:r>
                            <w:r>
                              <w:rPr>
                                <w:rFonts w:hint="eastAsia"/>
                                <w:highlight w:val="none"/>
                                <w:lang w:eastAsia="zh-CN"/>
                              </w:rPr>
                              <w:t>稿</w:t>
                            </w:r>
                            <w:r>
                              <w:rPr>
                                <w:highlight w:val="none"/>
                              </w:rP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144,0mm" style="mso-fit-shape-to-text:t;">
                  <w:txbxContent>
                    <w:p>
                      <w:pPr>
                        <w:pStyle w:val="268"/>
                        <w:rPr>
                          <w:highlight w:val="none"/>
                        </w:rPr>
                      </w:pPr>
                      <w:r>
                        <w:rPr>
                          <w:rFonts w:hint="eastAsia"/>
                          <w:highlight w:val="none"/>
                          <w:lang w:val="en-US" w:eastAsia="zh-CN"/>
                        </w:rPr>
                        <w:t>无人机用电检查作业导则</w:t>
                      </w:r>
                    </w:p>
                    <w:p>
                      <w:pPr>
                        <w:pStyle w:val="272"/>
                        <w:rPr>
                          <w:highlight w:val="none"/>
                        </w:rPr>
                      </w:pPr>
                      <w:r>
                        <w:rPr>
                          <w:highlight w:val="none"/>
                        </w:rPr>
                        <w:t>（</w:t>
                      </w:r>
                      <w:r>
                        <w:rPr>
                          <w:rFonts w:hint="eastAsia"/>
                          <w:highlight w:val="none"/>
                          <w:lang w:val="en-US" w:eastAsia="zh-CN"/>
                        </w:rPr>
                        <w:t>草</w:t>
                      </w:r>
                      <w:r>
                        <w:rPr>
                          <w:rFonts w:hint="eastAsia"/>
                          <w:highlight w:val="none"/>
                          <w:lang w:eastAsia="zh-CN"/>
                        </w:rPr>
                        <w:t>稿</w:t>
                      </w:r>
                      <w:r>
                        <w:rPr>
                          <w:highlight w:val="none"/>
                        </w:rP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pPr>
                              <w:pStyle w:val="265"/>
                              <w:wordWrap w:val="0"/>
                            </w:pPr>
                            <w:r>
                              <w:t>T/CSEE XXXX</w:t>
                            </w:r>
                            <w:r>
                              <w:rPr>
                                <w:color w:val="FF0000"/>
                              </w:rP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144,0mm" style="mso-fit-shape-to-text:t;">
                  <w:txbxContent>
                    <w:p>
                      <w:pPr>
                        <w:pStyle w:val="265"/>
                        <w:wordWrap w:val="0"/>
                      </w:pPr>
                      <w:r>
                        <w:t>T/CSEE XXXX</w:t>
                      </w:r>
                      <w:r>
                        <w:rPr>
                          <w:color w:val="FF0000"/>
                        </w:rPr>
                        <w:t>—</w:t>
                      </w:r>
                      <w:r>
                        <w:t>YYYY</w:t>
                      </w:r>
                    </w:p>
                  </w:txbxContent>
                </v:textbox>
              </v:shape>
            </w:pict>
          </mc:Fallback>
        </mc:AlternateContent>
      </w:r>
    </w:p>
    <w:p>
      <w:pPr>
        <w:pStyle w:val="258"/>
        <w:ind w:firstLine="420"/>
      </w:pPr>
    </w:p>
    <w:p>
      <w:pPr>
        <w:pStyle w:val="258"/>
        <w:ind w:firstLine="420"/>
      </w:pPr>
    </w:p>
    <w:p>
      <w:pPr>
        <w:pStyle w:val="258"/>
        <w:ind w:firstLine="420"/>
      </w:pPr>
    </w:p>
    <w:p>
      <w:pPr>
        <w:pStyle w:val="258"/>
        <w:ind w:firstLine="420"/>
      </w:pPr>
    </w:p>
    <w:p>
      <w:pPr>
        <w:pStyle w:val="258"/>
        <w:ind w:firstLine="420"/>
      </w:pPr>
    </w:p>
    <w:p>
      <w:pPr>
        <w:pStyle w:val="258"/>
        <w:ind w:firstLine="420"/>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Borders>
            <w:top w:val="none" w:sz="0" w:space="0"/>
            <w:left w:val="none" w:sz="0" w:space="0"/>
            <w:bottom w:val="none" w:sz="0" w:space="0"/>
            <w:right w:val="none" w:sz="0" w:space="0"/>
          </w:pgBorders>
          <w:pgNumType w:fmt="upperRoman" w:start="1"/>
          <w:cols w:space="425" w:num="1"/>
          <w:titlePg/>
          <w:docGrid w:type="lines" w:linePitch="312" w:charSpace="0"/>
        </w:sectPr>
      </w:pPr>
    </w:p>
    <w:p>
      <w:pPr>
        <w:pStyle w:val="286"/>
        <w:outlineLvl w:val="0"/>
      </w:pPr>
      <w:bookmarkStart w:id="1" w:name="标准内容"/>
      <w:bookmarkEnd w:id="1"/>
      <w:bookmarkStart w:id="2" w:name="_Toc3291"/>
      <w:bookmarkStart w:id="3" w:name="_Toc62027346"/>
      <w:bookmarkStart w:id="4" w:name="_Toc63642871"/>
      <w:bookmarkStart w:id="5" w:name="_Toc55228493"/>
      <w:r>
        <w:rPr>
          <w:rFonts w:hint="eastAsia"/>
        </w:rPr>
        <w:t>目    次</w:t>
      </w:r>
      <w:bookmarkEnd w:id="2"/>
    </w:p>
    <w:p>
      <w:pPr>
        <w:pStyle w:val="19"/>
        <w:tabs>
          <w:tab w:val="right" w:leader="dot" w:pos="9355"/>
        </w:tabs>
      </w:pPr>
      <w:r>
        <w:rPr>
          <w:rFonts w:hAnsi="宋体"/>
        </w:rPr>
        <w:fldChar w:fldCharType="begin"/>
      </w:r>
      <w:r>
        <w:rPr>
          <w:rFonts w:hAnsi="宋体"/>
        </w:rPr>
        <w:instrText xml:space="preserve"> </w:instrText>
      </w:r>
      <w:r>
        <w:rPr>
          <w:rFonts w:hint="eastAsia" w:hAnsi="宋体"/>
        </w:rPr>
        <w:instrText xml:space="preserve">TOC \o "1-7" \h \z</w:instrText>
      </w:r>
      <w:r>
        <w:rPr>
          <w:rFonts w:hAnsi="宋体"/>
        </w:rPr>
        <w:instrText xml:space="preserve"> </w:instrText>
      </w:r>
      <w:r>
        <w:rPr>
          <w:rFonts w:hAnsi="宋体"/>
        </w:rPr>
        <w:fldChar w:fldCharType="separate"/>
      </w:r>
      <w:r>
        <w:rPr>
          <w:rFonts w:hAnsi="宋体"/>
        </w:rPr>
        <w:fldChar w:fldCharType="begin"/>
      </w:r>
      <w:r>
        <w:rPr>
          <w:rFonts w:hAnsi="宋体"/>
        </w:rPr>
        <w:instrText xml:space="preserve"> HYPERLINK \l _Toc216 </w:instrText>
      </w:r>
      <w:r>
        <w:rPr>
          <w:rFonts w:hAnsi="宋体"/>
        </w:rPr>
        <w:fldChar w:fldCharType="separate"/>
      </w:r>
      <w:r>
        <w:rPr>
          <w:rFonts w:ascii="Times New Roman"/>
        </w:rPr>
        <w:t>前    言</w:t>
      </w:r>
      <w:r>
        <w:tab/>
      </w:r>
      <w:r>
        <w:fldChar w:fldCharType="begin"/>
      </w:r>
      <w:r>
        <w:instrText xml:space="preserve"> PAGEREF _Toc216 \h </w:instrText>
      </w:r>
      <w:r>
        <w:fldChar w:fldCharType="separate"/>
      </w:r>
      <w:r>
        <w:t>3</w:t>
      </w:r>
      <w:r>
        <w:fldChar w:fldCharType="end"/>
      </w:r>
      <w:r>
        <w:rPr>
          <w:rFonts w:hAnsi="宋体"/>
        </w:rPr>
        <w:fldChar w:fldCharType="end"/>
      </w:r>
    </w:p>
    <w:p>
      <w:pPr>
        <w:pStyle w:val="18"/>
        <w:tabs>
          <w:tab w:val="right" w:leader="dot" w:pos="9355"/>
        </w:tabs>
      </w:pPr>
      <w:r>
        <w:rPr>
          <w:rFonts w:hAnsi="宋体"/>
        </w:rPr>
        <w:fldChar w:fldCharType="begin"/>
      </w:r>
      <w:r>
        <w:rPr>
          <w:rFonts w:hAnsi="宋体"/>
        </w:rPr>
        <w:instrText xml:space="preserve"> HYPERLINK \l _Toc22826 </w:instrText>
      </w:r>
      <w:r>
        <w:rPr>
          <w:rFonts w:hAnsi="宋体"/>
        </w:rPr>
        <w:fldChar w:fldCharType="separate"/>
      </w:r>
      <w:r>
        <w:rPr>
          <w:rFonts w:hint="eastAsia" w:ascii="黑体" w:hAnsi="Times New Roman" w:eastAsia="黑体"/>
          <w:i w:val="0"/>
          <w:szCs w:val="21"/>
        </w:rPr>
        <w:t xml:space="preserve">1 </w:t>
      </w:r>
      <w:r>
        <w:rPr>
          <w:rFonts w:ascii="Times New Roman"/>
          <w:szCs w:val="21"/>
        </w:rPr>
        <w:t>范围</w:t>
      </w:r>
      <w:r>
        <w:tab/>
      </w:r>
      <w:r>
        <w:fldChar w:fldCharType="begin"/>
      </w:r>
      <w:r>
        <w:instrText xml:space="preserve"> PAGEREF _Toc22826 \h </w:instrText>
      </w:r>
      <w:r>
        <w:fldChar w:fldCharType="separate"/>
      </w:r>
      <w:r>
        <w:t>4</w:t>
      </w:r>
      <w:r>
        <w:fldChar w:fldCharType="end"/>
      </w:r>
      <w:r>
        <w:rPr>
          <w:rFonts w:hAnsi="宋体"/>
        </w:rPr>
        <w:fldChar w:fldCharType="end"/>
      </w:r>
    </w:p>
    <w:p>
      <w:pPr>
        <w:pStyle w:val="18"/>
        <w:tabs>
          <w:tab w:val="right" w:leader="dot" w:pos="9355"/>
        </w:tabs>
      </w:pPr>
      <w:r>
        <w:rPr>
          <w:rFonts w:hAnsi="宋体"/>
        </w:rPr>
        <w:fldChar w:fldCharType="begin"/>
      </w:r>
      <w:r>
        <w:rPr>
          <w:rFonts w:hAnsi="宋体"/>
        </w:rPr>
        <w:instrText xml:space="preserve"> HYPERLINK \l _Toc26496 </w:instrText>
      </w:r>
      <w:r>
        <w:rPr>
          <w:rFonts w:hAnsi="宋体"/>
        </w:rPr>
        <w:fldChar w:fldCharType="separate"/>
      </w:r>
      <w:r>
        <w:rPr>
          <w:rFonts w:hint="eastAsia" w:ascii="黑体" w:hAnsi="Times New Roman" w:eastAsia="黑体" w:cs="Times New Roman"/>
          <w:i w:val="0"/>
          <w:kern w:val="2"/>
          <w:szCs w:val="21"/>
          <w:lang w:val="en-US" w:eastAsia="zh-CN" w:bidi="ar-SA"/>
        </w:rPr>
        <w:t xml:space="preserve">2 </w:t>
      </w:r>
      <w:r>
        <w:rPr>
          <w:rFonts w:hint="eastAsia" w:ascii="Times New Roman" w:hAnsi="Times New Roman" w:eastAsia="宋体" w:cs="Times New Roman"/>
          <w:kern w:val="2"/>
          <w:szCs w:val="21"/>
          <w:lang w:val="en-US" w:eastAsia="zh-CN" w:bidi="ar-SA"/>
        </w:rPr>
        <w:t>规范性引用文件</w:t>
      </w:r>
      <w:r>
        <w:tab/>
      </w:r>
      <w:r>
        <w:fldChar w:fldCharType="begin"/>
      </w:r>
      <w:r>
        <w:instrText xml:space="preserve"> PAGEREF _Toc26496 \h </w:instrText>
      </w:r>
      <w:r>
        <w:fldChar w:fldCharType="separate"/>
      </w:r>
      <w:r>
        <w:t>4</w:t>
      </w:r>
      <w:r>
        <w:fldChar w:fldCharType="end"/>
      </w:r>
      <w:r>
        <w:rPr>
          <w:rFonts w:hAnsi="宋体"/>
        </w:rPr>
        <w:fldChar w:fldCharType="end"/>
      </w:r>
    </w:p>
    <w:p>
      <w:pPr>
        <w:pStyle w:val="18"/>
        <w:tabs>
          <w:tab w:val="right" w:leader="dot" w:pos="9355"/>
        </w:tabs>
      </w:pPr>
      <w:r>
        <w:rPr>
          <w:rFonts w:hAnsi="宋体"/>
        </w:rPr>
        <w:fldChar w:fldCharType="begin"/>
      </w:r>
      <w:r>
        <w:rPr>
          <w:rFonts w:hAnsi="宋体"/>
        </w:rPr>
        <w:instrText xml:space="preserve"> HYPERLINK \l _Toc1165 </w:instrText>
      </w:r>
      <w:r>
        <w:rPr>
          <w:rFonts w:hAnsi="宋体"/>
        </w:rPr>
        <w:fldChar w:fldCharType="separate"/>
      </w:r>
      <w:r>
        <w:rPr>
          <w:rFonts w:hint="eastAsia" w:ascii="黑体" w:hAnsi="Times New Roman" w:eastAsia="黑体"/>
          <w:i w:val="0"/>
          <w:szCs w:val="21"/>
        </w:rPr>
        <w:t xml:space="preserve">3 </w:t>
      </w:r>
      <w:r>
        <w:rPr>
          <w:rFonts w:ascii="Times New Roman"/>
          <w:szCs w:val="21"/>
          <w:highlight w:val="none"/>
        </w:rPr>
        <w:t>术语和定义</w:t>
      </w:r>
      <w:r>
        <w:tab/>
      </w:r>
      <w:r>
        <w:fldChar w:fldCharType="begin"/>
      </w:r>
      <w:r>
        <w:instrText xml:space="preserve"> PAGEREF _Toc1165 \h </w:instrText>
      </w:r>
      <w:r>
        <w:fldChar w:fldCharType="separate"/>
      </w:r>
      <w:r>
        <w:t>4</w:t>
      </w:r>
      <w:r>
        <w:fldChar w:fldCharType="end"/>
      </w:r>
      <w:r>
        <w:rPr>
          <w:rFonts w:hAnsi="宋体"/>
        </w:rPr>
        <w:fldChar w:fldCharType="end"/>
      </w:r>
    </w:p>
    <w:p>
      <w:pPr>
        <w:pStyle w:val="18"/>
        <w:tabs>
          <w:tab w:val="right" w:leader="dot" w:pos="9355"/>
        </w:tabs>
      </w:pPr>
      <w:r>
        <w:rPr>
          <w:rFonts w:hAnsi="宋体"/>
        </w:rPr>
        <w:fldChar w:fldCharType="begin"/>
      </w:r>
      <w:r>
        <w:rPr>
          <w:rFonts w:hAnsi="宋体"/>
        </w:rPr>
        <w:instrText xml:space="preserve"> HYPERLINK \l _Toc27495 </w:instrText>
      </w:r>
      <w:r>
        <w:rPr>
          <w:rFonts w:hAnsi="宋体"/>
        </w:rPr>
        <w:fldChar w:fldCharType="separate"/>
      </w:r>
      <w:r>
        <w:rPr>
          <w:rFonts w:hint="eastAsia" w:ascii="黑体" w:hAnsi="Times New Roman" w:eastAsia="黑体" w:cs="Times New Roman"/>
          <w:i w:val="0"/>
          <w:szCs w:val="21"/>
          <w:lang w:val="en-US" w:eastAsia="zh-CN"/>
        </w:rPr>
        <w:t xml:space="preserve">4 </w:t>
      </w:r>
      <w:r>
        <w:rPr>
          <w:rFonts w:hint="eastAsia" w:ascii="Times New Roman" w:cs="Times New Roman"/>
          <w:szCs w:val="21"/>
          <w:highlight w:val="none"/>
          <w:lang w:val="en-US" w:eastAsia="zh-CN"/>
        </w:rPr>
        <w:t>一般要求</w:t>
      </w:r>
      <w:r>
        <w:tab/>
      </w:r>
      <w:r>
        <w:fldChar w:fldCharType="begin"/>
      </w:r>
      <w:r>
        <w:instrText xml:space="preserve"> PAGEREF _Toc27495 \h </w:instrText>
      </w:r>
      <w:r>
        <w:fldChar w:fldCharType="separate"/>
      </w:r>
      <w:r>
        <w:t>4</w:t>
      </w:r>
      <w:r>
        <w:fldChar w:fldCharType="end"/>
      </w:r>
      <w:r>
        <w:rPr>
          <w:rFonts w:hAnsi="宋体"/>
        </w:rPr>
        <w:fldChar w:fldCharType="end"/>
      </w:r>
    </w:p>
    <w:p>
      <w:pPr>
        <w:pStyle w:val="18"/>
        <w:tabs>
          <w:tab w:val="right" w:leader="dot" w:pos="9355"/>
        </w:tabs>
      </w:pPr>
      <w:r>
        <w:rPr>
          <w:rFonts w:hAnsi="宋体"/>
        </w:rPr>
        <w:fldChar w:fldCharType="begin"/>
      </w:r>
      <w:r>
        <w:rPr>
          <w:rFonts w:hAnsi="宋体"/>
        </w:rPr>
        <w:instrText xml:space="preserve"> HYPERLINK \l _Toc31304 </w:instrText>
      </w:r>
      <w:r>
        <w:rPr>
          <w:rFonts w:hAnsi="宋体"/>
        </w:rPr>
        <w:fldChar w:fldCharType="separate"/>
      </w:r>
      <w:r>
        <w:rPr>
          <w:rFonts w:hint="eastAsia" w:ascii="黑体" w:hAnsi="Times New Roman" w:eastAsia="黑体" w:cs="Times New Roman"/>
          <w:i w:val="0"/>
          <w:szCs w:val="21"/>
          <w:lang w:val="en-US" w:eastAsia="zh-CN"/>
        </w:rPr>
        <w:t xml:space="preserve">5 </w:t>
      </w:r>
      <w:r>
        <w:rPr>
          <w:rFonts w:hint="eastAsia" w:ascii="Times New Roman" w:cs="Times New Roman"/>
          <w:szCs w:val="21"/>
          <w:highlight w:val="none"/>
          <w:lang w:val="en-US" w:eastAsia="zh-CN"/>
        </w:rPr>
        <w:t>检查</w:t>
      </w:r>
      <w:r>
        <w:rPr>
          <w:rFonts w:hint="eastAsia" w:ascii="Times New Roman" w:hAnsi="Times New Roman" w:cs="Times New Roman"/>
          <w:szCs w:val="21"/>
          <w:highlight w:val="none"/>
          <w:lang w:val="en-US" w:eastAsia="zh-CN"/>
        </w:rPr>
        <w:t>方式和模式</w:t>
      </w:r>
      <w:r>
        <w:tab/>
      </w:r>
      <w:r>
        <w:fldChar w:fldCharType="begin"/>
      </w:r>
      <w:r>
        <w:instrText xml:space="preserve"> PAGEREF _Toc31304 \h </w:instrText>
      </w:r>
      <w:r>
        <w:fldChar w:fldCharType="separate"/>
      </w:r>
      <w:r>
        <w:t>5</w:t>
      </w:r>
      <w:r>
        <w:fldChar w:fldCharType="end"/>
      </w:r>
      <w:r>
        <w:rPr>
          <w:rFonts w:hAnsi="宋体"/>
        </w:rPr>
        <w:fldChar w:fldCharType="end"/>
      </w:r>
    </w:p>
    <w:p>
      <w:pPr>
        <w:pStyle w:val="18"/>
        <w:tabs>
          <w:tab w:val="right" w:leader="dot" w:pos="9355"/>
        </w:tabs>
      </w:pPr>
      <w:r>
        <w:rPr>
          <w:rFonts w:hAnsi="宋体"/>
        </w:rPr>
        <w:fldChar w:fldCharType="begin"/>
      </w:r>
      <w:r>
        <w:rPr>
          <w:rFonts w:hAnsi="宋体"/>
        </w:rPr>
        <w:instrText xml:space="preserve"> HYPERLINK \l _Toc19211 </w:instrText>
      </w:r>
      <w:r>
        <w:rPr>
          <w:rFonts w:hAnsi="宋体"/>
        </w:rPr>
        <w:fldChar w:fldCharType="separate"/>
      </w:r>
      <w:r>
        <w:rPr>
          <w:rFonts w:hint="eastAsia" w:ascii="黑体" w:hAnsi="Times New Roman" w:eastAsia="黑体" w:cs="Times New Roman"/>
          <w:i w:val="0"/>
          <w:szCs w:val="21"/>
          <w:lang w:val="en-US" w:eastAsia="zh-CN"/>
        </w:rPr>
        <w:t xml:space="preserve">6 </w:t>
      </w:r>
      <w:r>
        <w:rPr>
          <w:rFonts w:hint="eastAsia" w:ascii="Times New Roman" w:hAnsi="Times New Roman" w:cs="Times New Roman"/>
          <w:szCs w:val="21"/>
          <w:highlight w:val="none"/>
          <w:lang w:val="en-US" w:eastAsia="zh-CN"/>
        </w:rPr>
        <w:t>作业实施</w:t>
      </w:r>
      <w:r>
        <w:tab/>
      </w:r>
      <w:r>
        <w:fldChar w:fldCharType="begin"/>
      </w:r>
      <w:r>
        <w:instrText xml:space="preserve"> PAGEREF _Toc19211 \h </w:instrText>
      </w:r>
      <w:r>
        <w:fldChar w:fldCharType="separate"/>
      </w:r>
      <w:r>
        <w:t>6</w:t>
      </w:r>
      <w:r>
        <w:fldChar w:fldCharType="end"/>
      </w:r>
      <w:r>
        <w:rPr>
          <w:rFonts w:hAnsi="宋体"/>
        </w:rPr>
        <w:fldChar w:fldCharType="end"/>
      </w:r>
    </w:p>
    <w:p>
      <w:pPr>
        <w:pStyle w:val="18"/>
        <w:tabs>
          <w:tab w:val="right" w:leader="dot" w:pos="9355"/>
        </w:tabs>
      </w:pPr>
      <w:r>
        <w:rPr>
          <w:rFonts w:hAnsi="宋体"/>
        </w:rPr>
        <w:fldChar w:fldCharType="begin"/>
      </w:r>
      <w:r>
        <w:rPr>
          <w:rFonts w:hAnsi="宋体"/>
        </w:rPr>
        <w:instrText xml:space="preserve"> HYPERLINK \l _Toc18817 </w:instrText>
      </w:r>
      <w:r>
        <w:rPr>
          <w:rFonts w:hAnsi="宋体"/>
        </w:rPr>
        <w:fldChar w:fldCharType="separate"/>
      </w:r>
      <w:r>
        <w:rPr>
          <w:rFonts w:hint="eastAsia" w:ascii="黑体" w:hAnsi="Times New Roman" w:eastAsia="黑体" w:cs="Times New Roman"/>
          <w:i w:val="0"/>
          <w:szCs w:val="21"/>
          <w:lang w:val="en-US" w:eastAsia="zh-CN"/>
        </w:rPr>
        <w:t xml:space="preserve">7 </w:t>
      </w:r>
      <w:r>
        <w:rPr>
          <w:rFonts w:hint="eastAsia" w:ascii="Times New Roman" w:hAnsi="Times New Roman" w:cs="Times New Roman"/>
          <w:szCs w:val="21"/>
          <w:highlight w:val="none"/>
          <w:lang w:val="en-US" w:eastAsia="zh-CN"/>
        </w:rPr>
        <w:t>数据处理</w:t>
      </w:r>
      <w:r>
        <w:tab/>
      </w:r>
      <w:r>
        <w:fldChar w:fldCharType="begin"/>
      </w:r>
      <w:r>
        <w:instrText xml:space="preserve"> PAGEREF _Toc18817 \h </w:instrText>
      </w:r>
      <w:r>
        <w:fldChar w:fldCharType="separate"/>
      </w:r>
      <w:r>
        <w:t>7</w:t>
      </w:r>
      <w:r>
        <w:fldChar w:fldCharType="end"/>
      </w:r>
      <w:r>
        <w:rPr>
          <w:rFonts w:hAnsi="宋体"/>
        </w:rPr>
        <w:fldChar w:fldCharType="end"/>
      </w:r>
    </w:p>
    <w:p>
      <w:pPr>
        <w:pStyle w:val="18"/>
        <w:tabs>
          <w:tab w:val="right" w:leader="dot" w:pos="9355"/>
        </w:tabs>
      </w:pPr>
      <w:r>
        <w:rPr>
          <w:rFonts w:hAnsi="宋体"/>
        </w:rPr>
        <w:fldChar w:fldCharType="begin"/>
      </w:r>
      <w:r>
        <w:rPr>
          <w:rFonts w:hAnsi="宋体"/>
        </w:rPr>
        <w:instrText xml:space="preserve"> HYPERLINK \l _Toc272 </w:instrText>
      </w:r>
      <w:r>
        <w:rPr>
          <w:rFonts w:hAnsi="宋体"/>
        </w:rPr>
        <w:fldChar w:fldCharType="separate"/>
      </w:r>
      <w:r>
        <w:rPr>
          <w:rFonts w:hint="eastAsia" w:ascii="黑体" w:hAnsi="Times New Roman" w:eastAsia="黑体" w:cs="Times New Roman"/>
          <w:i w:val="0"/>
          <w:szCs w:val="21"/>
          <w:lang w:val="en-US" w:eastAsia="zh-CN"/>
        </w:rPr>
        <w:t xml:space="preserve">8 </w:t>
      </w:r>
      <w:r>
        <w:rPr>
          <w:rFonts w:hint="eastAsia" w:ascii="Times New Roman" w:hAnsi="Times New Roman" w:cs="Times New Roman"/>
          <w:szCs w:val="21"/>
          <w:highlight w:val="none"/>
          <w:lang w:val="en-US" w:eastAsia="zh-CN"/>
        </w:rPr>
        <w:t>异常情况处置</w:t>
      </w:r>
      <w:r>
        <w:tab/>
      </w:r>
      <w:r>
        <w:fldChar w:fldCharType="begin"/>
      </w:r>
      <w:r>
        <w:instrText xml:space="preserve"> PAGEREF _Toc272 \h </w:instrText>
      </w:r>
      <w:r>
        <w:fldChar w:fldCharType="separate"/>
      </w:r>
      <w:r>
        <w:t>8</w:t>
      </w:r>
      <w:r>
        <w:fldChar w:fldCharType="end"/>
      </w:r>
      <w:r>
        <w:rPr>
          <w:rFonts w:hAnsi="宋体"/>
        </w:rPr>
        <w:fldChar w:fldCharType="end"/>
      </w:r>
    </w:p>
    <w:p>
      <w:pPr>
        <w:pStyle w:val="258"/>
        <w:ind w:firstLine="420"/>
        <w:rPr>
          <w:rFonts w:hAnsi="宋体"/>
        </w:rPr>
      </w:pPr>
      <w:r>
        <w:rPr>
          <w:rFonts w:hAnsi="宋体"/>
        </w:rPr>
        <w:fldChar w:fldCharType="end"/>
      </w:r>
    </w:p>
    <w:p>
      <w:pPr>
        <w:widowControl/>
        <w:jc w:val="left"/>
        <w:rPr>
          <w:rFonts w:eastAsia="黑体"/>
          <w:kern w:val="0"/>
          <w:sz w:val="32"/>
          <w:szCs w:val="20"/>
        </w:rPr>
      </w:pPr>
    </w:p>
    <w:p>
      <w:pPr>
        <w:widowControl/>
        <w:jc w:val="left"/>
        <w:rPr>
          <w:rFonts w:eastAsia="黑体"/>
          <w:kern w:val="0"/>
          <w:sz w:val="32"/>
          <w:szCs w:val="20"/>
        </w:rPr>
      </w:pPr>
      <w:r>
        <w:br w:type="page"/>
      </w:r>
    </w:p>
    <w:p>
      <w:pPr>
        <w:pStyle w:val="256"/>
        <w:outlineLvl w:val="0"/>
        <w:rPr>
          <w:rFonts w:ascii="Times New Roman"/>
          <w:color w:val="auto"/>
          <w:highlight w:val="yellow"/>
        </w:rPr>
      </w:pPr>
      <w:bookmarkStart w:id="6" w:name="_Toc216"/>
      <w:bookmarkStart w:id="7" w:name="_Toc30696"/>
      <w:bookmarkStart w:id="8" w:name="_Toc29247"/>
      <w:bookmarkStart w:id="9" w:name="_Toc23511"/>
      <w:r>
        <w:rPr>
          <w:rFonts w:ascii="Times New Roman"/>
          <w:color w:val="auto"/>
        </w:rPr>
        <w:t>前    言</w:t>
      </w:r>
      <w:bookmarkEnd w:id="3"/>
      <w:bookmarkEnd w:id="4"/>
      <w:bookmarkEnd w:id="5"/>
      <w:bookmarkEnd w:id="6"/>
      <w:bookmarkEnd w:id="7"/>
      <w:bookmarkEnd w:id="8"/>
      <w:bookmarkEnd w:id="9"/>
    </w:p>
    <w:p>
      <w:pPr>
        <w:ind w:firstLine="420" w:firstLineChars="20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随着无人机技术成熟，在电力作业中的应用日益广泛，本导则旨在规范无人机用电检查作业全流程，明确技术、安全及数据标准，赋能提升用电检查作业智能化、数字化水平。</w:t>
      </w:r>
      <w:r>
        <w:rPr>
          <w:color w:val="000000" w:themeColor="text1"/>
          <w14:textFill>
            <w14:solidFill>
              <w14:schemeClr w14:val="tx1"/>
            </w14:solidFill>
          </w14:textFill>
        </w:rPr>
        <w:t>本文件</w:t>
      </w:r>
      <w:r>
        <w:rPr>
          <w:rFonts w:hint="eastAsia" w:ascii="宋体" w:hAnsi="宋体"/>
          <w:color w:val="000000" w:themeColor="text1"/>
          <w14:textFill>
            <w14:solidFill>
              <w14:schemeClr w14:val="tx1"/>
            </w14:solidFill>
          </w14:textFill>
        </w:rPr>
        <w:t>按照《中国电机工程学会标准管理办法（暂行）》的要求，依据</w:t>
      </w:r>
      <w:bookmarkStart w:id="10" w:name="OLE_LINK1"/>
      <w:r>
        <w:rPr>
          <w:color w:val="000000" w:themeColor="text1"/>
          <w14:textFill>
            <w14:solidFill>
              <w14:schemeClr w14:val="tx1"/>
            </w14:solidFill>
          </w14:textFill>
        </w:rPr>
        <w:t>GB/T 1.1—2020《标准化工作导则 第1部分：标准化文件的结构和起草规则》的规定</w:t>
      </w:r>
      <w:bookmarkEnd w:id="10"/>
      <w:r>
        <w:rPr>
          <w:color w:val="000000" w:themeColor="text1"/>
          <w14:textFill>
            <w14:solidFill>
              <w14:schemeClr w14:val="tx1"/>
            </w14:solidFill>
          </w14:textFill>
        </w:rPr>
        <w:t>起草。</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请注意本文件的某些内容可能涉及专利。本文件的发布机构不承担识别专利的责任。</w:t>
      </w:r>
    </w:p>
    <w:p>
      <w:pPr>
        <w:autoSpaceDE w:val="0"/>
        <w:autoSpaceDN w:val="0"/>
        <w:adjustRightInd w:val="0"/>
        <w:ind w:firstLine="420" w:firstLineChars="200"/>
        <w:jc w:val="left"/>
        <w:rPr>
          <w:rFonts w:ascii="宋体" w:cs="宋体"/>
          <w:color w:val="000000" w:themeColor="text1"/>
          <w:kern w:val="0"/>
          <w:szCs w:val="21"/>
          <w14:textFill>
            <w14:solidFill>
              <w14:schemeClr w14:val="tx1"/>
            </w14:solidFill>
          </w14:textFill>
        </w:rPr>
      </w:pPr>
      <w:r>
        <w:rPr>
          <w:color w:val="000000" w:themeColor="text1"/>
          <w14:textFill>
            <w14:solidFill>
              <w14:schemeClr w14:val="tx1"/>
            </w14:solidFill>
          </w14:textFill>
        </w:rPr>
        <w:t>本文件</w:t>
      </w:r>
      <w:r>
        <w:rPr>
          <w:rFonts w:hint="eastAsia" w:ascii="宋体" w:cs="宋体"/>
          <w:color w:val="000000" w:themeColor="text1"/>
          <w:kern w:val="0"/>
          <w:szCs w:val="21"/>
          <w14:textFill>
            <w14:solidFill>
              <w14:schemeClr w14:val="tx1"/>
            </w14:solidFill>
          </w14:textFill>
        </w:rPr>
        <w:t>由中国电机工程学会提出。</w:t>
      </w:r>
    </w:p>
    <w:p>
      <w:pPr>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本文件由中国电机工程学会</w:t>
      </w:r>
      <w:r>
        <w:rPr>
          <w:rFonts w:hint="eastAsia" w:ascii="宋体" w:hAnsi="宋体"/>
          <w:color w:val="000000" w:themeColor="text1"/>
          <w:lang w:val="en-US" w:eastAsia="zh-CN"/>
          <w14:textFill>
            <w14:solidFill>
              <w14:schemeClr w14:val="tx1"/>
            </w14:solidFill>
          </w14:textFill>
        </w:rPr>
        <w:t>供用电安全</w:t>
      </w:r>
      <w:r>
        <w:rPr>
          <w:rFonts w:hint="eastAsia" w:ascii="宋体" w:hAnsi="宋体"/>
          <w:color w:val="000000" w:themeColor="text1"/>
          <w14:textFill>
            <w14:solidFill>
              <w14:schemeClr w14:val="tx1"/>
            </w14:solidFill>
          </w14:textFill>
        </w:rPr>
        <w:t>标准专业委员会技术归口和解释。</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本文件起草单位：</w:t>
      </w:r>
      <w:r>
        <w:rPr>
          <w:rFonts w:hint="eastAsia"/>
          <w:color w:val="000000" w:themeColor="text1"/>
          <w:lang w:val="en-US" w:eastAsia="zh-CN"/>
          <w14:textFill>
            <w14:solidFill>
              <w14:schemeClr w14:val="tx1"/>
            </w14:solidFill>
          </w14:textFill>
        </w:rPr>
        <w:t>中国电力科学研究院有限公司</w:t>
      </w:r>
      <w:r>
        <w:rPr>
          <w:color w:val="000000" w:themeColor="text1"/>
          <w14:textFill>
            <w14:solidFill>
              <w14:schemeClr w14:val="tx1"/>
            </w14:solidFill>
          </w14:textFill>
        </w:rPr>
        <w:t>。</w:t>
      </w:r>
    </w:p>
    <w:p>
      <w:pPr>
        <w:tabs>
          <w:tab w:val="left" w:pos="4376"/>
        </w:tabs>
        <w:ind w:firstLine="420" w:firstLineChars="20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本文件主要起草人：</w:t>
      </w:r>
      <w:r>
        <w:rPr>
          <w:rFonts w:hint="eastAsia"/>
          <w:color w:val="000000" w:themeColor="text1"/>
          <w:lang w:eastAsia="zh-CN"/>
          <w14:textFill>
            <w14:solidFill>
              <w14:schemeClr w14:val="tx1"/>
            </w14:solidFill>
          </w14:textFill>
        </w:rPr>
        <w:tab/>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本文件首次发布。 </w:t>
      </w:r>
    </w:p>
    <w:p>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本文件在执行过程中的意见或建议反馈至中国电机工程学会标准执行办公室（地址：北京市西城区白广路二条1 号，100761，网址：http：//www.csee.org.cn，邮箱：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"mailto:cseebz@csee.org.cn" </w:instrText>
      </w:r>
      <w:r>
        <w:rPr>
          <w:color w:val="000000" w:themeColor="text1"/>
          <w14:textFill>
            <w14:solidFill>
              <w14:schemeClr w14:val="tx1"/>
            </w14:solidFill>
          </w14:textFill>
        </w:rPr>
        <w:fldChar w:fldCharType="separate"/>
      </w:r>
      <w:r>
        <w:rPr>
          <w:rStyle w:val="242"/>
          <w:rFonts w:hint="eastAsia" w:ascii="宋体" w:hAnsi="宋体"/>
          <w:color w:val="000000" w:themeColor="text1"/>
          <w14:textFill>
            <w14:solidFill>
              <w14:schemeClr w14:val="tx1"/>
            </w14:solidFill>
          </w14:textFill>
        </w:rPr>
        <w:t>cseebz@csee.org.cn</w:t>
      </w:r>
      <w:r>
        <w:rPr>
          <w:rStyle w:val="242"/>
          <w:rFonts w:ascii="宋体" w:hAnsi="宋体"/>
          <w:color w:val="000000" w:themeColor="text1"/>
          <w14:textFill>
            <w14:solidFill>
              <w14:schemeClr w14:val="tx1"/>
            </w14:solidFill>
          </w14:textFill>
        </w:rPr>
        <w:fldChar w:fldCharType="end"/>
      </w:r>
      <w:r>
        <w:rPr>
          <w:rFonts w:hint="eastAsia" w:ascii="宋体" w:hAnsi="宋体"/>
          <w:color w:val="000000" w:themeColor="text1"/>
          <w14:textFill>
            <w14:solidFill>
              <w14:schemeClr w14:val="tx1"/>
            </w14:solidFill>
          </w14:textFill>
        </w:rPr>
        <w:t>）。</w:t>
      </w:r>
    </w:p>
    <w:p>
      <w:pPr>
        <w:ind w:firstLine="420" w:firstLineChars="200"/>
        <w:rPr>
          <w:rFonts w:ascii="宋体" w:hAnsi="宋体"/>
        </w:rPr>
      </w:pPr>
    </w:p>
    <w:p>
      <w:pPr>
        <w:ind w:firstLine="420" w:firstLineChars="200"/>
        <w:rPr>
          <w:rFonts w:ascii="宋体" w:hAnsi="宋体"/>
        </w:rPr>
      </w:pPr>
    </w:p>
    <w:p>
      <w:pPr>
        <w:widowControl/>
        <w:jc w:val="left"/>
        <w:rPr>
          <w:rFonts w:eastAsia="黑体"/>
          <w:kern w:val="0"/>
          <w:sz w:val="32"/>
          <w:szCs w:val="20"/>
        </w:rPr>
      </w:pPr>
      <w:bookmarkStart w:id="11" w:name="标准引言"/>
      <w:bookmarkEnd w:id="11"/>
      <w:bookmarkStart w:id="12" w:name="标准目次"/>
      <w:bookmarkEnd w:id="12"/>
      <w:r>
        <w:br w:type="page"/>
      </w:r>
    </w:p>
    <w:p>
      <w:pPr>
        <w:pStyle w:val="316"/>
        <w:outlineLvl w:val="0"/>
        <w:rPr>
          <w:rFonts w:hint="eastAsia" w:ascii="Times New Roman" w:eastAsia="黑体"/>
          <w:lang w:val="en-US" w:eastAsia="zh-CN"/>
        </w:rPr>
      </w:pPr>
      <w:r>
        <w:rPr>
          <w:rFonts w:hint="eastAsia"/>
          <w:highlight w:val="none"/>
          <w:lang w:val="en-US" w:eastAsia="zh-CN"/>
        </w:rPr>
        <w:t>无人机用电检查作业</w:t>
      </w:r>
      <w:r>
        <w:rPr>
          <w:rFonts w:hint="eastAsia" w:ascii="Times New Roman"/>
          <w:lang w:val="en-US" w:eastAsia="zh-CN"/>
        </w:rPr>
        <w:t>导则</w:t>
      </w:r>
    </w:p>
    <w:p>
      <w:pPr>
        <w:pStyle w:val="259"/>
        <w:numPr>
          <w:ilvl w:val="0"/>
          <w:numId w:val="11"/>
        </w:numPr>
        <w:outlineLvl w:val="0"/>
        <w:rPr>
          <w:rFonts w:ascii="Times New Roman"/>
          <w:szCs w:val="21"/>
        </w:rPr>
      </w:pPr>
      <w:bookmarkStart w:id="13" w:name="_Toc17562"/>
      <w:bookmarkStart w:id="14" w:name="_Toc2759"/>
      <w:bookmarkStart w:id="15" w:name="_Toc62027348"/>
      <w:bookmarkStart w:id="16" w:name="_Toc63642873"/>
      <w:bookmarkStart w:id="17" w:name="_Toc55228494"/>
      <w:bookmarkStart w:id="18" w:name="_Toc26552"/>
      <w:bookmarkStart w:id="19" w:name="_Toc22826"/>
      <w:r>
        <w:rPr>
          <w:rFonts w:ascii="Times New Roman"/>
          <w:szCs w:val="21"/>
        </w:rPr>
        <w:t>范围</w:t>
      </w:r>
      <w:bookmarkEnd w:id="13"/>
      <w:bookmarkEnd w:id="14"/>
      <w:bookmarkEnd w:id="15"/>
      <w:bookmarkEnd w:id="16"/>
      <w:bookmarkEnd w:id="17"/>
      <w:bookmarkEnd w:id="18"/>
      <w:bookmarkEnd w:id="19"/>
    </w:p>
    <w:p>
      <w:pPr>
        <w:pStyle w:val="258"/>
        <w:ind w:firstLine="420"/>
        <w:rPr>
          <w:rFonts w:hint="eastAsia" w:ascii="Times New Roman"/>
          <w:color w:val="auto"/>
          <w:szCs w:val="22"/>
          <w:highlight w:val="none"/>
          <w:lang w:eastAsia="zh-CN"/>
        </w:rPr>
      </w:pPr>
      <w:r>
        <w:rPr>
          <w:rFonts w:ascii="Times New Roman"/>
          <w:color w:val="auto"/>
          <w:highlight w:val="none"/>
          <w:lang w:eastAsia="zh-CN"/>
        </w:rPr>
        <w:t>本标准</w:t>
      </w:r>
      <w:r>
        <w:rPr>
          <w:rFonts w:hint="eastAsia" w:ascii="Times New Roman"/>
          <w:color w:val="auto"/>
          <w:szCs w:val="22"/>
          <w:highlight w:val="none"/>
          <w:lang w:val="en-US" w:eastAsia="zh-CN"/>
        </w:rPr>
        <w:t>包括</w:t>
      </w:r>
      <w:r>
        <w:rPr>
          <w:rFonts w:hint="eastAsia" w:ascii="Times New Roman"/>
          <w:color w:val="auto"/>
          <w:szCs w:val="22"/>
          <w:highlight w:val="none"/>
          <w:lang w:eastAsia="zh-CN"/>
        </w:rPr>
        <w:t>无人机用电</w:t>
      </w:r>
      <w:r>
        <w:rPr>
          <w:rFonts w:hint="eastAsia"/>
          <w:highlight w:val="none"/>
          <w:lang w:val="en-US" w:eastAsia="zh-CN"/>
        </w:rPr>
        <w:t>检查</w:t>
      </w:r>
      <w:r>
        <w:rPr>
          <w:rFonts w:hint="eastAsia" w:ascii="Times New Roman"/>
          <w:color w:val="auto"/>
          <w:szCs w:val="22"/>
          <w:highlight w:val="none"/>
          <w:lang w:eastAsia="zh-CN"/>
        </w:rPr>
        <w:t>系统组成、</w:t>
      </w:r>
      <w:r>
        <w:rPr>
          <w:rFonts w:hint="eastAsia"/>
          <w:highlight w:val="none"/>
          <w:lang w:val="en-US" w:eastAsia="zh-CN"/>
        </w:rPr>
        <w:t>检查</w:t>
      </w:r>
      <w:r>
        <w:rPr>
          <w:rFonts w:hint="eastAsia" w:ascii="Times New Roman"/>
          <w:color w:val="auto"/>
          <w:szCs w:val="22"/>
          <w:highlight w:val="none"/>
          <w:lang w:eastAsia="zh-CN"/>
        </w:rPr>
        <w:t>方式和模式、一般要求、</w:t>
      </w:r>
      <w:r>
        <w:rPr>
          <w:rFonts w:hint="eastAsia"/>
          <w:highlight w:val="none"/>
          <w:lang w:val="en-US" w:eastAsia="zh-CN"/>
        </w:rPr>
        <w:t>检查</w:t>
      </w:r>
      <w:r>
        <w:rPr>
          <w:rFonts w:hint="eastAsia" w:ascii="Times New Roman"/>
          <w:color w:val="auto"/>
          <w:szCs w:val="22"/>
          <w:highlight w:val="none"/>
          <w:lang w:eastAsia="zh-CN"/>
        </w:rPr>
        <w:t>作业、</w:t>
      </w:r>
      <w:r>
        <w:rPr>
          <w:rFonts w:hint="eastAsia"/>
          <w:highlight w:val="none"/>
          <w:lang w:val="en-US" w:eastAsia="zh-CN"/>
        </w:rPr>
        <w:t>检查</w:t>
      </w:r>
      <w:r>
        <w:rPr>
          <w:rFonts w:hint="eastAsia" w:ascii="Times New Roman"/>
          <w:color w:val="auto"/>
          <w:szCs w:val="22"/>
          <w:highlight w:val="none"/>
          <w:lang w:eastAsia="zh-CN"/>
        </w:rPr>
        <w:t>数据管理、异常情况处置等</w:t>
      </w:r>
      <w:r>
        <w:rPr>
          <w:rFonts w:ascii="Times New Roman"/>
          <w:color w:val="auto"/>
          <w:szCs w:val="22"/>
          <w:highlight w:val="none"/>
          <w:lang w:eastAsia="zh-CN"/>
        </w:rPr>
        <w:t>。</w:t>
      </w:r>
    </w:p>
    <w:p>
      <w:pPr>
        <w:pStyle w:val="258"/>
        <w:ind w:firstLine="420"/>
        <w:rPr>
          <w:rFonts w:hint="default" w:ascii="Times New Roman"/>
          <w:szCs w:val="21"/>
          <w:highlight w:val="none"/>
          <w:lang w:val="en-US"/>
        </w:rPr>
      </w:pPr>
      <w:r>
        <w:rPr>
          <w:rFonts w:hint="eastAsia" w:ascii="Times New Roman"/>
          <w:color w:val="auto"/>
          <w:highlight w:val="none"/>
          <w:lang w:val="en-US" w:eastAsia="zh-CN"/>
        </w:rPr>
        <w:t>本标准适用于依法取得电力业务许可证的企业应用无人机对其经营区域内的电力用户开展用电检查作业。电力</w:t>
      </w:r>
      <w:r>
        <w:rPr>
          <w:rFonts w:hint="eastAsia"/>
          <w:b w:val="0"/>
          <w:bCs w:val="0"/>
          <w:sz w:val="21"/>
          <w:szCs w:val="21"/>
          <w:highlight w:val="none"/>
          <w:lang w:val="en-US" w:eastAsia="zh-CN"/>
        </w:rPr>
        <w:t>用</w:t>
      </w:r>
      <w:r>
        <w:rPr>
          <w:rFonts w:hint="default"/>
          <w:b w:val="0"/>
          <w:bCs w:val="0"/>
          <w:sz w:val="21"/>
          <w:szCs w:val="21"/>
          <w:highlight w:val="none"/>
          <w:lang w:val="en-US" w:eastAsia="zh-CN"/>
        </w:rPr>
        <w:t>户</w:t>
      </w:r>
      <w:r>
        <w:rPr>
          <w:rFonts w:hint="eastAsia"/>
          <w:b w:val="0"/>
          <w:bCs w:val="0"/>
          <w:sz w:val="21"/>
          <w:szCs w:val="21"/>
          <w:highlight w:val="none"/>
          <w:lang w:val="en-US" w:eastAsia="zh-CN"/>
        </w:rPr>
        <w:t>用电安全自</w:t>
      </w:r>
      <w:r>
        <w:rPr>
          <w:rFonts w:hint="default"/>
          <w:b w:val="0"/>
          <w:bCs w:val="0"/>
          <w:sz w:val="21"/>
          <w:szCs w:val="21"/>
          <w:highlight w:val="none"/>
          <w:lang w:val="en-US" w:eastAsia="zh-CN"/>
        </w:rPr>
        <w:t>查</w:t>
      </w:r>
      <w:r>
        <w:rPr>
          <w:rFonts w:hint="eastAsia"/>
          <w:b w:val="0"/>
          <w:bCs w:val="0"/>
          <w:sz w:val="21"/>
          <w:szCs w:val="21"/>
          <w:highlight w:val="none"/>
          <w:lang w:val="en-US" w:eastAsia="zh-CN"/>
        </w:rPr>
        <w:t>可参照执行。</w:t>
      </w:r>
    </w:p>
    <w:p>
      <w:pPr>
        <w:pStyle w:val="259"/>
        <w:numPr>
          <w:ilvl w:val="0"/>
          <w:numId w:val="11"/>
        </w:numPr>
        <w:outlineLvl w:val="0"/>
        <w:rPr>
          <w:rFonts w:hint="eastAsia" w:ascii="Times New Roman" w:hAnsi="Times New Roman" w:eastAsia="宋体" w:cs="Times New Roman"/>
          <w:color w:val="auto"/>
          <w:kern w:val="2"/>
          <w:sz w:val="21"/>
          <w:szCs w:val="21"/>
          <w:lang w:val="en-US" w:eastAsia="zh-CN" w:bidi="ar-SA"/>
        </w:rPr>
      </w:pPr>
      <w:bookmarkStart w:id="20" w:name="_Toc55228495"/>
      <w:bookmarkStart w:id="21" w:name="_Toc10496"/>
      <w:bookmarkStart w:id="22" w:name="_Toc63642874"/>
      <w:bookmarkStart w:id="23" w:name="_Toc26496"/>
      <w:bookmarkStart w:id="24" w:name="_Toc62027349"/>
      <w:bookmarkStart w:id="25" w:name="_Toc3837"/>
      <w:bookmarkStart w:id="26" w:name="_Toc27092"/>
      <w:r>
        <w:rPr>
          <w:rFonts w:hint="eastAsia" w:ascii="Times New Roman" w:hAnsi="Times New Roman" w:eastAsia="宋体" w:cs="Times New Roman"/>
          <w:color w:val="auto"/>
          <w:kern w:val="2"/>
          <w:sz w:val="21"/>
          <w:szCs w:val="21"/>
          <w:lang w:val="en-US" w:eastAsia="zh-CN" w:bidi="ar-SA"/>
        </w:rPr>
        <w:t>规范性引用文</w:t>
      </w:r>
      <w:bookmarkEnd w:id="20"/>
      <w:r>
        <w:rPr>
          <w:rFonts w:hint="eastAsia" w:ascii="Times New Roman" w:hAnsi="Times New Roman" w:eastAsia="宋体" w:cs="Times New Roman"/>
          <w:color w:val="auto"/>
          <w:kern w:val="2"/>
          <w:sz w:val="21"/>
          <w:szCs w:val="21"/>
          <w:lang w:val="en-US" w:eastAsia="zh-CN" w:bidi="ar-SA"/>
        </w:rPr>
        <w:t>件</w:t>
      </w:r>
      <w:bookmarkEnd w:id="21"/>
      <w:bookmarkEnd w:id="22"/>
      <w:bookmarkEnd w:id="23"/>
      <w:bookmarkEnd w:id="24"/>
      <w:bookmarkEnd w:id="25"/>
      <w:bookmarkEnd w:id="26"/>
    </w:p>
    <w:p>
      <w:pPr>
        <w:widowControl w:val="0"/>
        <w:ind w:firstLine="420" w:firstLineChars="200"/>
        <w:rPr>
          <w:rFonts w:hint="eastAsia" w:ascii="Times New Roman" w:eastAsia="宋体"/>
          <w:color w:val="auto"/>
          <w:szCs w:val="21"/>
          <w:lang w:eastAsia="zh-CN"/>
        </w:rPr>
      </w:pPr>
      <w:r>
        <w:rPr>
          <w:rFonts w:ascii="Times New Roman"/>
          <w:color w:val="auto"/>
          <w:szCs w:val="21"/>
        </w:rPr>
        <w:t>下</w:t>
      </w:r>
      <w:r>
        <w:rPr>
          <w:rFonts w:hint="eastAsia" w:ascii="Times New Roman"/>
          <w:color w:val="auto"/>
          <w:szCs w:val="21"/>
        </w:rPr>
        <w:t>列文件中的内容通过文中的规范性引用而构成本文件必不可少的条款。其中，标注日期的引用文件，仅该日期对应的版本适用于本文件；不注日期的引用文件，其最新版本（包括所有的修改单）适用于本文件。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bookmarkStart w:id="27" w:name="OLE_LINK5"/>
      <w:r>
        <w:rPr>
          <w:rFonts w:hint="eastAsia" w:ascii="Times New Roman"/>
          <w:color w:val="auto"/>
          <w:highlight w:val="none"/>
        </w:rPr>
        <w:t>GB</w:t>
      </w:r>
      <w:r>
        <w:rPr>
          <w:rFonts w:hint="eastAsia"/>
          <w:color w:val="auto"/>
          <w:highlight w:val="none"/>
          <w:lang w:val="en-US" w:eastAsia="zh-CN"/>
        </w:rPr>
        <w:t xml:space="preserve">/T </w:t>
      </w:r>
      <w:r>
        <w:rPr>
          <w:rFonts w:hint="eastAsia" w:ascii="Times New Roman"/>
          <w:color w:val="auto"/>
          <w:highlight w:val="none"/>
        </w:rPr>
        <w:t xml:space="preserve">26859  </w:t>
      </w:r>
      <w:r>
        <w:rPr>
          <w:rFonts w:hint="eastAsia"/>
          <w:color w:val="auto"/>
          <w:highlight w:val="none"/>
          <w:lang w:val="en-US" w:eastAsia="zh-CN"/>
        </w:rPr>
        <w:t xml:space="preserve">    </w:t>
      </w:r>
      <w:r>
        <w:rPr>
          <w:rFonts w:hint="eastAsia" w:ascii="Times New Roman"/>
          <w:color w:val="auto"/>
          <w:highlight w:val="none"/>
        </w:rPr>
        <w:t>电力安全工作规程电力线路部分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auto"/>
          <w:highlight w:val="none"/>
          <w:lang w:val="en-US" w:eastAsia="zh-CN"/>
        </w:rPr>
      </w:pPr>
      <w:r>
        <w:rPr>
          <w:rFonts w:hint="eastAsia" w:ascii="Times New Roman"/>
          <w:color w:val="auto"/>
          <w:highlight w:val="none"/>
          <w:lang w:val="en-US" w:eastAsia="zh-CN"/>
        </w:rPr>
        <w:t>GB/T</w:t>
      </w:r>
      <w:r>
        <w:rPr>
          <w:rFonts w:hint="eastAsia"/>
          <w:color w:val="auto"/>
          <w:highlight w:val="none"/>
          <w:lang w:val="en-US" w:eastAsia="zh-CN"/>
        </w:rPr>
        <w:t xml:space="preserve"> </w:t>
      </w:r>
      <w:r>
        <w:rPr>
          <w:rFonts w:hint="eastAsia" w:ascii="Times New Roman"/>
          <w:color w:val="auto"/>
          <w:highlight w:val="none"/>
          <w:lang w:val="en-US" w:eastAsia="zh-CN"/>
        </w:rPr>
        <w:t>28583      供电服务规范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color w:val="auto"/>
          <w:highlight w:val="none"/>
          <w:lang w:val="en-US" w:eastAsia="zh-CN"/>
        </w:rPr>
      </w:pPr>
      <w:r>
        <w:rPr>
          <w:rFonts w:hint="eastAsia" w:ascii="Times New Roman"/>
          <w:color w:val="auto"/>
          <w:highlight w:val="none"/>
          <w:lang w:val="en-US" w:eastAsia="zh-CN"/>
        </w:rPr>
        <w:t>GB/T</w:t>
      </w:r>
      <w:r>
        <w:rPr>
          <w:rFonts w:hint="eastAsia"/>
          <w:color w:val="auto"/>
          <w:highlight w:val="none"/>
          <w:lang w:val="en-US" w:eastAsia="zh-CN"/>
        </w:rPr>
        <w:t xml:space="preserve"> </w:t>
      </w:r>
      <w:r>
        <w:rPr>
          <w:rFonts w:hint="eastAsia" w:ascii="Times New Roman"/>
          <w:color w:val="auto"/>
          <w:highlight w:val="none"/>
          <w:lang w:val="en-US" w:eastAsia="zh-CN"/>
        </w:rPr>
        <w:t>29328      重要电力用户供电电源及自备应急电源配置技术规范</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auto"/>
          <w:highlight w:val="none"/>
          <w:lang w:val="en-US" w:eastAsia="zh-CN"/>
        </w:rPr>
      </w:pPr>
      <w:r>
        <w:rPr>
          <w:rFonts w:hint="eastAsia" w:ascii="Times New Roman"/>
          <w:color w:val="auto"/>
          <w:highlight w:val="none"/>
        </w:rPr>
        <w:t>GB/T</w:t>
      </w:r>
      <w:r>
        <w:rPr>
          <w:rFonts w:hint="eastAsia"/>
          <w:color w:val="auto"/>
          <w:highlight w:val="none"/>
          <w:lang w:val="en-US" w:eastAsia="zh-CN"/>
        </w:rPr>
        <w:t xml:space="preserve"> </w:t>
      </w:r>
      <w:r>
        <w:rPr>
          <w:rFonts w:hint="eastAsia" w:ascii="Times New Roman"/>
          <w:color w:val="auto"/>
          <w:highlight w:val="none"/>
        </w:rPr>
        <w:t>43456</w:t>
      </w:r>
      <w:r>
        <w:rPr>
          <w:rFonts w:hint="eastAsia"/>
          <w:color w:val="auto"/>
          <w:highlight w:val="none"/>
          <w:lang w:val="en-US" w:eastAsia="zh-CN"/>
        </w:rPr>
        <w:t xml:space="preserve">      </w:t>
      </w:r>
      <w:r>
        <w:rPr>
          <w:rFonts w:hint="eastAsia" w:ascii="Times New Roman"/>
          <w:color w:val="auto"/>
          <w:highlight w:val="none"/>
        </w:rPr>
        <w:t>用电检查规范</w:t>
      </w:r>
      <w:r>
        <w:rPr>
          <w:rFonts w:hint="eastAsia"/>
          <w:color w:val="auto"/>
          <w:highlight w:val="none"/>
          <w:lang w:val="en-US" w:eastAsia="zh-CN"/>
        </w:rPr>
        <w:t xml:space="preserve"> </w:t>
      </w:r>
    </w:p>
    <w:p>
      <w:pPr>
        <w:ind w:left="0" w:leftChars="0" w:firstLine="420" w:firstLineChars="200"/>
        <w:rPr>
          <w:rFonts w:hint="eastAsia"/>
          <w:color w:val="auto"/>
          <w:highlight w:val="none"/>
          <w:lang w:val="en-US" w:eastAsia="zh-CN"/>
        </w:rPr>
      </w:pPr>
      <w:r>
        <w:rPr>
          <w:rFonts w:hint="eastAsia"/>
          <w:color w:val="auto"/>
          <w:highlight w:val="none"/>
          <w:lang w:val="en-US" w:eastAsia="zh-CN"/>
        </w:rPr>
        <w:t>DL/T 1482       架空输电线路无人机巡检作业技术导则</w:t>
      </w:r>
    </w:p>
    <w:bookmarkEnd w:id="27"/>
    <w:p>
      <w:pPr>
        <w:pStyle w:val="259"/>
        <w:numPr>
          <w:ilvl w:val="0"/>
          <w:numId w:val="11"/>
        </w:numPr>
        <w:outlineLvl w:val="0"/>
        <w:rPr>
          <w:rFonts w:ascii="Times New Roman"/>
          <w:color w:val="auto"/>
          <w:szCs w:val="21"/>
          <w:highlight w:val="none"/>
        </w:rPr>
      </w:pPr>
      <w:bookmarkStart w:id="28" w:name="_Toc28888"/>
      <w:bookmarkStart w:id="29" w:name="_Toc62027350"/>
      <w:bookmarkStart w:id="30" w:name="_Toc11168"/>
      <w:bookmarkStart w:id="31" w:name="_Toc63642875"/>
      <w:bookmarkStart w:id="32" w:name="_Toc1165"/>
      <w:bookmarkStart w:id="33" w:name="_Toc2416"/>
      <w:bookmarkStart w:id="34" w:name="_Toc55228496"/>
      <w:r>
        <w:rPr>
          <w:rFonts w:ascii="Times New Roman"/>
          <w:color w:val="auto"/>
          <w:szCs w:val="21"/>
          <w:highlight w:val="none"/>
        </w:rPr>
        <w:t>术语和定义</w:t>
      </w:r>
      <w:bookmarkEnd w:id="28"/>
      <w:bookmarkEnd w:id="29"/>
      <w:bookmarkEnd w:id="30"/>
      <w:bookmarkEnd w:id="31"/>
      <w:bookmarkEnd w:id="32"/>
      <w:bookmarkEnd w:id="33"/>
      <w:bookmarkEnd w:id="34"/>
    </w:p>
    <w:p>
      <w:pPr>
        <w:pStyle w:val="258"/>
        <w:ind w:firstLine="420"/>
        <w:rPr>
          <w:rFonts w:hint="eastAsia"/>
          <w:color w:val="auto"/>
          <w:highlight w:val="none"/>
          <w:lang w:eastAsia="zh-CN"/>
        </w:rPr>
      </w:pPr>
      <w:r>
        <w:rPr>
          <w:rFonts w:hint="eastAsia" w:ascii="Times New Roman" w:hAnsi="Times New Roman" w:eastAsia="宋体" w:cs="Times New Roman"/>
          <w:color w:val="auto"/>
          <w:kern w:val="2"/>
          <w:sz w:val="21"/>
          <w:szCs w:val="24"/>
          <w:highlight w:val="none"/>
          <w:lang w:val="en-US" w:eastAsia="zh-CN" w:bidi="ar-SA"/>
        </w:rPr>
        <w:t>GB/T29328，GB/T28583</w:t>
      </w:r>
      <w:r>
        <w:rPr>
          <w:rFonts w:hint="eastAsia"/>
          <w:highlight w:val="none"/>
          <w:lang w:val="en-US" w:eastAsia="zh-CN"/>
        </w:rPr>
        <w:t>界定的以及下列</w:t>
      </w:r>
      <w:r>
        <w:rPr>
          <w:rFonts w:hint="eastAsia"/>
          <w:color w:val="auto"/>
          <w:highlight w:val="none"/>
        </w:rPr>
        <w:t>术语和定义适用于本文件</w:t>
      </w:r>
      <w:r>
        <w:rPr>
          <w:rFonts w:hint="eastAsia"/>
          <w:color w:val="auto"/>
          <w:highlight w:val="none"/>
          <w:lang w:eastAsia="zh-CN"/>
        </w:rPr>
        <w:t>。</w:t>
      </w:r>
    </w:p>
    <w:p>
      <w:pPr>
        <w:pStyle w:val="324"/>
        <w:numPr>
          <w:ilvl w:val="1"/>
          <w:numId w:val="0"/>
        </w:numPr>
        <w:ind w:leftChars="0"/>
        <w:rPr>
          <w:rFonts w:hint="eastAsia" w:ascii="Times New Roman" w:hAnsi="Times New Roman" w:cs="Times New Roman"/>
          <w:color w:val="auto"/>
          <w:highlight w:val="none"/>
        </w:rPr>
      </w:pPr>
      <w:r>
        <w:rPr>
          <w:rFonts w:hint="eastAsia" w:ascii="Times New Roman" w:cs="Times New Roman"/>
          <w:color w:val="auto"/>
          <w:highlight w:val="none"/>
          <w:lang w:val="en-US" w:eastAsia="zh-CN"/>
        </w:rPr>
        <w:t>3.1</w:t>
      </w:r>
      <w:r>
        <w:rPr>
          <w:rFonts w:hint="eastAsia" w:ascii="Times New Roman" w:hAnsi="Times New Roman" w:cs="Times New Roman"/>
          <w:color w:val="auto"/>
          <w:highlight w:val="none"/>
        </w:rPr>
        <w:t xml:space="preserve">  </w:t>
      </w:r>
    </w:p>
    <w:p>
      <w:pPr>
        <w:pStyle w:val="324"/>
        <w:numPr>
          <w:ilvl w:val="0"/>
          <w:numId w:val="0"/>
        </w:numPr>
        <w:ind w:firstLine="420" w:firstLineChars="200"/>
        <w:rPr>
          <w:rFonts w:hint="default" w:ascii="Times New Roman" w:cs="Times New Roman"/>
          <w:color w:val="auto"/>
          <w:highlight w:val="none"/>
          <w:lang w:val="en-US" w:eastAsia="zh-CN"/>
        </w:rPr>
      </w:pPr>
      <w:r>
        <w:rPr>
          <w:rFonts w:hint="eastAsia" w:ascii="Times New Roman" w:cs="Times New Roman"/>
          <w:color w:val="auto"/>
          <w:highlight w:val="none"/>
          <w:lang w:val="en-US" w:eastAsia="zh-CN"/>
        </w:rPr>
        <w:t>涉网装置   device related network</w:t>
      </w:r>
    </w:p>
    <w:p>
      <w:pPr>
        <w:pStyle w:val="258"/>
        <w:rPr>
          <w:rFonts w:hint="eastAsia" w:ascii="Times New Roman" w:cs="Times New Roman"/>
          <w:color w:val="auto"/>
          <w:highlight w:val="none"/>
          <w:lang w:val="en-US" w:eastAsia="zh-CN"/>
        </w:rPr>
      </w:pPr>
      <w:r>
        <w:rPr>
          <w:rFonts w:hint="eastAsia" w:ascii="Times New Roman" w:cs="Times New Roman"/>
          <w:color w:val="auto"/>
          <w:highlight w:val="none"/>
          <w:lang w:val="en-US" w:eastAsia="zh-CN"/>
        </w:rPr>
        <w:t>电力用户和公共电网直接连接的电气装置及其相关的保护、计量等二次设备。</w:t>
      </w:r>
    </w:p>
    <w:p>
      <w:pPr>
        <w:pStyle w:val="258"/>
        <w:rPr>
          <w:rFonts w:hint="eastAsia" w:ascii="Times New Roman" w:cs="Times New Roman"/>
          <w:color w:val="auto"/>
          <w:highlight w:val="none"/>
          <w:lang w:val="en-US" w:eastAsia="zh-CN"/>
        </w:rPr>
      </w:pPr>
      <w:r>
        <w:rPr>
          <w:rFonts w:hint="eastAsia" w:ascii="Times New Roman" w:cs="Times New Roman"/>
          <w:color w:val="auto"/>
          <w:highlight w:val="none"/>
          <w:lang w:val="en-US" w:eastAsia="zh-CN"/>
        </w:rPr>
        <w:t>[来源：GB/T 43456-2023,3.7,有修改]</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eastAsia"/>
          <w:highlight w:val="none"/>
          <w:lang w:val="en-US" w:eastAsia="zh-CN"/>
        </w:rPr>
      </w:pPr>
      <w:r>
        <w:rPr>
          <w:rFonts w:hint="eastAsia" w:ascii="黑体" w:hAnsi="黑体" w:eastAsia="黑体" w:cs="黑体"/>
          <w:highlight w:val="none"/>
          <w:lang w:val="en-US" w:eastAsia="zh-CN"/>
        </w:rPr>
        <w:t>3.2</w:t>
      </w:r>
      <w:r>
        <w:rPr>
          <w:rFonts w:hint="eastAsia"/>
          <w:highlight w:val="none"/>
          <w:lang w:val="en-US" w:eastAsia="zh-CN"/>
        </w:rPr>
        <w:t xml:space="preserve"> </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default"/>
          <w:highlight w:val="none"/>
          <w:lang w:val="en-US" w:eastAsia="zh-CN"/>
        </w:rPr>
      </w:pPr>
      <w:r>
        <w:rPr>
          <w:rFonts w:hint="eastAsia"/>
          <w:highlight w:val="none"/>
          <w:lang w:val="en-US" w:eastAsia="zh-CN"/>
        </w:rPr>
        <w:t>无人机 unmanned aircraft system</w:t>
      </w:r>
    </w:p>
    <w:p>
      <w:pPr>
        <w:pStyle w:val="258"/>
        <w:keepNext w:val="0"/>
        <w:keepLines w:val="0"/>
        <w:pageBreakBefore w:val="0"/>
        <w:kinsoku/>
        <w:wordWrap/>
        <w:overflowPunct/>
        <w:topLinePunct w:val="0"/>
        <w:autoSpaceDE/>
        <w:autoSpaceDN/>
        <w:bidi w:val="0"/>
        <w:adjustRightInd w:val="0"/>
        <w:snapToGrid/>
        <w:ind w:left="0" w:leftChars="0" w:firstLine="420" w:firstLineChars="200"/>
        <w:textAlignment w:val="auto"/>
        <w:rPr>
          <w:rFonts w:hint="default"/>
          <w:highlight w:val="none"/>
          <w:lang w:val="en-US" w:eastAsia="zh-CN"/>
        </w:rPr>
      </w:pPr>
      <w:r>
        <w:rPr>
          <w:rFonts w:hint="eastAsia"/>
          <w:highlight w:val="none"/>
          <w:lang w:val="en-US" w:eastAsia="zh-CN"/>
        </w:rPr>
        <w:t>无人机按气动布局分为多旋翼微型无人机、固定轻型翼无人机、无人直升机等。按起飞重量分为微型无人机、轻型无人机、小型无人机、中型无人机和大型无人机。按飞行高度分为超低空无人机、低空无人机、中空无人机、高空无人机。</w:t>
      </w:r>
    </w:p>
    <w:p>
      <w:pPr>
        <w:pStyle w:val="324"/>
        <w:numPr>
          <w:ilvl w:val="1"/>
          <w:numId w:val="0"/>
        </w:numPr>
        <w:ind w:leftChars="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3.3</w:t>
      </w:r>
    </w:p>
    <w:p>
      <w:pPr>
        <w:pStyle w:val="324"/>
        <w:numPr>
          <w:ilvl w:val="0"/>
          <w:numId w:val="0"/>
        </w:numPr>
        <w:ind w:firstLine="420" w:firstLineChars="200"/>
        <w:rPr>
          <w:rFonts w:hint="default" w:ascii="Times New Roman" w:hAnsi="Times New Roman" w:eastAsia="黑体" w:cs="Times New Roman"/>
          <w:color w:val="auto"/>
          <w:highlight w:val="none"/>
          <w:lang w:val="en-US" w:eastAsia="zh-CN"/>
        </w:rPr>
      </w:pPr>
      <w:bookmarkStart w:id="35" w:name="OLE_LINK3"/>
      <w:r>
        <w:rPr>
          <w:rFonts w:hint="eastAsia" w:ascii="Times New Roman" w:hAnsi="Times New Roman" w:cs="Times New Roman"/>
          <w:color w:val="auto"/>
          <w:highlight w:val="none"/>
        </w:rPr>
        <w:t>安全</w:t>
      </w:r>
      <w:r>
        <w:rPr>
          <w:rFonts w:hint="eastAsia" w:ascii="Times New Roman" w:cs="Times New Roman"/>
          <w:color w:val="auto"/>
          <w:highlight w:val="none"/>
          <w:lang w:val="en-US" w:eastAsia="zh-CN"/>
        </w:rPr>
        <w:t>用电</w:t>
      </w:r>
      <w:bookmarkEnd w:id="35"/>
      <w:r>
        <w:rPr>
          <w:rFonts w:hint="eastAsia" w:ascii="Times New Roman" w:cs="Times New Roman"/>
          <w:color w:val="auto"/>
          <w:highlight w:val="none"/>
          <w:lang w:val="en-US" w:eastAsia="zh-CN"/>
        </w:rPr>
        <w:t>巡检</w:t>
      </w:r>
      <w:r>
        <w:rPr>
          <w:rFonts w:hint="eastAsia" w:ascii="Times New Roman" w:hAnsi="Times New Roman" w:cs="Times New Roman"/>
          <w:color w:val="auto"/>
          <w:highlight w:val="none"/>
        </w:rPr>
        <w:t xml:space="preserve">  </w:t>
      </w:r>
      <w:r>
        <w:rPr>
          <w:rFonts w:hint="eastAsia" w:ascii="Times New Roman" w:cs="Times New Roman"/>
          <w:color w:val="auto"/>
          <w:highlight w:val="none"/>
          <w:lang w:val="en-US" w:eastAsia="zh-CN"/>
        </w:rPr>
        <w:t>routine electricity safety inspection</w:t>
      </w:r>
    </w:p>
    <w:p>
      <w:pPr>
        <w:pStyle w:val="34"/>
        <w:ind w:firstLine="420" w:firstLineChars="200"/>
      </w:pPr>
      <w:r>
        <w:rPr>
          <w:rFonts w:hint="eastAsia"/>
          <w:lang w:val="en-US" w:eastAsia="zh-CN"/>
        </w:rPr>
        <w:t>供电企业</w:t>
      </w:r>
      <w:r>
        <w:t>采用无人机对用户涉网装置</w:t>
      </w:r>
      <w:r>
        <w:rPr>
          <w:rFonts w:hint="eastAsia"/>
          <w:lang w:val="en-US" w:eastAsia="zh-CN"/>
        </w:rPr>
        <w:t>或</w:t>
      </w:r>
      <w:r>
        <w:rPr>
          <w:rFonts w:hint="eastAsia"/>
        </w:rPr>
        <w:t>延伸至</w:t>
      </w:r>
      <w:r>
        <w:rPr>
          <w:rFonts w:hint="eastAsia"/>
          <w:lang w:val="en-US" w:eastAsia="zh-CN"/>
        </w:rPr>
        <w:t>用户</w:t>
      </w:r>
      <w:r>
        <w:rPr>
          <w:rFonts w:hint="eastAsia"/>
        </w:rPr>
        <w:t>相关设施</w:t>
      </w:r>
      <w:r>
        <w:t>进行</w:t>
      </w:r>
      <w:r>
        <w:rPr>
          <w:rFonts w:hint="eastAsia"/>
          <w:lang w:val="en-US" w:eastAsia="zh-CN"/>
        </w:rPr>
        <w:t>用电安全</w:t>
      </w:r>
      <w:r>
        <w:t>检查，</w:t>
      </w:r>
      <w:r>
        <w:rPr>
          <w:rFonts w:hint="eastAsia"/>
          <w:lang w:val="en-US" w:eastAsia="zh-CN"/>
        </w:rPr>
        <w:t>以及电力用户采用无人机开展用电安全自查</w:t>
      </w:r>
      <w:r>
        <w:t>。</w:t>
      </w:r>
    </w:p>
    <w:p>
      <w:pPr>
        <w:pStyle w:val="34"/>
        <w:ind w:firstLine="420" w:firstLineChars="200"/>
        <w:rPr>
          <w:rFonts w:hint="eastAsia"/>
          <w:lang w:val="en-US" w:eastAsia="zh-CN"/>
        </w:rPr>
      </w:pPr>
    </w:p>
    <w:p>
      <w:pPr>
        <w:pStyle w:val="324"/>
        <w:numPr>
          <w:ilvl w:val="1"/>
          <w:numId w:val="0"/>
        </w:numPr>
        <w:ind w:leftChars="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3.4</w:t>
      </w:r>
    </w:p>
    <w:p>
      <w:pPr>
        <w:pStyle w:val="324"/>
        <w:numPr>
          <w:ilvl w:val="1"/>
          <w:numId w:val="0"/>
        </w:numPr>
        <w:ind w:leftChars="0" w:firstLine="420" w:firstLineChars="20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合规用电巡检  other inspection</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lang w:val="en-US" w:eastAsia="zh-CN"/>
        </w:rPr>
      </w:pPr>
      <w:r>
        <w:rPr>
          <w:rFonts w:hint="eastAsia"/>
          <w:b w:val="0"/>
          <w:bCs w:val="0"/>
          <w:sz w:val="21"/>
          <w:szCs w:val="21"/>
          <w:highlight w:val="none"/>
          <w:lang w:val="en-US" w:eastAsia="zh-CN"/>
        </w:rPr>
        <w:t>供电企业采用无人机开展量价费合规性、超容用电、转供电、变更用电和窃电等检查。</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lang w:val="en-US" w:eastAsia="zh-CN"/>
        </w:rPr>
      </w:pPr>
    </w:p>
    <w:p>
      <w:pPr>
        <w:pStyle w:val="349"/>
        <w:numPr>
          <w:ilvl w:val="0"/>
          <w:numId w:val="13"/>
        </w:numPr>
        <w:rPr>
          <w:szCs w:val="21"/>
        </w:rPr>
      </w:pPr>
      <w:bookmarkStart w:id="36" w:name="标准附录"/>
      <w:bookmarkEnd w:id="36"/>
      <w:r>
        <w:rPr>
          <w:rFonts w:hint="eastAsia"/>
          <w:szCs w:val="21"/>
          <w:lang w:val="en-US" w:eastAsia="zh-CN"/>
        </w:rPr>
        <w:t>技术</w:t>
      </w:r>
    </w:p>
    <w:p>
      <w:pPr>
        <w:pStyle w:val="350"/>
        <w:numPr>
          <w:ilvl w:val="0"/>
          <w:numId w:val="14"/>
        </w:numPr>
        <w:rPr>
          <w:szCs w:val="21"/>
        </w:rPr>
      </w:pPr>
    </w:p>
    <w:p>
      <w:pPr>
        <w:pStyle w:val="259"/>
        <w:numPr>
          <w:ilvl w:val="0"/>
          <w:numId w:val="11"/>
        </w:numPr>
        <w:outlineLvl w:val="0"/>
        <w:rPr>
          <w:rFonts w:hint="eastAsia" w:ascii="Times New Roman" w:hAnsi="Times New Roman" w:cs="Times New Roman"/>
          <w:szCs w:val="21"/>
          <w:highlight w:val="none"/>
          <w:lang w:val="en-US" w:eastAsia="zh-CN"/>
        </w:rPr>
      </w:pPr>
      <w:bookmarkStart w:id="37" w:name="_Toc27495"/>
      <w:r>
        <w:rPr>
          <w:rFonts w:hint="eastAsia" w:ascii="Times New Roman" w:cs="Times New Roman"/>
          <w:szCs w:val="21"/>
          <w:highlight w:val="none"/>
          <w:lang w:val="en-US" w:eastAsia="zh-CN"/>
        </w:rPr>
        <w:t>一般要求</w:t>
      </w:r>
      <w:bookmarkEnd w:id="37"/>
    </w:p>
    <w:p>
      <w:pPr>
        <w:pStyle w:val="324"/>
        <w:ind w:left="0"/>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无人机巡检系统</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eastAsia"/>
          <w:highlight w:val="none"/>
          <w:lang w:val="en-US" w:eastAsia="zh-CN"/>
        </w:rPr>
      </w:pPr>
      <w:r>
        <w:rPr>
          <w:rFonts w:hint="eastAsia" w:ascii="黑体" w:hAnsi="黑体" w:eastAsia="黑体" w:cs="黑体"/>
          <w:highlight w:val="none"/>
          <w:lang w:val="en-US" w:eastAsia="zh-CN"/>
        </w:rPr>
        <w:t>4.1.1</w:t>
      </w:r>
      <w:r>
        <w:rPr>
          <w:rFonts w:hint="eastAsia"/>
          <w:highlight w:val="none"/>
          <w:lang w:val="en-US" w:eastAsia="zh-CN"/>
        </w:rPr>
        <w:t xml:space="preserve"> 无人机巡检系统应包括无人机分系统、任务载荷分系统。无人机分系统应由无人机平台、通信单元和地面站组成：无人机平台应包括无人机本体和导航控制系统；通信单元应包括数据传输和飞行控制，地面站应包括飞行控制软件、飞行操控器、任务载荷控制等软硬件设备。任务载荷分系统应由任务载荷模块和数据处理分析模块组成。</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eastAsia"/>
          <w:highlight w:val="none"/>
          <w:lang w:val="en-US" w:eastAsia="zh-CN"/>
        </w:rPr>
      </w:pPr>
      <w:r>
        <w:rPr>
          <w:rFonts w:hint="eastAsia" w:ascii="黑体" w:hAnsi="黑体" w:eastAsia="黑体" w:cs="黑体"/>
          <w:highlight w:val="none"/>
          <w:lang w:val="en-US" w:eastAsia="zh-CN"/>
        </w:rPr>
        <w:t>4.1.2</w:t>
      </w:r>
      <w:r>
        <w:rPr>
          <w:rFonts w:hint="eastAsia"/>
          <w:highlight w:val="none"/>
          <w:lang w:val="en-US" w:eastAsia="zh-CN"/>
        </w:rPr>
        <w:t xml:space="preserve"> 无人机本体应完成实名登记，具备唯一身份标识与远程识别能力。导航控制系统采用多源冗余导航，定位、姿态控制精度达标，支持手动/半自主/自主飞行模式切换。</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eastAsia"/>
          <w:highlight w:val="none"/>
          <w:lang w:val="en-US" w:eastAsia="zh-CN"/>
        </w:rPr>
      </w:pPr>
      <w:r>
        <w:rPr>
          <w:rFonts w:hint="eastAsia" w:ascii="黑体" w:hAnsi="黑体" w:eastAsia="黑体" w:cs="黑体"/>
          <w:highlight w:val="none"/>
          <w:lang w:val="en-US" w:eastAsia="zh-CN"/>
        </w:rPr>
        <w:t>4.1.3</w:t>
      </w:r>
      <w:r>
        <w:rPr>
          <w:rFonts w:hint="eastAsia"/>
          <w:highlight w:val="none"/>
          <w:lang w:val="en-US" w:eastAsia="zh-CN"/>
        </w:rPr>
        <w:t xml:space="preserve"> 通信单元无线电频段合规，取得型号核准，发射功率符合国家规范。飞控上行指令加密传输，低时延、低误码率，防劫持防篡改。下行稳定回传遥测、视频及任务载荷数据。具备主备双链路冗余，链路中断可自动切换、实时告警。</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eastAsia"/>
          <w:highlight w:val="none"/>
          <w:lang w:val="en-US" w:eastAsia="zh-CN"/>
        </w:rPr>
      </w:pPr>
      <w:r>
        <w:rPr>
          <w:rFonts w:hint="eastAsia" w:ascii="黑体" w:hAnsi="黑体" w:eastAsia="黑体" w:cs="黑体"/>
          <w:highlight w:val="none"/>
          <w:lang w:val="en-US" w:eastAsia="zh-CN"/>
        </w:rPr>
        <w:t>4.1.4</w:t>
      </w:r>
      <w:r>
        <w:rPr>
          <w:rFonts w:hint="eastAsia"/>
          <w:highlight w:val="none"/>
          <w:lang w:val="en-US" w:eastAsia="zh-CN"/>
        </w:rPr>
        <w:t xml:space="preserve"> 地面站支持航线/航点任务规划、三维态势显示、全飞行状态实时监控。具备超限、低电、链路异常等声光告警，设物理应急操控按键。全程记录飞行指令、遥测、操作日志，数据不可篡改、可存储回放。实行分级权限管理，操控硬件满足户外、防水防尘、长续航工业级要求。可远程管控任务载荷启停、参数配置，飞行与载荷数据时间同步。</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default"/>
          <w:highlight w:val="none"/>
          <w:lang w:val="en-US" w:eastAsia="zh-CN"/>
        </w:rPr>
      </w:pPr>
      <w:r>
        <w:rPr>
          <w:rFonts w:hint="eastAsia" w:ascii="黑体" w:hAnsi="黑体" w:eastAsia="黑体" w:cs="黑体"/>
          <w:highlight w:val="none"/>
          <w:lang w:val="en-US" w:eastAsia="zh-CN"/>
        </w:rPr>
        <w:t>4.1.5</w:t>
      </w:r>
      <w:r>
        <w:rPr>
          <w:rFonts w:hint="eastAsia"/>
          <w:highlight w:val="none"/>
          <w:lang w:val="en-US" w:eastAsia="zh-CN"/>
        </w:rPr>
        <w:t xml:space="preserve"> 任务载荷系统载荷重量、功耗适配无人机载重供电，具备减振、抗震、环境防护能力。传感器成像、测距、测温等核心精度满足行业作业标准。支持作业数据实时采集、回传与本地双备份存储。数据格式通用、加密存储、全程可溯源，支持后期建模、分析及成果输出。</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default"/>
          <w:highlight w:val="none"/>
          <w:lang w:val="en-US" w:eastAsia="zh-CN"/>
        </w:rPr>
      </w:pPr>
      <w:r>
        <w:rPr>
          <w:rFonts w:hint="eastAsia" w:ascii="黑体" w:hAnsi="黑体" w:eastAsia="黑体" w:cs="黑体"/>
          <w:highlight w:val="none"/>
          <w:lang w:val="en-US" w:eastAsia="zh-CN"/>
        </w:rPr>
        <w:t>4.1.6</w:t>
      </w:r>
      <w:r>
        <w:rPr>
          <w:rFonts w:hint="eastAsia"/>
          <w:highlight w:val="none"/>
          <w:lang w:val="en-US" w:eastAsia="zh-CN"/>
        </w:rPr>
        <w:t xml:space="preserve"> 无人机巡检系统及其备品备件应妥善保管。应将无人机本体、动力电池、遥控器及机载设备分开存放，置于专用设备存放架上或存放柜内固定位置。</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eastAsia"/>
          <w:highlight w:val="none"/>
          <w:lang w:val="en-US" w:eastAsia="zh-CN"/>
        </w:rPr>
      </w:pPr>
      <w:r>
        <w:rPr>
          <w:rFonts w:hint="eastAsia" w:ascii="黑体" w:hAnsi="黑体" w:eastAsia="黑体" w:cs="黑体"/>
          <w:highlight w:val="none"/>
          <w:lang w:val="en-US" w:eastAsia="zh-CN"/>
        </w:rPr>
        <w:t xml:space="preserve">4.1.7 </w:t>
      </w:r>
      <w:r>
        <w:rPr>
          <w:rFonts w:hint="eastAsia"/>
          <w:highlight w:val="none"/>
          <w:lang w:val="en-US" w:eastAsia="zh-CN"/>
        </w:rPr>
        <w:t>应严格按照无人机维保周期进行零件维修更换和大修保养，定期对无人机进行检查、清洁、润</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default"/>
          <w:highlight w:val="none"/>
          <w:lang w:val="en-US" w:eastAsia="zh-CN"/>
        </w:rPr>
      </w:pPr>
      <w:r>
        <w:rPr>
          <w:rFonts w:hint="eastAsia"/>
          <w:highlight w:val="none"/>
          <w:lang w:val="en-US" w:eastAsia="zh-CN"/>
        </w:rPr>
        <w:t>滑、紧固，确保设备状态正常。应定期进行无人机动力电池充、放电和性能检测，确保电池性能良好。</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eastAsia"/>
          <w:highlight w:val="none"/>
          <w:lang w:val="en-US" w:eastAsia="zh-CN"/>
        </w:rPr>
      </w:pPr>
      <w:r>
        <w:rPr>
          <w:rFonts w:hint="eastAsia" w:ascii="黑体" w:hAnsi="黑体" w:eastAsia="黑体" w:cs="黑体"/>
          <w:highlight w:val="none"/>
          <w:lang w:val="en-US" w:eastAsia="zh-CN"/>
        </w:rPr>
        <w:t xml:space="preserve">4.1.8 </w:t>
      </w:r>
      <w:r>
        <w:rPr>
          <w:rFonts w:hint="eastAsia"/>
          <w:highlight w:val="none"/>
          <w:lang w:val="en-US" w:eastAsia="zh-CN"/>
        </w:rPr>
        <w:t>无人机巡检系统装备运输应置于专用携带箱、包等合适工装内，或采取有效防震、防碰撞措施</w:t>
      </w:r>
    </w:p>
    <w:p>
      <w:pPr>
        <w:pStyle w:val="258"/>
        <w:keepNext w:val="0"/>
        <w:keepLines w:val="0"/>
        <w:pageBreakBefore w:val="0"/>
        <w:kinsoku/>
        <w:wordWrap/>
        <w:overflowPunct/>
        <w:topLinePunct w:val="0"/>
        <w:autoSpaceDE/>
        <w:autoSpaceDN/>
        <w:bidi w:val="0"/>
        <w:adjustRightInd w:val="0"/>
        <w:snapToGrid/>
        <w:ind w:left="0" w:leftChars="0" w:firstLine="0" w:firstLineChars="0"/>
        <w:textAlignment w:val="auto"/>
        <w:rPr>
          <w:rFonts w:hint="eastAsia"/>
          <w:highlight w:val="none"/>
          <w:lang w:val="en-US" w:eastAsia="zh-CN"/>
        </w:rPr>
      </w:pPr>
      <w:r>
        <w:rPr>
          <w:rFonts w:hint="eastAsia"/>
          <w:highlight w:val="none"/>
          <w:lang w:val="en-US" w:eastAsia="zh-CN"/>
        </w:rPr>
        <w:t>等，稳固放置。</w:t>
      </w:r>
    </w:p>
    <w:p>
      <w:pPr>
        <w:pStyle w:val="324"/>
        <w:keepNext w:val="0"/>
        <w:keepLines w:val="0"/>
        <w:pageBreakBefore w:val="0"/>
        <w:kinsoku/>
        <w:wordWrap/>
        <w:overflowPunct/>
        <w:topLinePunct w:val="0"/>
        <w:autoSpaceDE/>
        <w:autoSpaceDN/>
        <w:bidi w:val="0"/>
        <w:adjustRightInd w:val="0"/>
        <w:snapToGrid/>
        <w:ind w:left="0"/>
        <w:textAlignment w:val="auto"/>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人员</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4.2.1 </w:t>
      </w:r>
      <w:r>
        <w:rPr>
          <w:rFonts w:hint="eastAsia"/>
          <w:highlight w:val="none"/>
        </w:rPr>
        <w:t>作业人员应至少包含1名无人机操控员和1名安全监管员</w:t>
      </w:r>
      <w:r>
        <w:rPr>
          <w:rFonts w:hint="eastAsia"/>
          <w:highlight w:val="none"/>
          <w:lang w:eastAsia="zh-CN"/>
        </w:rPr>
        <w:t>，</w:t>
      </w:r>
      <w:r>
        <w:rPr>
          <w:rFonts w:hint="eastAsia"/>
          <w:highlight w:val="none"/>
        </w:rPr>
        <w:t>作业人员应熟悉无人机驾驶方法和</w:t>
      </w:r>
      <w:r>
        <w:rPr>
          <w:rFonts w:hint="eastAsia"/>
          <w:highlight w:val="none"/>
          <w:lang w:val="en-US" w:eastAsia="zh-CN"/>
        </w:rPr>
        <w:t>检查</w:t>
      </w:r>
      <w:r>
        <w:rPr>
          <w:rFonts w:hint="eastAsia"/>
          <w:highlight w:val="none"/>
        </w:rPr>
        <w:t>方法，通过无人机理论和实操培训及考核，具备无人机操控资质。</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4.2.2 </w:t>
      </w:r>
      <w:r>
        <w:rPr>
          <w:rFonts w:hint="eastAsia"/>
          <w:b w:val="0"/>
          <w:bCs w:val="0"/>
          <w:sz w:val="21"/>
          <w:szCs w:val="21"/>
          <w:highlight w:val="none"/>
          <w:lang w:val="en-US" w:eastAsia="zh-CN"/>
        </w:rPr>
        <w:t>作业人员需要具备民航局认可的无人机（视距内飞行）系统驾驶员执照。</w:t>
      </w:r>
      <w:r>
        <w:rPr>
          <w:rFonts w:hint="eastAsia"/>
          <w:highlight w:val="none"/>
        </w:rPr>
        <w:t>无人机操控员负责操作无人机开展</w:t>
      </w:r>
      <w:r>
        <w:rPr>
          <w:rFonts w:hint="eastAsia"/>
          <w:highlight w:val="none"/>
          <w:lang w:val="en-US" w:eastAsia="zh-CN"/>
        </w:rPr>
        <w:t>用电检查</w:t>
      </w:r>
      <w:r>
        <w:rPr>
          <w:rFonts w:hint="eastAsia"/>
          <w:highlight w:val="none"/>
        </w:rPr>
        <w:t>作业，应熟悉无人机飞行原理、掌握无人机操作方法及作业流程。安全监管员负责对整个作业过程进行安全监管，应熟悉无人机安全操作要求并具备风险辨识能力。</w:t>
      </w:r>
    </w:p>
    <w:p>
      <w:pPr>
        <w:keepNext w:val="0"/>
        <w:keepLines w:val="0"/>
        <w:pageBreakBefore w:val="0"/>
        <w:kinsoku/>
        <w:wordWrap/>
        <w:overflowPunct/>
        <w:topLinePunct w:val="0"/>
        <w:autoSpaceDE/>
        <w:autoSpaceDN/>
        <w:bidi w:val="0"/>
        <w:adjustRightInd w:val="0"/>
        <w:snapToGrid/>
        <w:textAlignment w:val="auto"/>
        <w:rPr>
          <w:rFonts w:hint="eastAsia" w:eastAsia="宋体"/>
          <w:highlight w:val="none"/>
          <w:lang w:eastAsia="zh-CN"/>
        </w:rPr>
      </w:pPr>
      <w:r>
        <w:rPr>
          <w:rFonts w:hint="eastAsia" w:ascii="黑体" w:hAnsi="黑体" w:eastAsia="黑体" w:cs="黑体"/>
          <w:color w:val="auto"/>
          <w:szCs w:val="21"/>
          <w:highlight w:val="none"/>
          <w:lang w:val="en-US" w:eastAsia="zh-CN"/>
        </w:rPr>
        <w:t xml:space="preserve">4.2.3 </w:t>
      </w:r>
      <w:r>
        <w:rPr>
          <w:rFonts w:hint="eastAsia"/>
          <w:highlight w:val="none"/>
        </w:rPr>
        <w:t>作业人员应具有2年及以上</w:t>
      </w:r>
      <w:r>
        <w:rPr>
          <w:rFonts w:hint="eastAsia"/>
          <w:highlight w:val="none"/>
          <w:lang w:val="en-US" w:eastAsia="zh-CN"/>
        </w:rPr>
        <w:t>用电检查</w:t>
      </w:r>
      <w:r>
        <w:rPr>
          <w:rFonts w:hint="eastAsia"/>
          <w:highlight w:val="none"/>
        </w:rPr>
        <w:t>工作经验，具备开展相应电压等级用电检查的能力</w:t>
      </w:r>
      <w:r>
        <w:rPr>
          <w:rFonts w:hint="eastAsia"/>
          <w:highlight w:val="none"/>
          <w:lang w:eastAsia="zh-CN"/>
        </w:rPr>
        <w:t>，</w:t>
      </w:r>
      <w:r>
        <w:rPr>
          <w:rFonts w:hint="eastAsia"/>
          <w:highlight w:val="none"/>
        </w:rPr>
        <w:t>应掌握电气设备知识</w:t>
      </w:r>
      <w:r>
        <w:rPr>
          <w:rFonts w:hint="eastAsia"/>
          <w:highlight w:val="none"/>
          <w:lang w:eastAsia="zh-CN"/>
        </w:rPr>
        <w:t>，</w:t>
      </w:r>
      <w:r>
        <w:rPr>
          <w:rFonts w:hint="eastAsia"/>
          <w:highlight w:val="none"/>
        </w:rPr>
        <w:t>熟悉与供用电业务有关的法律、法规、方针、政策、技术标准以及供用电管理规章制度</w:t>
      </w:r>
      <w:r>
        <w:rPr>
          <w:rFonts w:hint="eastAsia"/>
          <w:highlight w:val="none"/>
          <w:lang w:eastAsia="zh-CN"/>
        </w:rPr>
        <w:t>。</w:t>
      </w:r>
    </w:p>
    <w:p>
      <w:pPr>
        <w:keepNext w:val="0"/>
        <w:keepLines w:val="0"/>
        <w:pageBreakBefore w:val="0"/>
        <w:widowControl w:val="0"/>
        <w:numPr>
          <w:ilvl w:val="-1"/>
          <w:numId w:val="0"/>
        </w:numPr>
        <w:shd w:val="clear" w:color="auto" w:fill="auto"/>
        <w:tabs>
          <w:tab w:val="left" w:pos="633"/>
        </w:tabs>
        <w:kinsoku/>
        <w:wordWrap/>
        <w:overflowPunct/>
        <w:topLinePunct w:val="0"/>
        <w:autoSpaceDE/>
        <w:autoSpaceDN/>
        <w:bidi w:val="0"/>
        <w:adjustRightInd w:val="0"/>
        <w:snapToGrid/>
        <w:spacing w:before="0" w:after="0" w:line="322" w:lineRule="exact"/>
        <w:ind w:left="0" w:right="0" w:firstLine="0"/>
        <w:jc w:val="both"/>
        <w:textAlignment w:val="auto"/>
        <w:rPr>
          <w:rFonts w:hint="eastAsia"/>
          <w:highlight w:val="none"/>
          <w:lang w:val="ko-KR" w:eastAsia="ko-KR"/>
        </w:rPr>
      </w:pPr>
      <w:r>
        <w:rPr>
          <w:rFonts w:hint="eastAsia" w:ascii="黑体" w:hAnsi="黑体" w:eastAsia="黑体" w:cs="黑体"/>
          <w:color w:val="auto"/>
          <w:szCs w:val="21"/>
          <w:highlight w:val="none"/>
          <w:lang w:val="en-US" w:eastAsia="zh-CN"/>
        </w:rPr>
        <w:t xml:space="preserve">4.2.4 </w:t>
      </w:r>
      <w:r>
        <w:rPr>
          <w:rFonts w:hint="eastAsia"/>
          <w:highlight w:val="none"/>
        </w:rPr>
        <w:t>作业人员应身体健康，</w:t>
      </w:r>
      <w:r>
        <w:rPr>
          <w:rFonts w:hint="eastAsia"/>
          <w:highlight w:val="none"/>
          <w:lang w:val="ja-JP" w:eastAsia="ja-JP"/>
        </w:rPr>
        <w:t>无</w:t>
      </w:r>
      <w:r>
        <w:rPr>
          <w:rFonts w:hint="eastAsia"/>
          <w:highlight w:val="none"/>
          <w:lang w:val="ko-KR" w:eastAsia="ko-KR"/>
        </w:rPr>
        <w:t>影</w:t>
      </w:r>
      <w:r>
        <w:rPr>
          <w:rFonts w:hint="eastAsia"/>
          <w:highlight w:val="none"/>
          <w:lang w:val="ja-JP" w:eastAsia="ja-JP"/>
        </w:rPr>
        <w:t>响</w:t>
      </w:r>
      <w:r>
        <w:rPr>
          <w:rFonts w:hint="eastAsia"/>
          <w:highlight w:val="none"/>
          <w:lang w:val="ko-KR" w:eastAsia="ko-KR"/>
        </w:rPr>
        <w:t>现场作</w:t>
      </w:r>
      <w:r>
        <w:rPr>
          <w:rFonts w:hint="eastAsia"/>
          <w:highlight w:val="none"/>
          <w:lang w:val="ja-JP" w:eastAsia="ja-JP"/>
        </w:rPr>
        <w:t>业</w:t>
      </w:r>
      <w:r>
        <w:rPr>
          <w:rFonts w:hint="eastAsia"/>
          <w:highlight w:val="none"/>
          <w:lang w:val="ko-KR" w:eastAsia="ko-KR"/>
        </w:rPr>
        <w:t>的</w:t>
      </w:r>
      <w:r>
        <w:rPr>
          <w:rFonts w:hint="eastAsia"/>
          <w:highlight w:val="none"/>
          <w:lang w:val="ja-JP" w:eastAsia="ja-JP"/>
        </w:rPr>
        <w:t>身体</w:t>
      </w:r>
      <w:r>
        <w:rPr>
          <w:rFonts w:hint="eastAsia"/>
          <w:highlight w:val="none"/>
          <w:lang w:val="ko-KR" w:eastAsia="ko-KR"/>
        </w:rPr>
        <w:t>疾病</w:t>
      </w:r>
      <w:r>
        <w:rPr>
          <w:rFonts w:hint="eastAsia"/>
          <w:highlight w:val="none"/>
          <w:lang w:val="ja-JP" w:eastAsia="ja-JP"/>
        </w:rPr>
        <w:t>和心</w:t>
      </w:r>
      <w:r>
        <w:rPr>
          <w:rFonts w:hint="eastAsia"/>
          <w:highlight w:val="none"/>
          <w:lang w:val="ko-KR" w:eastAsia="ko-KR"/>
        </w:rPr>
        <w:t>理</w:t>
      </w:r>
      <w:r>
        <w:rPr>
          <w:rFonts w:hint="eastAsia"/>
          <w:highlight w:val="none"/>
          <w:lang w:val="ja-JP" w:eastAsia="ja-JP"/>
        </w:rPr>
        <w:t>障碍</w:t>
      </w:r>
      <w:r>
        <w:rPr>
          <w:rFonts w:hint="eastAsia"/>
          <w:highlight w:val="none"/>
          <w:lang w:val="ja-JP" w:eastAsia="zh-CN"/>
        </w:rPr>
        <w:t>，</w:t>
      </w:r>
      <w:r>
        <w:rPr>
          <w:rFonts w:hint="eastAsia"/>
          <w:highlight w:val="none"/>
        </w:rPr>
        <w:t>精神状态良好。</w:t>
      </w:r>
    </w:p>
    <w:p>
      <w:pPr>
        <w:pStyle w:val="324"/>
        <w:keepNext w:val="0"/>
        <w:keepLines w:val="0"/>
        <w:pageBreakBefore w:val="0"/>
        <w:kinsoku/>
        <w:wordWrap/>
        <w:overflowPunct/>
        <w:topLinePunct w:val="0"/>
        <w:autoSpaceDE/>
        <w:autoSpaceDN/>
        <w:bidi w:val="0"/>
        <w:adjustRightInd w:val="0"/>
        <w:snapToGrid/>
        <w:ind w:left="0"/>
        <w:textAlignment w:val="auto"/>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环境</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4.3.1 </w:t>
      </w:r>
      <w:r>
        <w:rPr>
          <w:rFonts w:hint="eastAsia" w:ascii="宋体" w:hAnsi="宋体" w:eastAsia="宋体" w:cs="宋体"/>
          <w:b w:val="0"/>
          <w:bCs w:val="0"/>
          <w:highlight w:val="none"/>
          <w:lang w:val="en-US" w:eastAsia="zh-CN"/>
        </w:rPr>
        <w:t>检查</w:t>
      </w:r>
      <w:r>
        <w:rPr>
          <w:rFonts w:hint="eastAsia"/>
          <w:highlight w:val="none"/>
        </w:rPr>
        <w:t>作业应在良好天气下开展，遇雾、雪、大雨、大风、冰雹等恶劣天气不满足无人机安全作业要求时，不可开展无人机</w:t>
      </w:r>
      <w:r>
        <w:rPr>
          <w:rFonts w:hint="eastAsia"/>
          <w:highlight w:val="none"/>
          <w:lang w:val="en-US" w:eastAsia="zh-CN"/>
        </w:rPr>
        <w:t>用电巡检</w:t>
      </w:r>
      <w:r>
        <w:rPr>
          <w:rFonts w:hint="eastAsia"/>
          <w:highlight w:val="none"/>
        </w:rPr>
        <w:t>作业，已开展的应及时终止。</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4.3.2 </w:t>
      </w:r>
      <w:r>
        <w:rPr>
          <w:rFonts w:hint="eastAsia"/>
          <w:highlight w:val="none"/>
        </w:rPr>
        <w:t>作业现场应远离烟雾、火焰、机场、人群密集、高大建筑、军事管辖、无线电干扰等可能影响无人机飞行安全的区域。</w:t>
      </w:r>
    </w:p>
    <w:p>
      <w:pPr>
        <w:keepNext w:val="0"/>
        <w:keepLines w:val="0"/>
        <w:pageBreakBefore w:val="0"/>
        <w:kinsoku/>
        <w:wordWrap/>
        <w:overflowPunct/>
        <w:topLinePunct w:val="0"/>
        <w:autoSpaceDE/>
        <w:autoSpaceDN/>
        <w:bidi w:val="0"/>
        <w:adjustRightInd w:val="0"/>
        <w:snapToGrid/>
        <w:textAlignment w:val="auto"/>
        <w:rPr>
          <w:rFonts w:hint="eastAsia"/>
          <w:color w:val="auto"/>
          <w:highlight w:val="none"/>
        </w:rPr>
      </w:pPr>
      <w:r>
        <w:rPr>
          <w:rFonts w:hint="eastAsia" w:ascii="黑体" w:hAnsi="黑体" w:eastAsia="黑体" w:cs="黑体"/>
          <w:color w:val="auto"/>
          <w:szCs w:val="21"/>
          <w:highlight w:val="none"/>
          <w:lang w:val="en-US" w:eastAsia="zh-CN"/>
        </w:rPr>
        <w:t xml:space="preserve">4.3.3 </w:t>
      </w:r>
      <w:r>
        <w:rPr>
          <w:rFonts w:hint="eastAsia"/>
          <w:highlight w:val="none"/>
        </w:rPr>
        <w:t>使用微</w:t>
      </w:r>
      <w:r>
        <w:rPr>
          <w:rFonts w:hint="eastAsia"/>
          <w:color w:val="auto"/>
          <w:highlight w:val="none"/>
        </w:rPr>
        <w:t>型无人机作业时，现场风速</w:t>
      </w:r>
      <w:r>
        <w:rPr>
          <w:rFonts w:hint="eastAsia"/>
          <w:color w:val="auto"/>
          <w:highlight w:val="none"/>
          <w:lang w:val="en-US" w:eastAsia="zh-CN"/>
        </w:rPr>
        <w:t>应</w:t>
      </w:r>
      <w:r>
        <w:rPr>
          <w:rFonts w:hint="eastAsia"/>
          <w:color w:val="auto"/>
          <w:highlight w:val="none"/>
        </w:rPr>
        <w:t>小于3级，使用轻型无人机作业时，现场风速</w:t>
      </w:r>
      <w:r>
        <w:rPr>
          <w:rFonts w:hint="eastAsia"/>
          <w:color w:val="auto"/>
          <w:highlight w:val="none"/>
          <w:lang w:val="en-US" w:eastAsia="zh-CN"/>
        </w:rPr>
        <w:t>应</w:t>
      </w:r>
      <w:r>
        <w:rPr>
          <w:rFonts w:hint="eastAsia"/>
          <w:color w:val="auto"/>
          <w:highlight w:val="none"/>
        </w:rPr>
        <w:t>小于4级，使用小型无人机作业时，现场风速</w:t>
      </w:r>
      <w:r>
        <w:rPr>
          <w:rFonts w:hint="eastAsia"/>
          <w:color w:val="auto"/>
          <w:highlight w:val="none"/>
          <w:lang w:val="en-US" w:eastAsia="zh-CN"/>
        </w:rPr>
        <w:t>应</w:t>
      </w:r>
      <w:r>
        <w:rPr>
          <w:rFonts w:hint="eastAsia"/>
          <w:color w:val="auto"/>
          <w:highlight w:val="none"/>
        </w:rPr>
        <w:t>小于5级。</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4.3.4 </w:t>
      </w:r>
      <w:r>
        <w:rPr>
          <w:rFonts w:hint="eastAsia"/>
          <w:highlight w:val="none"/>
        </w:rPr>
        <w:t>作业环境能见度</w:t>
      </w:r>
      <w:r>
        <w:rPr>
          <w:rFonts w:hint="eastAsia"/>
          <w:color w:val="auto"/>
          <w:highlight w:val="none"/>
        </w:rPr>
        <w:t>不应低于</w:t>
      </w:r>
      <w:r>
        <w:rPr>
          <w:rFonts w:hint="eastAsia"/>
          <w:color w:val="auto"/>
          <w:highlight w:val="none"/>
          <w:lang w:val="en-US" w:eastAsia="zh-CN"/>
        </w:rPr>
        <w:t>1</w:t>
      </w:r>
      <w:r>
        <w:rPr>
          <w:rFonts w:hint="eastAsia"/>
          <w:color w:val="auto"/>
          <w:highlight w:val="none"/>
        </w:rPr>
        <w:t>km。</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4.3.5 </w:t>
      </w:r>
      <w:r>
        <w:rPr>
          <w:rFonts w:hint="eastAsia" w:ascii="宋体" w:hAnsi="宋体" w:eastAsia="宋体" w:cs="宋体"/>
          <w:highlight w:val="none"/>
          <w:lang w:val="en-US" w:eastAsia="zh-CN"/>
        </w:rPr>
        <w:t>检查</w:t>
      </w:r>
      <w:r>
        <w:rPr>
          <w:rFonts w:hint="eastAsia"/>
          <w:highlight w:val="none"/>
        </w:rPr>
        <w:t>区域处于狭长地带或大档距、大落差、微气象</w:t>
      </w:r>
      <w:r>
        <w:rPr>
          <w:rFonts w:hint="eastAsia"/>
          <w:highlight w:val="none"/>
          <w:lang w:eastAsia="zh-CN"/>
        </w:rPr>
        <w:t>、</w:t>
      </w:r>
      <w:r>
        <w:rPr>
          <w:rFonts w:hint="eastAsia"/>
          <w:highlight w:val="none"/>
          <w:lang w:val="en-US" w:eastAsia="zh-CN"/>
        </w:rPr>
        <w:t>高海拔（电池能量密度）</w:t>
      </w:r>
      <w:r>
        <w:rPr>
          <w:rFonts w:hint="eastAsia"/>
          <w:highlight w:val="none"/>
        </w:rPr>
        <w:t>等特殊区域时，作业人员应根据无人机性能和作业环境判断开展作业。</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4.3.6 </w:t>
      </w:r>
      <w:r>
        <w:rPr>
          <w:rFonts w:hint="eastAsia"/>
          <w:highlight w:val="none"/>
        </w:rPr>
        <w:t>作业现场不应使用可能对作业系统通讯链路造成干扰的电子设备。</w:t>
      </w:r>
    </w:p>
    <w:p>
      <w:pPr>
        <w:pStyle w:val="324"/>
        <w:keepNext w:val="0"/>
        <w:keepLines w:val="0"/>
        <w:pageBreakBefore w:val="0"/>
        <w:kinsoku/>
        <w:wordWrap/>
        <w:overflowPunct/>
        <w:topLinePunct w:val="0"/>
        <w:autoSpaceDE/>
        <w:autoSpaceDN/>
        <w:bidi w:val="0"/>
        <w:adjustRightInd w:val="0"/>
        <w:snapToGrid/>
        <w:ind w:left="0"/>
        <w:textAlignment w:val="auto"/>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安全</w:t>
      </w:r>
    </w:p>
    <w:p>
      <w:pPr>
        <w:keepNext w:val="0"/>
        <w:keepLines w:val="0"/>
        <w:pageBreakBefore w:val="0"/>
        <w:kinsoku/>
        <w:wordWrap/>
        <w:overflowPunct/>
        <w:topLinePunct w:val="0"/>
        <w:autoSpaceDE/>
        <w:autoSpaceDN/>
        <w:bidi w:val="0"/>
        <w:adjustRightInd w:val="0"/>
        <w:snapToGrid/>
        <w:textAlignment w:val="auto"/>
        <w:rPr>
          <w:rFonts w:hint="default"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 xml:space="preserve">4.4.1 </w:t>
      </w:r>
      <w:r>
        <w:rPr>
          <w:rFonts w:hint="eastAsia" w:asciiTheme="minorEastAsia" w:hAnsiTheme="minorEastAsia" w:eastAsiaTheme="minorEastAsia" w:cstheme="minorEastAsia"/>
          <w:color w:val="auto"/>
          <w:szCs w:val="21"/>
          <w:highlight w:val="none"/>
          <w:lang w:val="en-US" w:eastAsia="zh-CN"/>
        </w:rPr>
        <w:t>开展用电巡检作业的无人机所有者，应当依法进行实名登记。</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4.4.2 </w:t>
      </w:r>
      <w:r>
        <w:rPr>
          <w:rFonts w:hint="eastAsia" w:asciiTheme="minorEastAsia" w:hAnsiTheme="minorEastAsia" w:eastAsiaTheme="minorEastAsia" w:cstheme="minorEastAsia"/>
          <w:color w:val="auto"/>
          <w:szCs w:val="21"/>
          <w:highlight w:val="none"/>
          <w:lang w:val="en-US" w:eastAsia="zh-CN"/>
        </w:rPr>
        <w:t>使用无人机开展用电巡检作业，应当依法为无人机投保</w:t>
      </w:r>
      <w:r>
        <w:rPr>
          <w:rFonts w:hint="eastAsia"/>
          <w:b w:val="0"/>
          <w:bCs w:val="0"/>
          <w:sz w:val="21"/>
          <w:szCs w:val="21"/>
          <w:highlight w:val="none"/>
          <w:lang w:val="en-US" w:eastAsia="zh-CN"/>
        </w:rPr>
        <w:t>无人机责任保险。</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4.4.3 </w:t>
      </w:r>
      <w:r>
        <w:rPr>
          <w:rFonts w:hint="eastAsia"/>
          <w:highlight w:val="none"/>
          <w:lang w:val="en-US" w:eastAsia="zh-CN"/>
        </w:rPr>
        <w:t>在管制空域范围内开展无人机用电巡检作业，应当在拟</w:t>
      </w:r>
      <w:r>
        <w:rPr>
          <w:rFonts w:hint="eastAsia"/>
          <w:color w:val="auto"/>
          <w:highlight w:val="none"/>
          <w:lang w:val="en-US" w:eastAsia="zh-CN"/>
        </w:rPr>
        <w:t>飞行前1日12时前向所在</w:t>
      </w:r>
      <w:r>
        <w:rPr>
          <w:rFonts w:hint="eastAsia"/>
          <w:highlight w:val="none"/>
          <w:lang w:val="en-US" w:eastAsia="zh-CN"/>
        </w:rPr>
        <w:t>空域的空中交通管理机构提出飞行活动申请，并经批准后方可开展相关作业内容。</w:t>
      </w:r>
    </w:p>
    <w:p>
      <w:pPr>
        <w:keepNext w:val="0"/>
        <w:keepLines w:val="0"/>
        <w:pageBreakBefore w:val="0"/>
        <w:kinsoku/>
        <w:wordWrap/>
        <w:overflowPunct/>
        <w:topLinePunct w:val="0"/>
        <w:autoSpaceDE/>
        <w:autoSpaceDN/>
        <w:bidi w:val="0"/>
        <w:adjustRightInd w:val="0"/>
        <w:snapToGrid/>
        <w:textAlignment w:val="auto"/>
        <w:rPr>
          <w:rFonts w:hint="eastAsia"/>
          <w:highlight w:val="none"/>
        </w:rPr>
      </w:pPr>
      <w:r>
        <w:rPr>
          <w:rFonts w:hint="eastAsia" w:ascii="黑体" w:hAnsi="黑体" w:eastAsia="黑体" w:cs="黑体"/>
          <w:color w:val="auto"/>
          <w:szCs w:val="21"/>
          <w:highlight w:val="none"/>
          <w:lang w:val="en-US" w:eastAsia="zh-CN"/>
        </w:rPr>
        <w:t xml:space="preserve">4.4.4 </w:t>
      </w:r>
      <w:r>
        <w:rPr>
          <w:rFonts w:hint="eastAsia" w:asciiTheme="minorEastAsia" w:hAnsiTheme="minorEastAsia" w:eastAsiaTheme="minorEastAsia" w:cstheme="minorEastAsia"/>
          <w:color w:val="auto"/>
          <w:szCs w:val="21"/>
          <w:highlight w:val="none"/>
          <w:lang w:val="en-US" w:eastAsia="zh-CN"/>
        </w:rPr>
        <w:t>无人机开展用电</w:t>
      </w:r>
      <w:r>
        <w:rPr>
          <w:rFonts w:hint="eastAsia"/>
          <w:highlight w:val="none"/>
          <w:lang w:val="en-US" w:eastAsia="zh-CN"/>
        </w:rPr>
        <w:t>巡检</w:t>
      </w:r>
      <w:r>
        <w:rPr>
          <w:rFonts w:hint="eastAsia" w:asciiTheme="minorEastAsia" w:hAnsiTheme="minorEastAsia" w:eastAsiaTheme="minorEastAsia" w:cstheme="minorEastAsia"/>
          <w:color w:val="auto"/>
          <w:szCs w:val="21"/>
          <w:highlight w:val="none"/>
          <w:lang w:val="en-US" w:eastAsia="zh-CN"/>
        </w:rPr>
        <w:t>作业，</w:t>
      </w:r>
      <w:r>
        <w:rPr>
          <w:rFonts w:hint="eastAsia" w:asciiTheme="minorEastAsia" w:hAnsiTheme="minorEastAsia" w:eastAsiaTheme="minorEastAsia" w:cstheme="minorEastAsia"/>
          <w:highlight w:val="none"/>
        </w:rPr>
        <w:t>应遵守电力用户保卫保密制度</w:t>
      </w:r>
      <w:r>
        <w:rPr>
          <w:rFonts w:hint="eastAsia" w:asciiTheme="minorEastAsia" w:hAnsiTheme="minorEastAsia" w:eastAsiaTheme="minorEastAsia" w:cstheme="minorEastAsia"/>
          <w:highlight w:val="none"/>
          <w:lang w:eastAsia="zh-CN"/>
        </w:rPr>
        <w:t>。</w:t>
      </w:r>
    </w:p>
    <w:p>
      <w:pPr>
        <w:keepNext w:val="0"/>
        <w:keepLines w:val="0"/>
        <w:pageBreakBefore w:val="0"/>
        <w:kinsoku/>
        <w:wordWrap/>
        <w:overflowPunct/>
        <w:topLinePunct w:val="0"/>
        <w:autoSpaceDE/>
        <w:autoSpaceDN/>
        <w:bidi w:val="0"/>
        <w:adjustRightInd w:val="0"/>
        <w:snapToGrid/>
        <w:textAlignment w:val="auto"/>
        <w:rPr>
          <w:rFonts w:hint="eastAsia" w:asciiTheme="minorEastAsia" w:hAnsiTheme="minorEastAsia" w:eastAsiaTheme="minorEastAsia" w:cstheme="minorEastAsia"/>
          <w:color w:val="auto"/>
          <w:szCs w:val="21"/>
          <w:highlight w:val="none"/>
          <w:lang w:val="en-US" w:eastAsia="zh-CN"/>
        </w:rPr>
      </w:pPr>
      <w:r>
        <w:rPr>
          <w:rFonts w:hint="eastAsia" w:ascii="黑体" w:hAnsi="黑体" w:eastAsia="黑体" w:cs="黑体"/>
          <w:color w:val="auto"/>
          <w:szCs w:val="21"/>
          <w:highlight w:val="none"/>
          <w:lang w:val="en-US" w:eastAsia="zh-CN"/>
        </w:rPr>
        <w:t xml:space="preserve">4.4.5 </w:t>
      </w:r>
      <w:r>
        <w:rPr>
          <w:rFonts w:hint="eastAsia" w:asciiTheme="minorEastAsia" w:hAnsiTheme="minorEastAsia" w:eastAsiaTheme="minorEastAsia" w:cstheme="minorEastAsia"/>
          <w:color w:val="auto"/>
          <w:szCs w:val="21"/>
          <w:highlight w:val="none"/>
          <w:lang w:val="en-US" w:eastAsia="zh-CN"/>
        </w:rPr>
        <w:t>无人机开展用电</w:t>
      </w:r>
      <w:r>
        <w:rPr>
          <w:rFonts w:hint="eastAsia"/>
          <w:highlight w:val="none"/>
          <w:lang w:val="en-US" w:eastAsia="zh-CN"/>
        </w:rPr>
        <w:t>巡检</w:t>
      </w:r>
      <w:r>
        <w:rPr>
          <w:rFonts w:hint="eastAsia" w:asciiTheme="minorEastAsia" w:hAnsiTheme="minorEastAsia" w:eastAsiaTheme="minorEastAsia" w:cstheme="minorEastAsia"/>
          <w:color w:val="auto"/>
          <w:szCs w:val="21"/>
          <w:highlight w:val="none"/>
          <w:lang w:val="en-US" w:eastAsia="zh-CN"/>
        </w:rPr>
        <w:t>作业，收集用户电子数据应公平公正，确保电子数据的真实、完整。</w:t>
      </w:r>
    </w:p>
    <w:p>
      <w:pPr>
        <w:pStyle w:val="259"/>
        <w:keepNext w:val="0"/>
        <w:keepLines w:val="0"/>
        <w:pageBreakBefore w:val="0"/>
        <w:numPr>
          <w:ilvl w:val="0"/>
          <w:numId w:val="11"/>
        </w:numPr>
        <w:kinsoku/>
        <w:wordWrap/>
        <w:overflowPunct/>
        <w:topLinePunct w:val="0"/>
        <w:autoSpaceDE/>
        <w:autoSpaceDN/>
        <w:bidi w:val="0"/>
        <w:adjustRightInd w:val="0"/>
        <w:snapToGrid/>
        <w:textAlignment w:val="auto"/>
        <w:outlineLvl w:val="0"/>
        <w:rPr>
          <w:rFonts w:hint="eastAsia" w:ascii="Times New Roman" w:hAnsi="Times New Roman" w:cs="Times New Roman"/>
          <w:szCs w:val="21"/>
          <w:highlight w:val="none"/>
          <w:lang w:val="en-US" w:eastAsia="zh-CN"/>
        </w:rPr>
      </w:pPr>
      <w:bookmarkStart w:id="38" w:name="_Toc31304"/>
      <w:r>
        <w:rPr>
          <w:rFonts w:hint="eastAsia" w:ascii="Times New Roman" w:cs="Times New Roman"/>
          <w:szCs w:val="21"/>
          <w:highlight w:val="none"/>
          <w:lang w:val="en-US" w:eastAsia="zh-CN"/>
        </w:rPr>
        <w:t>检查</w:t>
      </w:r>
      <w:r>
        <w:rPr>
          <w:rFonts w:hint="eastAsia" w:ascii="Times New Roman" w:hAnsi="Times New Roman" w:cs="Times New Roman"/>
          <w:szCs w:val="21"/>
          <w:highlight w:val="none"/>
          <w:lang w:val="en-US" w:eastAsia="zh-CN"/>
        </w:rPr>
        <w:t>方式和模式</w:t>
      </w:r>
      <w:bookmarkEnd w:id="38"/>
    </w:p>
    <w:p>
      <w:pPr>
        <w:pStyle w:val="324"/>
        <w:ind w:left="0"/>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检查</w:t>
      </w:r>
      <w:r>
        <w:rPr>
          <w:rFonts w:hint="eastAsia" w:ascii="Times New Roman" w:hAnsi="Times New Roman" w:eastAsia="黑体" w:cs="Times New Roman"/>
          <w:color w:val="auto"/>
          <w:kern w:val="0"/>
          <w:sz w:val="21"/>
          <w:szCs w:val="21"/>
          <w:highlight w:val="none"/>
          <w:lang w:val="en-US" w:eastAsia="zh-CN" w:bidi="ar-SA"/>
        </w:rPr>
        <w:t>方式</w:t>
      </w:r>
    </w:p>
    <w:p>
      <w:pPr>
        <w:rPr>
          <w:rFonts w:hint="eastAsia"/>
          <w:highlight w:val="none"/>
          <w:lang w:val="en-US" w:eastAsia="zh-CN"/>
        </w:rPr>
      </w:pPr>
      <w:r>
        <w:rPr>
          <w:rFonts w:hint="eastAsia" w:ascii="黑体" w:hAnsi="黑体" w:eastAsia="黑体" w:cs="黑体"/>
          <w:color w:val="auto"/>
          <w:szCs w:val="21"/>
          <w:highlight w:val="none"/>
          <w:lang w:val="en-US" w:eastAsia="zh-CN"/>
        </w:rPr>
        <w:t xml:space="preserve">5.1.1 </w:t>
      </w:r>
      <w:r>
        <w:rPr>
          <w:rFonts w:hint="eastAsia"/>
          <w:highlight w:val="none"/>
          <w:lang w:eastAsia="zh-CN"/>
        </w:rPr>
        <w:t>手动</w:t>
      </w:r>
      <w:r>
        <w:rPr>
          <w:rFonts w:hint="eastAsia"/>
          <w:highlight w:val="none"/>
          <w:lang w:val="en-US" w:eastAsia="zh-CN"/>
        </w:rPr>
        <w:t>巡检</w:t>
      </w:r>
      <w:r>
        <w:rPr>
          <w:rFonts w:hint="eastAsia"/>
          <w:highlight w:val="none"/>
          <w:lang w:eastAsia="zh-CN"/>
        </w:rPr>
        <w:t>：</w:t>
      </w:r>
      <w:r>
        <w:rPr>
          <w:rFonts w:hint="eastAsia"/>
          <w:highlight w:val="none"/>
          <w:lang w:val="en-US" w:eastAsia="zh-CN"/>
        </w:rPr>
        <w:t>无人机操控员依据作业任务，手动操控无人机对目标部位进行检查。</w:t>
      </w:r>
    </w:p>
    <w:p>
      <w:pPr>
        <w:rPr>
          <w:rFonts w:hint="default"/>
          <w:highlight w:val="none"/>
          <w:lang w:val="en-US" w:eastAsia="zh-CN"/>
        </w:rPr>
      </w:pPr>
      <w:r>
        <w:rPr>
          <w:rFonts w:hint="eastAsia" w:ascii="黑体" w:hAnsi="黑体" w:eastAsia="黑体" w:cs="黑体"/>
          <w:color w:val="auto"/>
          <w:szCs w:val="21"/>
          <w:highlight w:val="none"/>
          <w:lang w:val="en-US" w:eastAsia="zh-CN"/>
        </w:rPr>
        <w:t>5.1.2</w:t>
      </w:r>
      <w:r>
        <w:rPr>
          <w:rFonts w:hint="eastAsia"/>
          <w:highlight w:val="none"/>
          <w:lang w:val="en-US" w:eastAsia="zh-CN"/>
        </w:rPr>
        <w:t xml:space="preserve"> </w:t>
      </w:r>
      <w:r>
        <w:rPr>
          <w:rFonts w:hint="eastAsia"/>
          <w:highlight w:val="none"/>
          <w:lang w:eastAsia="zh-CN"/>
        </w:rPr>
        <w:t>自主</w:t>
      </w:r>
      <w:r>
        <w:rPr>
          <w:rFonts w:hint="eastAsia"/>
          <w:highlight w:val="none"/>
          <w:lang w:val="en-US" w:eastAsia="zh-CN"/>
        </w:rPr>
        <w:t>巡检</w:t>
      </w:r>
      <w:r>
        <w:rPr>
          <w:rFonts w:hint="eastAsia"/>
          <w:highlight w:val="none"/>
          <w:lang w:eastAsia="zh-CN"/>
        </w:rPr>
        <w:t>：</w:t>
      </w:r>
      <w:r>
        <w:rPr>
          <w:rFonts w:hint="eastAsia"/>
          <w:highlight w:val="none"/>
        </w:rPr>
        <w:t>无人机按</w:t>
      </w:r>
      <w:r>
        <w:rPr>
          <w:rFonts w:hint="eastAsia"/>
          <w:highlight w:val="none"/>
          <w:lang w:val="en-US" w:eastAsia="zh-CN"/>
        </w:rPr>
        <w:t>自主规划的最优路线</w:t>
      </w:r>
      <w:r>
        <w:rPr>
          <w:rFonts w:hint="eastAsia"/>
          <w:highlight w:val="none"/>
          <w:lang w:eastAsia="zh-CN"/>
        </w:rPr>
        <w:t>，</w:t>
      </w:r>
      <w:r>
        <w:rPr>
          <w:rFonts w:hint="eastAsia"/>
          <w:highlight w:val="none"/>
        </w:rPr>
        <w:t>对</w:t>
      </w:r>
      <w:r>
        <w:rPr>
          <w:rFonts w:hint="eastAsia"/>
          <w:highlight w:val="none"/>
          <w:lang w:val="en-US" w:eastAsia="zh-CN"/>
        </w:rPr>
        <w:t>对目标部位进行检查。</w:t>
      </w:r>
    </w:p>
    <w:p>
      <w:pPr>
        <w:rPr>
          <w:rFonts w:hint="default"/>
          <w:highlight w:val="none"/>
          <w:lang w:val="en-US" w:eastAsia="zh-CN"/>
        </w:rPr>
      </w:pPr>
      <w:r>
        <w:rPr>
          <w:rFonts w:hint="eastAsia" w:ascii="黑体" w:hAnsi="黑体" w:eastAsia="黑体" w:cs="黑体"/>
          <w:color w:val="auto"/>
          <w:szCs w:val="21"/>
          <w:highlight w:val="none"/>
          <w:lang w:val="en-US" w:eastAsia="zh-CN"/>
        </w:rPr>
        <w:t xml:space="preserve">5.1.3 </w:t>
      </w:r>
      <w:r>
        <w:rPr>
          <w:rFonts w:hint="eastAsia"/>
          <w:highlight w:val="none"/>
          <w:lang w:val="en-US" w:eastAsia="zh-CN"/>
        </w:rPr>
        <w:t>半自助巡检：</w:t>
      </w:r>
      <w:r>
        <w:rPr>
          <w:rFonts w:hint="eastAsia"/>
          <w:highlight w:val="none"/>
          <w:lang w:eastAsia="zh-CN"/>
        </w:rPr>
        <w:t>无人机按预设</w:t>
      </w:r>
      <w:r>
        <w:rPr>
          <w:rFonts w:hint="eastAsia"/>
          <w:highlight w:val="none"/>
          <w:lang w:val="en-US" w:eastAsia="zh-CN"/>
        </w:rPr>
        <w:t>路</w:t>
      </w:r>
      <w:r>
        <w:rPr>
          <w:rFonts w:hint="eastAsia"/>
          <w:highlight w:val="none"/>
          <w:lang w:eastAsia="zh-CN"/>
        </w:rPr>
        <w:t>线，对</w:t>
      </w:r>
      <w:r>
        <w:rPr>
          <w:rFonts w:hint="eastAsia"/>
          <w:highlight w:val="none"/>
          <w:lang w:val="en-US" w:eastAsia="zh-CN"/>
        </w:rPr>
        <w:t>对目标部位进行检查。</w:t>
      </w:r>
    </w:p>
    <w:p>
      <w:pPr>
        <w:pStyle w:val="324"/>
        <w:ind w:left="0"/>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检查</w:t>
      </w:r>
      <w:r>
        <w:rPr>
          <w:rFonts w:hint="eastAsia" w:ascii="Times New Roman" w:hAnsi="Times New Roman" w:eastAsia="黑体" w:cs="Times New Roman"/>
          <w:color w:val="auto"/>
          <w:kern w:val="0"/>
          <w:sz w:val="21"/>
          <w:szCs w:val="21"/>
          <w:highlight w:val="none"/>
          <w:lang w:val="en-US" w:eastAsia="zh-CN" w:bidi="ar-SA"/>
        </w:rPr>
        <w:t>模式</w:t>
      </w:r>
    </w:p>
    <w:p>
      <w:pPr>
        <w:rPr>
          <w:rFonts w:hint="eastAsia" w:eastAsiaTheme="minorEastAsia"/>
          <w:highlight w:val="none"/>
          <w:lang w:eastAsia="zh-CN"/>
        </w:rPr>
      </w:pPr>
      <w:r>
        <w:rPr>
          <w:rFonts w:hint="eastAsia" w:ascii="黑体" w:hAnsi="黑体" w:eastAsia="黑体" w:cs="黑体"/>
          <w:color w:val="auto"/>
          <w:szCs w:val="21"/>
          <w:highlight w:val="none"/>
          <w:lang w:val="en-US" w:eastAsia="zh-CN"/>
        </w:rPr>
        <w:t xml:space="preserve">5.2.1 </w:t>
      </w:r>
      <w:r>
        <w:rPr>
          <w:rFonts w:hint="eastAsia"/>
          <w:highlight w:val="none"/>
        </w:rPr>
        <w:t>可见光</w:t>
      </w:r>
      <w:r>
        <w:rPr>
          <w:rFonts w:hint="eastAsia"/>
          <w:highlight w:val="none"/>
          <w:lang w:val="en-US" w:eastAsia="zh-CN"/>
        </w:rPr>
        <w:t>成像（或相机）检查</w:t>
      </w:r>
      <w:r>
        <w:rPr>
          <w:rFonts w:hint="eastAsia"/>
          <w:highlight w:val="none"/>
        </w:rPr>
        <w:t>适用于</w:t>
      </w:r>
      <w:r>
        <w:rPr>
          <w:rFonts w:hint="eastAsia"/>
          <w:highlight w:val="none"/>
          <w:lang w:val="en-US" w:eastAsia="zh-CN"/>
        </w:rPr>
        <w:t>需要拍摄高清图像的检查作业。</w:t>
      </w:r>
    </w:p>
    <w:p>
      <w:pPr>
        <w:rPr>
          <w:rFonts w:hint="eastAsia"/>
          <w:highlight w:val="none"/>
        </w:rPr>
      </w:pPr>
      <w:r>
        <w:rPr>
          <w:rFonts w:hint="eastAsia" w:ascii="黑体" w:hAnsi="黑体" w:eastAsia="黑体" w:cs="黑体"/>
          <w:color w:val="auto"/>
          <w:szCs w:val="21"/>
          <w:highlight w:val="none"/>
          <w:lang w:val="en-US" w:eastAsia="zh-CN"/>
        </w:rPr>
        <w:t xml:space="preserve">5.2.2 </w:t>
      </w:r>
      <w:r>
        <w:rPr>
          <w:rFonts w:hint="eastAsia"/>
          <w:highlight w:val="none"/>
        </w:rPr>
        <w:t>激光雷达</w:t>
      </w:r>
      <w:r>
        <w:rPr>
          <w:rFonts w:hint="eastAsia"/>
          <w:highlight w:val="none"/>
          <w:lang w:val="en-US" w:eastAsia="zh-CN"/>
        </w:rPr>
        <w:t>检查</w:t>
      </w:r>
      <w:r>
        <w:rPr>
          <w:rFonts w:hint="eastAsia"/>
          <w:highlight w:val="none"/>
        </w:rPr>
        <w:t>适用于</w:t>
      </w:r>
      <w:r>
        <w:rPr>
          <w:rFonts w:hint="eastAsia"/>
          <w:highlight w:val="none"/>
          <w:lang w:val="en-US" w:eastAsia="zh-CN"/>
        </w:rPr>
        <w:t>需要测量物体距离的检查作业</w:t>
      </w:r>
      <w:r>
        <w:rPr>
          <w:rFonts w:hint="eastAsia"/>
          <w:highlight w:val="none"/>
        </w:rPr>
        <w:t>。</w:t>
      </w:r>
    </w:p>
    <w:p>
      <w:pPr>
        <w:rPr>
          <w:rFonts w:hint="eastAsia" w:ascii="黑体" w:hAnsi="黑体" w:eastAsia="黑体" w:cs="黑体"/>
          <w:color w:val="FF0000"/>
          <w:szCs w:val="21"/>
          <w:highlight w:val="none"/>
          <w:lang w:val="en-US" w:eastAsia="zh-CN"/>
        </w:rPr>
      </w:pPr>
      <w:r>
        <w:rPr>
          <w:rFonts w:hint="eastAsia" w:ascii="黑体" w:hAnsi="黑体" w:eastAsia="黑体" w:cs="黑体"/>
          <w:color w:val="auto"/>
          <w:szCs w:val="21"/>
          <w:highlight w:val="none"/>
          <w:lang w:val="en-US" w:eastAsia="zh-CN"/>
        </w:rPr>
        <w:t xml:space="preserve">5.2.3 </w:t>
      </w:r>
      <w:r>
        <w:rPr>
          <w:rFonts w:hint="eastAsia"/>
          <w:highlight w:val="none"/>
          <w:lang w:val="en-US" w:eastAsia="zh-CN"/>
        </w:rPr>
        <w:t>红外热成像检查适用于需要检测物体温度的检查作业。</w:t>
      </w:r>
    </w:p>
    <w:p>
      <w:pPr>
        <w:pStyle w:val="259"/>
        <w:numPr>
          <w:ilvl w:val="0"/>
          <w:numId w:val="11"/>
        </w:numPr>
        <w:outlineLvl w:val="0"/>
        <w:rPr>
          <w:rFonts w:hint="default" w:ascii="Times New Roman" w:hAnsi="Times New Roman" w:cs="Times New Roman"/>
          <w:szCs w:val="21"/>
          <w:highlight w:val="none"/>
          <w:lang w:val="en-US" w:eastAsia="zh-CN"/>
        </w:rPr>
      </w:pPr>
      <w:bookmarkStart w:id="39" w:name="_Toc19211"/>
      <w:r>
        <w:rPr>
          <w:rFonts w:hint="eastAsia" w:ascii="Times New Roman" w:hAnsi="Times New Roman" w:cs="Times New Roman"/>
          <w:szCs w:val="21"/>
          <w:highlight w:val="none"/>
          <w:lang w:val="en-US" w:eastAsia="zh-CN"/>
        </w:rPr>
        <w:t>作业实施</w:t>
      </w:r>
      <w:bookmarkEnd w:id="39"/>
    </w:p>
    <w:p>
      <w:pPr>
        <w:pStyle w:val="258"/>
        <w:ind w:firstLine="0" w:firstLineChars="0"/>
        <w:outlineLvl w:val="1"/>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6.1作业前准备</w:t>
      </w:r>
    </w:p>
    <w:p>
      <w:pPr>
        <w:pStyle w:val="258"/>
        <w:ind w:firstLine="0" w:firstLineChars="0"/>
        <w:outlineLvl w:val="1"/>
        <w:rPr>
          <w:rFonts w:hint="default"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6.1.1作业准备</w:t>
      </w:r>
    </w:p>
    <w:p>
      <w:pPr>
        <w:pStyle w:val="258"/>
        <w:keepNext w:val="0"/>
        <w:keepLines w:val="0"/>
        <w:pageBreakBefore w:val="0"/>
        <w:widowControl/>
        <w:numPr>
          <w:ilvl w:val="0"/>
          <w:numId w:val="29"/>
        </w:numPr>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lang w:val="en-US" w:eastAsia="zh-CN"/>
        </w:rPr>
      </w:pPr>
      <w:r>
        <w:rPr>
          <w:rFonts w:hint="eastAsia"/>
          <w:b w:val="0"/>
          <w:bCs w:val="0"/>
          <w:sz w:val="21"/>
          <w:szCs w:val="21"/>
          <w:highlight w:val="none"/>
          <w:lang w:val="en-US" w:eastAsia="zh-CN"/>
        </w:rPr>
        <w:t>作业前应根据作业任务选择无人机和任务载荷，完成无人机及其系统检查，同时检查无人机责任保险是否在有效期内。</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lang w:val="en-US" w:eastAsia="zh-CN"/>
        </w:rPr>
      </w:pPr>
      <w:r>
        <w:rPr>
          <w:rFonts w:hint="eastAsia"/>
          <w:b w:val="0"/>
          <w:bCs w:val="0"/>
          <w:sz w:val="21"/>
          <w:szCs w:val="21"/>
          <w:highlight w:val="none"/>
          <w:lang w:val="en-US" w:eastAsia="zh-CN"/>
        </w:rPr>
        <w:t xml:space="preserve">2）飞行空域申报 </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lang w:val="en-US" w:eastAsia="zh-CN"/>
        </w:rPr>
      </w:pPr>
      <w:r>
        <w:rPr>
          <w:rFonts w:hint="eastAsia"/>
          <w:b w:val="0"/>
          <w:bCs w:val="0"/>
          <w:sz w:val="21"/>
          <w:szCs w:val="21"/>
          <w:highlight w:val="none"/>
          <w:lang w:val="en-US" w:eastAsia="zh-CN"/>
        </w:rPr>
        <w:t>检查作业应履行所在区域相关飞行空域申报手续，确保实际作业航线在申报空域审批范围内。</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3） 起飞前，操控员应检查无人机系统、存储空间、外观、电池、充电器、配件、备件等是否满足作业需求。</w:t>
      </w:r>
    </w:p>
    <w:p>
      <w:pPr>
        <w:pStyle w:val="258"/>
        <w:keepNext w:val="0"/>
        <w:keepLines w:val="0"/>
        <w:pageBreakBefore w:val="0"/>
        <w:widowControl/>
        <w:tabs>
          <w:tab w:val="center" w:pos="4153"/>
        </w:tabs>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lang w:val="en-US" w:eastAsia="zh-CN"/>
        </w:rPr>
      </w:pPr>
      <w:r>
        <w:rPr>
          <w:rFonts w:hint="eastAsia"/>
          <w:b w:val="0"/>
          <w:bCs w:val="0"/>
          <w:sz w:val="21"/>
          <w:szCs w:val="21"/>
          <w:highlight w:val="none"/>
          <w:lang w:val="en-US" w:eastAsia="zh-CN"/>
        </w:rPr>
        <w:t>4）作业要求</w:t>
      </w:r>
      <w:r>
        <w:rPr>
          <w:rFonts w:hint="eastAsia"/>
          <w:b w:val="0"/>
          <w:bCs w:val="0"/>
          <w:sz w:val="21"/>
          <w:szCs w:val="21"/>
          <w:highlight w:val="none"/>
          <w:lang w:val="en-US" w:eastAsia="zh-CN"/>
        </w:rPr>
        <w:tab/>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lang w:val="en-US" w:eastAsia="zh-CN"/>
        </w:rPr>
      </w:pPr>
      <w:r>
        <w:rPr>
          <w:rFonts w:hint="eastAsia"/>
          <w:b w:val="0"/>
          <w:bCs w:val="0"/>
          <w:sz w:val="21"/>
          <w:szCs w:val="21"/>
          <w:highlight w:val="none"/>
          <w:lang w:val="en-US" w:eastAsia="zh-CN"/>
        </w:rPr>
        <w:t>制定巡检作业计划，包括飞行任务申请、检查范围和现场勘察，严格遵循工作管理制度，明确现场检查内容、人员分配， 落实现场安全措施，不得随意扩大作业范围或者私自添加工作任务。</w:t>
      </w:r>
    </w:p>
    <w:p>
      <w:pPr>
        <w:pStyle w:val="258"/>
        <w:ind w:firstLine="0" w:firstLineChars="0"/>
        <w:outlineLvl w:val="1"/>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6.1.2现场作业勘查</w:t>
      </w:r>
      <w:r>
        <w:rPr>
          <w:rFonts w:hint="eastAsia" w:ascii="黑体" w:hAnsi="黑体" w:eastAsia="黑体" w:cs="黑体"/>
          <w:color w:val="auto"/>
          <w:szCs w:val="21"/>
          <w:highlight w:val="none"/>
          <w:lang w:val="en-US" w:eastAsia="zh-CN"/>
        </w:rPr>
        <w:tab/>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rPr>
      </w:pPr>
      <w:r>
        <w:rPr>
          <w:rFonts w:hint="eastAsia"/>
          <w:b w:val="0"/>
          <w:bCs w:val="0"/>
          <w:sz w:val="21"/>
          <w:szCs w:val="21"/>
          <w:highlight w:val="none"/>
        </w:rPr>
        <w:t>1）作业前应核对待</w:t>
      </w:r>
      <w:r>
        <w:rPr>
          <w:rFonts w:hint="eastAsia"/>
          <w:b w:val="0"/>
          <w:bCs w:val="0"/>
          <w:sz w:val="21"/>
          <w:szCs w:val="21"/>
          <w:highlight w:val="none"/>
          <w:lang w:val="en-US" w:eastAsia="zh-CN"/>
        </w:rPr>
        <w:t>检查</w:t>
      </w:r>
      <w:r>
        <w:rPr>
          <w:rFonts w:hint="eastAsia"/>
          <w:b w:val="0"/>
          <w:bCs w:val="0"/>
          <w:sz w:val="21"/>
          <w:szCs w:val="21"/>
          <w:highlight w:val="none"/>
        </w:rPr>
        <w:t>用户设备的基本信息，并对</w:t>
      </w:r>
      <w:r>
        <w:rPr>
          <w:rFonts w:hint="eastAsia"/>
          <w:b w:val="0"/>
          <w:bCs w:val="0"/>
          <w:sz w:val="21"/>
          <w:szCs w:val="21"/>
          <w:highlight w:val="none"/>
          <w:lang w:val="en-US" w:eastAsia="zh-CN"/>
        </w:rPr>
        <w:t>检查</w:t>
      </w:r>
      <w:r>
        <w:rPr>
          <w:rFonts w:hint="eastAsia"/>
          <w:b w:val="0"/>
          <w:bCs w:val="0"/>
          <w:sz w:val="21"/>
          <w:szCs w:val="21"/>
          <w:highlight w:val="none"/>
        </w:rPr>
        <w:t>路径和作业空间环境进行现场勘察。现场勘察应收集包括</w:t>
      </w:r>
      <w:r>
        <w:rPr>
          <w:rFonts w:hint="eastAsia"/>
          <w:b w:val="0"/>
          <w:bCs w:val="0"/>
          <w:sz w:val="21"/>
          <w:szCs w:val="21"/>
          <w:highlight w:val="none"/>
          <w:lang w:val="en-US" w:eastAsia="zh-CN"/>
        </w:rPr>
        <w:t>适飞、</w:t>
      </w:r>
      <w:r>
        <w:rPr>
          <w:rFonts w:hint="eastAsia"/>
          <w:b w:val="0"/>
          <w:bCs w:val="0"/>
          <w:sz w:val="21"/>
          <w:szCs w:val="21"/>
          <w:highlight w:val="none"/>
        </w:rPr>
        <w:t>管制、限飞或禁飞区域信息，有无影响安全飞行的其他临近交跨障碍物等。</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rPr>
      </w:pPr>
      <w:r>
        <w:rPr>
          <w:rFonts w:hint="eastAsia"/>
          <w:b w:val="0"/>
          <w:bCs w:val="0"/>
          <w:sz w:val="21"/>
          <w:szCs w:val="21"/>
          <w:highlight w:val="none"/>
        </w:rPr>
        <w:t>2）可见光</w:t>
      </w:r>
      <w:r>
        <w:rPr>
          <w:rFonts w:hint="eastAsia"/>
          <w:b w:val="0"/>
          <w:bCs w:val="0"/>
          <w:sz w:val="21"/>
          <w:szCs w:val="21"/>
          <w:highlight w:val="none"/>
          <w:lang w:val="en-US" w:eastAsia="zh-CN"/>
        </w:rPr>
        <w:t>成像</w:t>
      </w:r>
      <w:r>
        <w:rPr>
          <w:rFonts w:hint="eastAsia"/>
          <w:highlight w:val="none"/>
          <w:lang w:val="en-US" w:eastAsia="zh-CN"/>
        </w:rPr>
        <w:t>检查</w:t>
      </w:r>
      <w:r>
        <w:rPr>
          <w:rFonts w:hint="eastAsia"/>
          <w:b w:val="0"/>
          <w:bCs w:val="0"/>
          <w:sz w:val="21"/>
          <w:szCs w:val="21"/>
          <w:highlight w:val="none"/>
        </w:rPr>
        <w:t>航线应保证拍摄图像真实还原</w:t>
      </w:r>
      <w:r>
        <w:rPr>
          <w:rFonts w:hint="eastAsia"/>
          <w:b w:val="0"/>
          <w:bCs w:val="0"/>
          <w:sz w:val="21"/>
          <w:szCs w:val="21"/>
          <w:highlight w:val="none"/>
          <w:lang w:eastAsia="zh-CN"/>
        </w:rPr>
        <w:t>电力</w:t>
      </w:r>
      <w:r>
        <w:rPr>
          <w:rFonts w:hint="eastAsia"/>
          <w:b w:val="0"/>
          <w:bCs w:val="0"/>
          <w:sz w:val="21"/>
          <w:szCs w:val="21"/>
          <w:highlight w:val="none"/>
        </w:rPr>
        <w:t>用户设备外观、线路、走廊环境，应确保无遗漏、无盲区。</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rPr>
      </w:pPr>
      <w:r>
        <w:rPr>
          <w:rFonts w:hint="eastAsia"/>
          <w:b w:val="0"/>
          <w:bCs w:val="0"/>
          <w:sz w:val="21"/>
          <w:szCs w:val="21"/>
          <w:highlight w:val="none"/>
        </w:rPr>
        <w:t>3）激光雷达</w:t>
      </w:r>
      <w:r>
        <w:rPr>
          <w:rFonts w:hint="eastAsia"/>
          <w:highlight w:val="none"/>
          <w:lang w:val="en-US" w:eastAsia="zh-CN"/>
        </w:rPr>
        <w:t>检查</w:t>
      </w:r>
      <w:r>
        <w:rPr>
          <w:rFonts w:hint="eastAsia"/>
          <w:b w:val="0"/>
          <w:bCs w:val="0"/>
          <w:sz w:val="21"/>
          <w:szCs w:val="21"/>
          <w:highlight w:val="none"/>
        </w:rPr>
        <w:t>航线应保证采集数据包括</w:t>
      </w:r>
      <w:r>
        <w:rPr>
          <w:rFonts w:hint="eastAsia"/>
          <w:b w:val="0"/>
          <w:bCs w:val="0"/>
          <w:sz w:val="21"/>
          <w:szCs w:val="21"/>
          <w:highlight w:val="none"/>
          <w:lang w:eastAsia="zh-CN"/>
        </w:rPr>
        <w:t>电力用电设备</w:t>
      </w:r>
      <w:r>
        <w:rPr>
          <w:rFonts w:hint="eastAsia"/>
          <w:b w:val="0"/>
          <w:bCs w:val="0"/>
          <w:sz w:val="21"/>
          <w:szCs w:val="21"/>
          <w:highlight w:val="none"/>
        </w:rPr>
        <w:t>环境，应确保拍摄目标不受树木、建筑物等遮挡物影响。</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rPr>
      </w:pPr>
      <w:r>
        <w:rPr>
          <w:rFonts w:hint="eastAsia"/>
          <w:b w:val="0"/>
          <w:bCs w:val="0"/>
          <w:sz w:val="21"/>
          <w:szCs w:val="21"/>
          <w:highlight w:val="none"/>
        </w:rPr>
        <w:t>4）红外热成像</w:t>
      </w:r>
      <w:r>
        <w:rPr>
          <w:rFonts w:hint="eastAsia"/>
          <w:highlight w:val="none"/>
          <w:lang w:val="en-US" w:eastAsia="zh-CN"/>
        </w:rPr>
        <w:t>检查</w:t>
      </w:r>
      <w:r>
        <w:rPr>
          <w:rFonts w:hint="eastAsia"/>
          <w:b w:val="0"/>
          <w:bCs w:val="0"/>
          <w:sz w:val="21"/>
          <w:szCs w:val="21"/>
          <w:highlight w:val="none"/>
        </w:rPr>
        <w:t>航线需根据被电力用户用电设备的具体布局和特点进行规划，确保航线能够全面、无遗漏地覆盖所有关键区域。</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rPr>
      </w:pPr>
      <w:r>
        <w:rPr>
          <w:rFonts w:hint="eastAsia"/>
          <w:b w:val="0"/>
          <w:bCs w:val="0"/>
          <w:sz w:val="21"/>
          <w:szCs w:val="21"/>
          <w:highlight w:val="none"/>
          <w:lang w:val="en-US" w:eastAsia="zh-CN"/>
        </w:rPr>
        <w:t>5</w:t>
      </w:r>
      <w:r>
        <w:rPr>
          <w:rFonts w:hint="eastAsia"/>
          <w:b w:val="0"/>
          <w:bCs w:val="0"/>
          <w:sz w:val="21"/>
          <w:szCs w:val="21"/>
          <w:highlight w:val="none"/>
        </w:rPr>
        <w:t>）对于首次规划的航线信息，应通过现场飞行校验或航线规划软件模拟飞行验证，满足</w:t>
      </w:r>
      <w:r>
        <w:rPr>
          <w:rFonts w:hint="eastAsia"/>
          <w:highlight w:val="none"/>
          <w:lang w:val="en-US" w:eastAsia="zh-CN"/>
        </w:rPr>
        <w:t>检查</w:t>
      </w:r>
      <w:r>
        <w:rPr>
          <w:rFonts w:hint="eastAsia"/>
          <w:b w:val="0"/>
          <w:bCs w:val="0"/>
          <w:sz w:val="21"/>
          <w:szCs w:val="21"/>
          <w:highlight w:val="none"/>
        </w:rPr>
        <w:t>作业要求后方可投入使用。</w:t>
      </w:r>
    </w:p>
    <w:p>
      <w:pPr>
        <w:pStyle w:val="258"/>
        <w:ind w:firstLine="0" w:firstLineChars="0"/>
        <w:outlineLvl w:val="1"/>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6.2作业实施</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6.2.1作业内容</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6</w:t>
      </w:r>
      <w:r>
        <w:rPr>
          <w:rFonts w:hint="default"/>
          <w:b w:val="0"/>
          <w:bCs w:val="0"/>
          <w:sz w:val="21"/>
          <w:szCs w:val="21"/>
          <w:highlight w:val="none"/>
          <w:lang w:val="en-US" w:eastAsia="zh-CN"/>
        </w:rPr>
        <w:t>.2.1.1安全用电巡检</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可见光成像检查：</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a</w:t>
      </w:r>
      <w:r>
        <w:rPr>
          <w:rFonts w:hint="default"/>
          <w:b w:val="0"/>
          <w:bCs w:val="0"/>
          <w:sz w:val="21"/>
          <w:szCs w:val="21"/>
          <w:highlight w:val="none"/>
          <w:lang w:val="en-US" w:eastAsia="zh-CN"/>
        </w:rPr>
        <w:t>.检查杆塔本体及横担、绝缘子等杆塔附属设施、线路、线夹等是否存在锈蚀、变形、缺</w:t>
      </w:r>
      <w:r>
        <w:rPr>
          <w:rFonts w:hint="eastAsia"/>
          <w:b w:val="0"/>
          <w:bCs w:val="0"/>
          <w:sz w:val="21"/>
          <w:szCs w:val="21"/>
          <w:highlight w:val="none"/>
          <w:lang w:val="en-US" w:eastAsia="zh-CN"/>
        </w:rPr>
        <w:t>损</w:t>
      </w:r>
      <w:r>
        <w:rPr>
          <w:rFonts w:hint="default"/>
          <w:b w:val="0"/>
          <w:bCs w:val="0"/>
          <w:sz w:val="21"/>
          <w:szCs w:val="21"/>
          <w:highlight w:val="none"/>
          <w:lang w:val="en-US" w:eastAsia="zh-CN"/>
        </w:rPr>
        <w:t>、紧固件脱落、鸟巢等情况。</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b</w:t>
      </w:r>
      <w:r>
        <w:rPr>
          <w:rFonts w:hint="default"/>
          <w:b w:val="0"/>
          <w:bCs w:val="0"/>
          <w:sz w:val="21"/>
          <w:szCs w:val="21"/>
          <w:highlight w:val="none"/>
          <w:lang w:val="en-US" w:eastAsia="zh-CN"/>
        </w:rPr>
        <w:t>.检查</w:t>
      </w:r>
      <w:r>
        <w:rPr>
          <w:rFonts w:hint="eastAsia"/>
          <w:b w:val="0"/>
          <w:bCs w:val="0"/>
          <w:sz w:val="21"/>
          <w:szCs w:val="21"/>
          <w:highlight w:val="none"/>
          <w:lang w:val="en-US" w:eastAsia="zh-CN"/>
        </w:rPr>
        <w:t>室外</w:t>
      </w:r>
      <w:r>
        <w:rPr>
          <w:rFonts w:hint="default"/>
          <w:b w:val="0"/>
          <w:bCs w:val="0"/>
          <w:sz w:val="21"/>
          <w:szCs w:val="21"/>
          <w:highlight w:val="none"/>
          <w:lang w:val="en-US" w:eastAsia="zh-CN"/>
        </w:rPr>
        <w:t>变压器是否存在渗漏油、外观锈蚀、</w:t>
      </w:r>
      <w:r>
        <w:rPr>
          <w:rFonts w:hint="eastAsia"/>
          <w:b w:val="0"/>
          <w:bCs w:val="0"/>
          <w:sz w:val="21"/>
          <w:szCs w:val="21"/>
          <w:highlight w:val="none"/>
          <w:lang w:val="en-US" w:eastAsia="zh-CN"/>
        </w:rPr>
        <w:t>高低压套管脏污放电痕迹、</w:t>
      </w:r>
      <w:r>
        <w:rPr>
          <w:rFonts w:hint="default"/>
          <w:b w:val="0"/>
          <w:bCs w:val="0"/>
          <w:sz w:val="21"/>
          <w:szCs w:val="21"/>
          <w:highlight w:val="none"/>
          <w:lang w:val="en-US" w:eastAsia="zh-CN"/>
        </w:rPr>
        <w:t>损坏等情况。</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c</w:t>
      </w:r>
      <w:r>
        <w:rPr>
          <w:rFonts w:hint="default"/>
          <w:b w:val="0"/>
          <w:bCs w:val="0"/>
          <w:sz w:val="21"/>
          <w:szCs w:val="21"/>
          <w:highlight w:val="none"/>
          <w:lang w:val="en-US" w:eastAsia="zh-CN"/>
        </w:rPr>
        <w:t>.检查配电房本体及周边环境，是否存在房屋裂痕、门窗破损，屋顶有无杂物，周边有无树障、积水、易燃易爆物堆积等隐患。</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default"/>
          <w:b w:val="0"/>
          <w:bCs w:val="0"/>
          <w:sz w:val="21"/>
          <w:szCs w:val="21"/>
          <w:highlight w:val="none"/>
          <w:lang w:val="en-US" w:eastAsia="zh-CN"/>
        </w:rPr>
        <w:t>激光雷达</w:t>
      </w:r>
      <w:r>
        <w:rPr>
          <w:rFonts w:hint="eastAsia"/>
          <w:b w:val="0"/>
          <w:bCs w:val="0"/>
          <w:sz w:val="21"/>
          <w:szCs w:val="21"/>
          <w:highlight w:val="none"/>
          <w:lang w:val="en-US" w:eastAsia="zh-CN"/>
        </w:rPr>
        <w:t>检查</w:t>
      </w:r>
      <w:r>
        <w:rPr>
          <w:rFonts w:hint="default"/>
          <w:b w:val="0"/>
          <w:bCs w:val="0"/>
          <w:sz w:val="21"/>
          <w:szCs w:val="21"/>
          <w:highlight w:val="none"/>
          <w:lang w:val="en-US" w:eastAsia="zh-CN"/>
        </w:rPr>
        <w:t>：</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default"/>
          <w:b w:val="0"/>
          <w:bCs w:val="0"/>
          <w:sz w:val="21"/>
          <w:szCs w:val="21"/>
          <w:highlight w:val="none"/>
          <w:lang w:val="en-US" w:eastAsia="zh-CN"/>
        </w:rPr>
        <w:t>检查导线对地（房、树）、交叉跨越等距离是否满足设备安全运行要求。</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default"/>
          <w:b w:val="0"/>
          <w:bCs w:val="0"/>
          <w:sz w:val="21"/>
          <w:szCs w:val="21"/>
          <w:highlight w:val="none"/>
          <w:lang w:val="en-US" w:eastAsia="zh-CN"/>
        </w:rPr>
        <w:t>红外热成像</w:t>
      </w:r>
      <w:r>
        <w:rPr>
          <w:rFonts w:hint="eastAsia"/>
          <w:b w:val="0"/>
          <w:bCs w:val="0"/>
          <w:sz w:val="21"/>
          <w:szCs w:val="21"/>
          <w:highlight w:val="none"/>
          <w:lang w:val="en-US" w:eastAsia="zh-CN"/>
        </w:rPr>
        <w:t>检查</w:t>
      </w:r>
      <w:r>
        <w:rPr>
          <w:rFonts w:hint="default"/>
          <w:b w:val="0"/>
          <w:bCs w:val="0"/>
          <w:sz w:val="21"/>
          <w:szCs w:val="21"/>
          <w:highlight w:val="none"/>
          <w:lang w:val="en-US" w:eastAsia="zh-CN"/>
        </w:rPr>
        <w:t>：</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a</w:t>
      </w:r>
      <w:r>
        <w:rPr>
          <w:rFonts w:hint="default"/>
          <w:b w:val="0"/>
          <w:bCs w:val="0"/>
          <w:sz w:val="21"/>
          <w:szCs w:val="21"/>
          <w:highlight w:val="none"/>
          <w:lang w:val="en-US" w:eastAsia="zh-CN"/>
        </w:rPr>
        <w:t>.检查线路接头、绝缘子、互感器等设备是否存在温度异常情况。</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b</w:t>
      </w:r>
      <w:r>
        <w:rPr>
          <w:rFonts w:hint="default"/>
          <w:b w:val="0"/>
          <w:bCs w:val="0"/>
          <w:sz w:val="21"/>
          <w:szCs w:val="21"/>
          <w:highlight w:val="none"/>
          <w:lang w:val="en-US" w:eastAsia="zh-CN"/>
        </w:rPr>
        <w:t>.检查变压器接线桩头、高低压套管等是否存在温度异常情况。</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6</w:t>
      </w:r>
      <w:r>
        <w:rPr>
          <w:rFonts w:hint="default"/>
          <w:b w:val="0"/>
          <w:bCs w:val="0"/>
          <w:sz w:val="21"/>
          <w:szCs w:val="21"/>
          <w:highlight w:val="none"/>
          <w:lang w:val="en-US" w:eastAsia="zh-CN"/>
        </w:rPr>
        <w:t>.2.1.2</w:t>
      </w:r>
      <w:r>
        <w:rPr>
          <w:rFonts w:hint="eastAsia"/>
          <w:b w:val="0"/>
          <w:bCs w:val="0"/>
          <w:sz w:val="21"/>
          <w:szCs w:val="21"/>
          <w:highlight w:val="none"/>
          <w:lang w:val="en-US" w:eastAsia="zh-CN"/>
        </w:rPr>
        <w:t>合规用电巡检</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default"/>
          <w:b w:val="0"/>
          <w:bCs w:val="0"/>
          <w:sz w:val="21"/>
          <w:szCs w:val="21"/>
          <w:highlight w:val="none"/>
          <w:lang w:val="en-US" w:eastAsia="zh-CN"/>
        </w:rPr>
        <w:t>可见光</w:t>
      </w:r>
      <w:r>
        <w:rPr>
          <w:rFonts w:hint="eastAsia"/>
          <w:b w:val="0"/>
          <w:bCs w:val="0"/>
          <w:sz w:val="21"/>
          <w:szCs w:val="21"/>
          <w:highlight w:val="none"/>
          <w:lang w:val="en-US" w:eastAsia="zh-CN"/>
        </w:rPr>
        <w:t>成像检查</w:t>
      </w:r>
      <w:r>
        <w:rPr>
          <w:rFonts w:hint="default"/>
          <w:b w:val="0"/>
          <w:bCs w:val="0"/>
          <w:sz w:val="21"/>
          <w:szCs w:val="21"/>
          <w:highlight w:val="none"/>
          <w:lang w:val="en-US" w:eastAsia="zh-CN"/>
        </w:rPr>
        <w:t>：</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a</w:t>
      </w:r>
      <w:r>
        <w:rPr>
          <w:rFonts w:hint="default"/>
          <w:b w:val="0"/>
          <w:bCs w:val="0"/>
          <w:sz w:val="21"/>
          <w:szCs w:val="21"/>
          <w:highlight w:val="none"/>
          <w:lang w:val="en-US" w:eastAsia="zh-CN"/>
        </w:rPr>
        <w:t>.检查用户电能表、接线盒、互感器等计量装置是否存在开封、短接、绕越接线，线路上是否存在擅自接线用电等窃电情形。</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b.</w:t>
      </w:r>
      <w:r>
        <w:rPr>
          <w:rFonts w:hint="default"/>
          <w:b w:val="0"/>
          <w:bCs w:val="0"/>
          <w:sz w:val="21"/>
          <w:szCs w:val="21"/>
          <w:highlight w:val="none"/>
          <w:lang w:val="en-US" w:eastAsia="zh-CN"/>
        </w:rPr>
        <w:t>检查用户电能表、接线盒、互感器等计量装置及连接线路是否存在接线脱落、烧毁、断线等计量故障情形。</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c.</w:t>
      </w:r>
      <w:r>
        <w:rPr>
          <w:rFonts w:hint="default"/>
          <w:b w:val="0"/>
          <w:bCs w:val="0"/>
          <w:sz w:val="21"/>
          <w:szCs w:val="21"/>
          <w:highlight w:val="none"/>
          <w:lang w:val="en-US" w:eastAsia="zh-CN"/>
        </w:rPr>
        <w:t>检查</w:t>
      </w:r>
      <w:r>
        <w:rPr>
          <w:rFonts w:hint="eastAsia"/>
          <w:b w:val="0"/>
          <w:bCs w:val="0"/>
          <w:sz w:val="21"/>
          <w:szCs w:val="21"/>
          <w:highlight w:val="none"/>
          <w:lang w:val="en-US" w:eastAsia="zh-CN"/>
        </w:rPr>
        <w:t>新装</w:t>
      </w:r>
      <w:r>
        <w:rPr>
          <w:rFonts w:hint="default"/>
          <w:b w:val="0"/>
          <w:bCs w:val="0"/>
          <w:sz w:val="21"/>
          <w:szCs w:val="21"/>
          <w:highlight w:val="none"/>
          <w:lang w:val="en-US" w:eastAsia="zh-CN"/>
        </w:rPr>
        <w:t>用户室外可见设备</w:t>
      </w:r>
      <w:r>
        <w:rPr>
          <w:rFonts w:hint="eastAsia"/>
          <w:b w:val="0"/>
          <w:bCs w:val="0"/>
          <w:sz w:val="21"/>
          <w:szCs w:val="21"/>
          <w:highlight w:val="none"/>
          <w:lang w:val="en-US" w:eastAsia="zh-CN"/>
        </w:rPr>
        <w:t>环境、布置等</w:t>
      </w:r>
      <w:r>
        <w:rPr>
          <w:rFonts w:hint="default"/>
          <w:b w:val="0"/>
          <w:bCs w:val="0"/>
          <w:sz w:val="21"/>
          <w:szCs w:val="21"/>
          <w:highlight w:val="none"/>
          <w:lang w:val="en-US" w:eastAsia="zh-CN"/>
        </w:rPr>
        <w:t>是否与</w:t>
      </w:r>
      <w:r>
        <w:rPr>
          <w:rFonts w:hint="eastAsia"/>
          <w:b w:val="0"/>
          <w:bCs w:val="0"/>
          <w:sz w:val="21"/>
          <w:szCs w:val="21"/>
          <w:highlight w:val="none"/>
          <w:lang w:val="en-US" w:eastAsia="zh-CN"/>
        </w:rPr>
        <w:t>设计</w:t>
      </w:r>
      <w:r>
        <w:rPr>
          <w:rFonts w:hint="default"/>
          <w:b w:val="0"/>
          <w:bCs w:val="0"/>
          <w:sz w:val="21"/>
          <w:szCs w:val="21"/>
          <w:highlight w:val="none"/>
          <w:lang w:val="en-US" w:eastAsia="zh-CN"/>
        </w:rPr>
        <w:t>图纸一致、是否符合</w:t>
      </w:r>
      <w:r>
        <w:rPr>
          <w:rFonts w:hint="eastAsia"/>
          <w:b w:val="0"/>
          <w:bCs w:val="0"/>
          <w:sz w:val="21"/>
          <w:szCs w:val="21"/>
          <w:highlight w:val="none"/>
          <w:lang w:val="en-US" w:eastAsia="zh-CN"/>
        </w:rPr>
        <w:t>相关</w:t>
      </w:r>
      <w:r>
        <w:rPr>
          <w:rFonts w:hint="default"/>
          <w:b w:val="0"/>
          <w:bCs w:val="0"/>
          <w:sz w:val="21"/>
          <w:szCs w:val="21"/>
          <w:highlight w:val="none"/>
          <w:lang w:val="en-US" w:eastAsia="zh-CN"/>
        </w:rPr>
        <w:t>规范</w:t>
      </w:r>
      <w:r>
        <w:rPr>
          <w:rFonts w:hint="eastAsia"/>
          <w:b w:val="0"/>
          <w:bCs w:val="0"/>
          <w:sz w:val="21"/>
          <w:szCs w:val="21"/>
          <w:highlight w:val="none"/>
          <w:lang w:val="en-US" w:eastAsia="zh-CN"/>
        </w:rPr>
        <w:t>要求</w:t>
      </w:r>
      <w:r>
        <w:rPr>
          <w:rFonts w:hint="default"/>
          <w:b w:val="0"/>
          <w:bCs w:val="0"/>
          <w:sz w:val="21"/>
          <w:szCs w:val="21"/>
          <w:highlight w:val="none"/>
          <w:lang w:val="en-US" w:eastAsia="zh-CN"/>
        </w:rPr>
        <w:t>。</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d</w:t>
      </w:r>
      <w:r>
        <w:rPr>
          <w:rFonts w:hint="default"/>
          <w:b w:val="0"/>
          <w:bCs w:val="0"/>
          <w:sz w:val="21"/>
          <w:szCs w:val="21"/>
          <w:highlight w:val="none"/>
          <w:lang w:val="en-US" w:eastAsia="zh-CN"/>
        </w:rPr>
        <w:t>.检查周边是否存在不明来源电缆、导线等疑似窃电情形。</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e</w:t>
      </w:r>
      <w:r>
        <w:rPr>
          <w:rFonts w:hint="default"/>
          <w:b w:val="0"/>
          <w:bCs w:val="0"/>
          <w:sz w:val="21"/>
          <w:szCs w:val="21"/>
          <w:highlight w:val="none"/>
          <w:lang w:val="en-US" w:eastAsia="zh-CN"/>
        </w:rPr>
        <w:t>.检查是否存在私自向外转供电的线路或电缆等转供电情形。</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f</w:t>
      </w:r>
      <w:r>
        <w:rPr>
          <w:rFonts w:hint="default"/>
          <w:b w:val="0"/>
          <w:bCs w:val="0"/>
          <w:sz w:val="21"/>
          <w:szCs w:val="21"/>
          <w:highlight w:val="none"/>
          <w:lang w:val="en-US" w:eastAsia="zh-CN"/>
        </w:rPr>
        <w:t>.检查是否存在用电设备设施等</w:t>
      </w:r>
      <w:r>
        <w:rPr>
          <w:rFonts w:hint="eastAsia"/>
          <w:b w:val="0"/>
          <w:bCs w:val="0"/>
          <w:sz w:val="21"/>
          <w:szCs w:val="21"/>
          <w:highlight w:val="none"/>
          <w:lang w:val="en-US" w:eastAsia="zh-CN"/>
        </w:rPr>
        <w:t>擅自改变</w:t>
      </w:r>
      <w:r>
        <w:rPr>
          <w:rFonts w:hint="default"/>
          <w:b w:val="0"/>
          <w:bCs w:val="0"/>
          <w:sz w:val="21"/>
          <w:szCs w:val="21"/>
          <w:highlight w:val="none"/>
          <w:lang w:val="en-US" w:eastAsia="zh-CN"/>
        </w:rPr>
        <w:t>用电类别的情形。</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eastAsia"/>
          <w:b w:val="0"/>
          <w:bCs w:val="0"/>
          <w:sz w:val="21"/>
          <w:szCs w:val="21"/>
          <w:highlight w:val="none"/>
          <w:lang w:val="en-US" w:eastAsia="zh-CN"/>
        </w:rPr>
        <w:t>g</w:t>
      </w:r>
      <w:r>
        <w:rPr>
          <w:rFonts w:hint="default"/>
          <w:b w:val="0"/>
          <w:bCs w:val="0"/>
          <w:sz w:val="21"/>
          <w:szCs w:val="21"/>
          <w:highlight w:val="none"/>
          <w:lang w:val="en-US" w:eastAsia="zh-CN"/>
        </w:rPr>
        <w:t>.检查是否存在分布式光伏用户装机容量与报装申报装机容量不符情形。</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default"/>
          <w:b w:val="0"/>
          <w:bCs w:val="0"/>
          <w:sz w:val="21"/>
          <w:szCs w:val="21"/>
          <w:highlight w:val="none"/>
          <w:lang w:val="en-US" w:eastAsia="zh-CN"/>
        </w:rPr>
        <w:t>红外热成像：</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b w:val="0"/>
          <w:bCs w:val="0"/>
          <w:sz w:val="21"/>
          <w:szCs w:val="21"/>
          <w:highlight w:val="none"/>
          <w:lang w:val="en-US" w:eastAsia="zh-CN"/>
        </w:rPr>
      </w:pPr>
      <w:r>
        <w:rPr>
          <w:rFonts w:hint="default"/>
          <w:b w:val="0"/>
          <w:bCs w:val="0"/>
          <w:sz w:val="21"/>
          <w:szCs w:val="21"/>
          <w:highlight w:val="none"/>
          <w:lang w:val="en-US" w:eastAsia="zh-CN"/>
        </w:rPr>
        <w:t>检查是否存在已办理减容</w:t>
      </w:r>
      <w:r>
        <w:rPr>
          <w:rFonts w:hint="eastAsia"/>
          <w:b w:val="0"/>
          <w:bCs w:val="0"/>
          <w:sz w:val="21"/>
          <w:szCs w:val="21"/>
          <w:highlight w:val="none"/>
          <w:lang w:val="en-US" w:eastAsia="zh-CN"/>
        </w:rPr>
        <w:t>或暂停</w:t>
      </w:r>
      <w:r>
        <w:rPr>
          <w:rFonts w:hint="default"/>
          <w:b w:val="0"/>
          <w:bCs w:val="0"/>
          <w:sz w:val="21"/>
          <w:szCs w:val="21"/>
          <w:highlight w:val="none"/>
          <w:lang w:val="en-US" w:eastAsia="zh-CN"/>
        </w:rPr>
        <w:t>变压器有明显温升的启用情形。</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6.2.2作业过程管控</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default" w:eastAsia="宋体"/>
          <w:b w:val="0"/>
          <w:bCs w:val="0"/>
          <w:sz w:val="21"/>
          <w:szCs w:val="21"/>
          <w:highlight w:val="none"/>
          <w:lang w:val="en-US" w:eastAsia="zh-CN"/>
        </w:rPr>
      </w:pPr>
      <w:r>
        <w:rPr>
          <w:rFonts w:hint="eastAsia"/>
          <w:b w:val="0"/>
          <w:bCs w:val="0"/>
          <w:sz w:val="21"/>
          <w:szCs w:val="21"/>
          <w:highlight w:val="none"/>
        </w:rPr>
        <w:t>1）无人机应在提前规划的起降场地起飞</w:t>
      </w:r>
      <w:r>
        <w:rPr>
          <w:rFonts w:hint="eastAsia"/>
          <w:b w:val="0"/>
          <w:bCs w:val="0"/>
          <w:sz w:val="21"/>
          <w:szCs w:val="21"/>
          <w:highlight w:val="none"/>
          <w:lang w:eastAsia="zh-CN"/>
        </w:rPr>
        <w:t>、</w:t>
      </w:r>
      <w:r>
        <w:rPr>
          <w:rFonts w:hint="eastAsia"/>
          <w:b w:val="0"/>
          <w:bCs w:val="0"/>
          <w:sz w:val="21"/>
          <w:szCs w:val="21"/>
          <w:highlight w:val="none"/>
        </w:rPr>
        <w:t>降落</w:t>
      </w:r>
      <w:r>
        <w:rPr>
          <w:rFonts w:hint="eastAsia"/>
          <w:b w:val="0"/>
          <w:bCs w:val="0"/>
          <w:sz w:val="21"/>
          <w:szCs w:val="21"/>
          <w:highlight w:val="none"/>
          <w:lang w:eastAsia="zh-CN"/>
        </w:rPr>
        <w:t>，</w:t>
      </w:r>
      <w:r>
        <w:rPr>
          <w:rFonts w:hint="eastAsia"/>
          <w:b w:val="0"/>
          <w:bCs w:val="0"/>
          <w:sz w:val="21"/>
          <w:szCs w:val="21"/>
          <w:highlight w:val="none"/>
          <w:lang w:val="en-US" w:eastAsia="zh-CN"/>
        </w:rPr>
        <w:t>以及飞行线路</w:t>
      </w:r>
      <w:r>
        <w:rPr>
          <w:rFonts w:hint="eastAsia"/>
          <w:b w:val="0"/>
          <w:bCs w:val="0"/>
          <w:sz w:val="21"/>
          <w:szCs w:val="21"/>
          <w:highlight w:val="none"/>
        </w:rPr>
        <w:t>。</w:t>
      </w:r>
      <w:r>
        <w:rPr>
          <w:rFonts w:hint="eastAsia"/>
          <w:b w:val="0"/>
          <w:bCs w:val="0"/>
          <w:sz w:val="21"/>
          <w:szCs w:val="21"/>
          <w:highlight w:val="none"/>
          <w:lang w:val="en-US" w:eastAsia="zh-CN"/>
        </w:rPr>
        <w:t>起降过程操作人员应与无人机保持充足安全距离。</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rPr>
      </w:pPr>
      <w:r>
        <w:rPr>
          <w:rFonts w:hint="eastAsia"/>
          <w:b w:val="0"/>
          <w:bCs w:val="0"/>
          <w:sz w:val="21"/>
          <w:szCs w:val="21"/>
          <w:highlight w:val="none"/>
        </w:rPr>
        <w:t>2）作业过程中操控员应密切监视无人机飞行状况，包括飞行</w:t>
      </w:r>
      <w:r>
        <w:rPr>
          <w:rFonts w:hint="eastAsia"/>
          <w:b w:val="0"/>
          <w:bCs w:val="0"/>
          <w:sz w:val="21"/>
          <w:szCs w:val="21"/>
          <w:highlight w:val="none"/>
          <w:lang w:val="en-US" w:eastAsia="zh-CN"/>
        </w:rPr>
        <w:t>检查作业</w:t>
      </w:r>
      <w:r>
        <w:rPr>
          <w:rFonts w:hint="eastAsia"/>
          <w:b w:val="0"/>
          <w:bCs w:val="0"/>
          <w:sz w:val="21"/>
          <w:szCs w:val="21"/>
          <w:highlight w:val="none"/>
        </w:rPr>
        <w:t>过程中无人机电机转速、电池电压、航向、飞行姿态等遥测参数。参数异常应及时响应、调整飞行参数、操控方式或采取返航、迫降等中止飞行措施。</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color w:val="FF0000"/>
          <w:sz w:val="21"/>
          <w:szCs w:val="21"/>
          <w:highlight w:val="none"/>
        </w:rPr>
      </w:pPr>
      <w:r>
        <w:rPr>
          <w:rFonts w:hint="eastAsia"/>
          <w:highlight w:val="none"/>
          <w:lang w:val="en-US" w:eastAsia="zh-CN"/>
        </w:rPr>
        <w:t>3）无人机用电巡检作</w:t>
      </w:r>
      <w:r>
        <w:rPr>
          <w:rFonts w:hint="eastAsia"/>
          <w:color w:val="auto"/>
          <w:highlight w:val="none"/>
          <w:lang w:val="en-US" w:eastAsia="zh-CN"/>
        </w:rPr>
        <w:t>业中，微型无人机飞行速度不超过40千米/小时，轻型无人机飞行速度不超过100千米/小时</w:t>
      </w:r>
      <w:r>
        <w:rPr>
          <w:rFonts w:hint="eastAsia"/>
          <w:color w:val="auto"/>
          <w:highlight w:val="none"/>
        </w:rPr>
        <w:t>。</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rPr>
      </w:pPr>
      <w:r>
        <w:rPr>
          <w:rFonts w:hint="eastAsia"/>
          <w:b w:val="0"/>
          <w:bCs w:val="0"/>
          <w:sz w:val="21"/>
          <w:szCs w:val="21"/>
          <w:highlight w:val="none"/>
          <w:lang w:val="en-US" w:eastAsia="zh-CN"/>
        </w:rPr>
        <w:t>4</w:t>
      </w:r>
      <w:r>
        <w:rPr>
          <w:rFonts w:hint="eastAsia"/>
          <w:b w:val="0"/>
          <w:bCs w:val="0"/>
          <w:sz w:val="21"/>
          <w:szCs w:val="21"/>
          <w:highlight w:val="none"/>
        </w:rPr>
        <w:t>）</w:t>
      </w:r>
      <w:r>
        <w:rPr>
          <w:rFonts w:hint="eastAsia"/>
          <w:b w:val="0"/>
          <w:bCs w:val="0"/>
          <w:sz w:val="21"/>
          <w:szCs w:val="21"/>
          <w:highlight w:val="none"/>
          <w:lang w:val="en-US" w:eastAsia="zh-CN"/>
        </w:rPr>
        <w:t>检查</w:t>
      </w:r>
      <w:r>
        <w:rPr>
          <w:rFonts w:hint="eastAsia"/>
          <w:b w:val="0"/>
          <w:bCs w:val="0"/>
          <w:sz w:val="21"/>
          <w:szCs w:val="21"/>
          <w:highlight w:val="none"/>
        </w:rPr>
        <w:t>作业</w:t>
      </w:r>
      <w:r>
        <w:rPr>
          <w:rFonts w:hint="eastAsia"/>
          <w:b w:val="0"/>
          <w:bCs w:val="0"/>
          <w:sz w:val="21"/>
          <w:szCs w:val="21"/>
          <w:highlight w:val="none"/>
          <w:lang w:val="en-US" w:eastAsia="zh-CN"/>
        </w:rPr>
        <w:t>应在电力用户陪同或第三方见证下开展，并且</w:t>
      </w:r>
      <w:r>
        <w:rPr>
          <w:rFonts w:hint="eastAsia"/>
          <w:b w:val="0"/>
          <w:bCs w:val="0"/>
          <w:sz w:val="21"/>
          <w:szCs w:val="21"/>
          <w:highlight w:val="none"/>
        </w:rPr>
        <w:t>安全监管人员应对现场作业情况实时监控</w:t>
      </w:r>
      <w:r>
        <w:rPr>
          <w:rFonts w:hint="eastAsia"/>
          <w:b w:val="0"/>
          <w:bCs w:val="0"/>
          <w:sz w:val="21"/>
          <w:szCs w:val="21"/>
          <w:highlight w:val="none"/>
          <w:lang w:eastAsia="zh-CN"/>
        </w:rPr>
        <w:t>，</w:t>
      </w:r>
      <w:r>
        <w:rPr>
          <w:rFonts w:hint="eastAsia"/>
          <w:b w:val="0"/>
          <w:bCs w:val="0"/>
          <w:sz w:val="21"/>
          <w:szCs w:val="21"/>
          <w:highlight w:val="none"/>
          <w:lang w:val="en-US" w:eastAsia="zh-CN"/>
        </w:rPr>
        <w:t>严禁在管制空域未经申报飞行</w:t>
      </w:r>
      <w:r>
        <w:rPr>
          <w:rFonts w:hint="eastAsia"/>
          <w:b w:val="0"/>
          <w:bCs w:val="0"/>
          <w:sz w:val="21"/>
          <w:szCs w:val="21"/>
          <w:highlight w:val="none"/>
        </w:rPr>
        <w:t>。</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b w:val="0"/>
          <w:bCs w:val="0"/>
          <w:sz w:val="21"/>
          <w:szCs w:val="21"/>
          <w:highlight w:val="none"/>
        </w:rPr>
      </w:pPr>
      <w:r>
        <w:rPr>
          <w:rFonts w:hint="eastAsia"/>
          <w:b w:val="0"/>
          <w:bCs w:val="0"/>
          <w:sz w:val="21"/>
          <w:szCs w:val="21"/>
          <w:highlight w:val="none"/>
          <w:lang w:val="en-US" w:eastAsia="zh-CN"/>
        </w:rPr>
        <w:t>5</w:t>
      </w:r>
      <w:r>
        <w:rPr>
          <w:rFonts w:hint="eastAsia"/>
          <w:b w:val="0"/>
          <w:bCs w:val="0"/>
          <w:sz w:val="21"/>
          <w:szCs w:val="21"/>
          <w:highlight w:val="none"/>
        </w:rPr>
        <w:t>）降落后，操控员应立即切断无人机动力电源。</w:t>
      </w:r>
    </w:p>
    <w:p>
      <w:pPr>
        <w:pStyle w:val="258"/>
        <w:ind w:left="0" w:leftChars="0" w:firstLine="0" w:firstLineChars="0"/>
        <w:outlineLvl w:val="9"/>
        <w:rPr>
          <w:rFonts w:hint="eastAsia" w:ascii="Times New Roman" w:cs="Times New Roman"/>
          <w:szCs w:val="21"/>
          <w:highlight w:val="none"/>
          <w:lang w:val="en-US" w:eastAsia="zh-CN"/>
        </w:rPr>
      </w:pPr>
      <w:r>
        <w:rPr>
          <w:rFonts w:hint="eastAsia" w:ascii="Times New Roman" w:cs="Times New Roman"/>
          <w:szCs w:val="21"/>
          <w:highlight w:val="none"/>
          <w:lang w:val="en-US" w:eastAsia="zh-CN"/>
        </w:rPr>
        <w:t>6.3</w:t>
      </w:r>
      <w:r>
        <w:rPr>
          <w:rFonts w:hint="eastAsia" w:ascii="黑体" w:hAnsi="黑体" w:eastAsia="黑体" w:cs="黑体"/>
          <w:b w:val="0"/>
          <w:bCs w:val="0"/>
          <w:color w:val="auto"/>
          <w:sz w:val="21"/>
          <w:szCs w:val="21"/>
          <w:highlight w:val="none"/>
          <w:lang w:val="en-US" w:eastAsia="zh-CN"/>
        </w:rPr>
        <w:t>作业撤收</w:t>
      </w:r>
    </w:p>
    <w:p>
      <w:pPr>
        <w:pStyle w:val="258"/>
        <w:outlineLvl w:val="9"/>
        <w:rPr>
          <w:rFonts w:hint="eastAsia"/>
          <w:b w:val="0"/>
          <w:bCs w:val="0"/>
          <w:sz w:val="21"/>
          <w:szCs w:val="21"/>
          <w:highlight w:val="none"/>
        </w:rPr>
      </w:pPr>
      <w:r>
        <w:rPr>
          <w:rFonts w:hint="eastAsia"/>
          <w:b w:val="0"/>
          <w:bCs w:val="0"/>
          <w:sz w:val="21"/>
          <w:szCs w:val="21"/>
          <w:highlight w:val="none"/>
        </w:rPr>
        <w:t>1）作业结束后，操控员应及时降落无人机至预定地点</w:t>
      </w:r>
      <w:r>
        <w:rPr>
          <w:rFonts w:hint="eastAsia"/>
          <w:b w:val="0"/>
          <w:bCs w:val="0"/>
          <w:sz w:val="21"/>
          <w:szCs w:val="21"/>
          <w:highlight w:val="none"/>
          <w:lang w:val="en-US" w:eastAsia="zh-CN"/>
        </w:rPr>
        <w:t>并</w:t>
      </w:r>
      <w:r>
        <w:rPr>
          <w:rFonts w:hint="eastAsia"/>
          <w:b w:val="0"/>
          <w:bCs w:val="0"/>
          <w:sz w:val="21"/>
          <w:szCs w:val="21"/>
          <w:highlight w:val="none"/>
        </w:rPr>
        <w:t>立即切断无人机动力电源，电池取出后将无人机</w:t>
      </w:r>
      <w:r>
        <w:rPr>
          <w:rFonts w:hint="eastAsia"/>
          <w:b w:val="0"/>
          <w:bCs w:val="0"/>
          <w:sz w:val="21"/>
          <w:szCs w:val="21"/>
          <w:highlight w:val="none"/>
          <w:lang w:val="en-US" w:eastAsia="zh-CN"/>
        </w:rPr>
        <w:t>等相关设备</w:t>
      </w:r>
      <w:r>
        <w:rPr>
          <w:rFonts w:hint="eastAsia"/>
          <w:b w:val="0"/>
          <w:bCs w:val="0"/>
          <w:sz w:val="21"/>
          <w:szCs w:val="21"/>
          <w:highlight w:val="none"/>
        </w:rPr>
        <w:t>存放于指定位置</w:t>
      </w:r>
      <w:r>
        <w:rPr>
          <w:rFonts w:hint="eastAsia"/>
          <w:b w:val="0"/>
          <w:bCs w:val="0"/>
          <w:sz w:val="21"/>
          <w:szCs w:val="21"/>
          <w:highlight w:val="none"/>
          <w:lang w:val="en-US" w:eastAsia="zh-CN"/>
        </w:rPr>
        <w:t>保管</w:t>
      </w:r>
      <w:r>
        <w:rPr>
          <w:rFonts w:hint="eastAsia"/>
          <w:b w:val="0"/>
          <w:bCs w:val="0"/>
          <w:sz w:val="21"/>
          <w:szCs w:val="21"/>
          <w:highlight w:val="none"/>
        </w:rPr>
        <w:t>。</w:t>
      </w:r>
    </w:p>
    <w:p>
      <w:pPr>
        <w:pStyle w:val="258"/>
        <w:outlineLvl w:val="9"/>
        <w:rPr>
          <w:rFonts w:hint="eastAsia"/>
          <w:b w:val="0"/>
          <w:bCs w:val="0"/>
          <w:sz w:val="21"/>
          <w:szCs w:val="21"/>
          <w:highlight w:val="none"/>
        </w:rPr>
      </w:pPr>
      <w:r>
        <w:rPr>
          <w:rFonts w:hint="eastAsia"/>
          <w:b w:val="0"/>
          <w:bCs w:val="0"/>
          <w:sz w:val="21"/>
          <w:szCs w:val="21"/>
          <w:highlight w:val="none"/>
        </w:rPr>
        <w:t>2）作业结束后，应立即清理现场，核对作业设备和工器具清单，确认现场无遗漏。</w:t>
      </w:r>
    </w:p>
    <w:p>
      <w:pPr>
        <w:pStyle w:val="258"/>
        <w:outlineLvl w:val="9"/>
        <w:rPr>
          <w:rFonts w:hint="eastAsia"/>
          <w:highlight w:val="none"/>
          <w:lang w:val="en-US" w:eastAsia="zh-CN"/>
        </w:rPr>
      </w:pPr>
      <w:r>
        <w:rPr>
          <w:rFonts w:hint="eastAsia"/>
          <w:highlight w:val="none"/>
          <w:lang w:val="en-US" w:eastAsia="zh-CN"/>
        </w:rPr>
        <w:t>3）作业结束后，</w:t>
      </w:r>
      <w:r>
        <w:rPr>
          <w:rFonts w:hint="eastAsia"/>
          <w:b w:val="0"/>
          <w:bCs w:val="0"/>
          <w:sz w:val="21"/>
          <w:szCs w:val="21"/>
          <w:highlight w:val="none"/>
        </w:rPr>
        <w:t>应</w:t>
      </w:r>
      <w:r>
        <w:rPr>
          <w:rFonts w:hint="eastAsia"/>
          <w:highlight w:val="none"/>
          <w:lang w:val="en-US" w:eastAsia="zh-CN"/>
        </w:rPr>
        <w:t>及时将无人机检查数据上传至指定专用存储平台或存储设备，集中管理。</w:t>
      </w:r>
    </w:p>
    <w:p>
      <w:pPr>
        <w:pStyle w:val="258"/>
        <w:tabs>
          <w:tab w:val="left" w:pos="3704"/>
        </w:tabs>
        <w:outlineLvl w:val="9"/>
        <w:rPr>
          <w:rFonts w:hint="default" w:eastAsia="宋体"/>
          <w:highlight w:val="none"/>
          <w:lang w:val="en-US" w:eastAsia="zh-CN"/>
        </w:rPr>
      </w:pPr>
      <w:r>
        <w:rPr>
          <w:rFonts w:hint="eastAsia"/>
          <w:highlight w:val="none"/>
          <w:lang w:val="en-US" w:eastAsia="zh-CN"/>
        </w:rPr>
        <w:t>4）作业结束后，对发现的电力用户存在用电安全隐患，</w:t>
      </w:r>
      <w:r>
        <w:rPr>
          <w:rFonts w:hint="eastAsia"/>
          <w:color w:val="auto"/>
          <w:highlight w:val="none"/>
          <w:lang w:val="en-US" w:eastAsia="zh-CN"/>
        </w:rPr>
        <w:t>危害供用电安全、扰乱正常供用电秩序，</w:t>
      </w:r>
      <w:r>
        <w:rPr>
          <w:rFonts w:hint="eastAsia"/>
          <w:highlight w:val="none"/>
          <w:lang w:val="en-US" w:eastAsia="zh-CN"/>
        </w:rPr>
        <w:t>或窃电行为，应填写用电检查结果通知书，一式两份，双方签字盖章后各自存档。</w:t>
      </w:r>
    </w:p>
    <w:p>
      <w:pPr>
        <w:pStyle w:val="259"/>
        <w:numPr>
          <w:ilvl w:val="0"/>
          <w:numId w:val="11"/>
        </w:numPr>
        <w:outlineLvl w:val="0"/>
        <w:rPr>
          <w:rFonts w:hint="default" w:ascii="Times New Roman" w:hAnsi="Times New Roman" w:cs="Times New Roman"/>
          <w:szCs w:val="21"/>
          <w:highlight w:val="none"/>
          <w:lang w:val="en-US" w:eastAsia="zh-CN"/>
        </w:rPr>
      </w:pPr>
      <w:bookmarkStart w:id="40" w:name="_Toc18817"/>
      <w:r>
        <w:rPr>
          <w:rFonts w:hint="eastAsia" w:ascii="Times New Roman" w:hAnsi="Times New Roman" w:cs="Times New Roman"/>
          <w:szCs w:val="21"/>
          <w:highlight w:val="none"/>
          <w:lang w:val="en-US" w:eastAsia="zh-CN"/>
        </w:rPr>
        <w:t>数据处理</w:t>
      </w:r>
      <w:bookmarkEnd w:id="40"/>
    </w:p>
    <w:p>
      <w:pPr>
        <w:pStyle w:val="324"/>
        <w:numPr>
          <w:ilvl w:val="0"/>
          <w:numId w:val="0"/>
        </w:numPr>
        <w:ind w:leftChars="0"/>
        <w:rPr>
          <w:rFonts w:hint="eastAsia" w:ascii="黑体" w:hAnsi="黑体" w:eastAsia="黑体" w:cs="黑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7.1数据存储</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7.1.1数据存储管理</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1"/>
        <w:rPr>
          <w:rFonts w:hint="default" w:cs="Times New Roman"/>
          <w:szCs w:val="20"/>
          <w:highlight w:val="none"/>
          <w:lang w:val="en-US" w:eastAsia="zh-CN"/>
        </w:rPr>
      </w:pPr>
      <w:r>
        <w:rPr>
          <w:rFonts w:hint="eastAsia" w:cs="Times New Roman"/>
          <w:szCs w:val="20"/>
          <w:highlight w:val="none"/>
          <w:lang w:val="en-US" w:eastAsia="zh-CN"/>
        </w:rPr>
        <w:t>7.1.1.1一般数据存储</w:t>
      </w:r>
    </w:p>
    <w:p>
      <w:pPr>
        <w:pStyle w:val="258"/>
        <w:keepNext w:val="0"/>
        <w:keepLines w:val="0"/>
        <w:pageBreakBefore w:val="0"/>
        <w:widowControl/>
        <w:kinsoku/>
        <w:wordWrap/>
        <w:overflowPunct/>
        <w:topLinePunct w:val="0"/>
        <w:autoSpaceDE/>
        <w:autoSpaceDN/>
        <w:bidi w:val="0"/>
        <w:adjustRightInd/>
        <w:snapToGrid/>
        <w:textAlignment w:val="auto"/>
        <w:outlineLvl w:val="1"/>
        <w:rPr>
          <w:rFonts w:hint="eastAsia" w:cs="Times New Roman"/>
          <w:szCs w:val="20"/>
          <w:highlight w:val="none"/>
          <w:lang w:val="en-US" w:eastAsia="zh-CN"/>
        </w:rPr>
      </w:pPr>
      <w:r>
        <w:rPr>
          <w:rFonts w:hint="eastAsia" w:cs="Times New Roman"/>
          <w:szCs w:val="20"/>
          <w:highlight w:val="none"/>
          <w:lang w:val="en-US" w:eastAsia="zh-CN"/>
        </w:rPr>
        <w:t>检查数据可采用线上或线下管理方式，采用线下管理方式的，可将采集的数据统一保存在符合信息安全要求的专用电脑或移动硬盘中，采用文件夹分层管理存储。</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1"/>
        <w:rPr>
          <w:rFonts w:hint="eastAsia" w:cs="Times New Roman"/>
          <w:szCs w:val="20"/>
          <w:highlight w:val="none"/>
          <w:lang w:val="en-US" w:eastAsia="zh-CN"/>
        </w:rPr>
      </w:pPr>
      <w:r>
        <w:rPr>
          <w:rFonts w:hint="eastAsia" w:cs="Times New Roman"/>
          <w:szCs w:val="20"/>
          <w:highlight w:val="none"/>
          <w:lang w:val="en-US" w:eastAsia="zh-CN"/>
        </w:rPr>
        <w:t>7.1.1.2重要数据存储</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1"/>
        <w:rPr>
          <w:rFonts w:hint="default" w:cs="Times New Roman"/>
          <w:szCs w:val="20"/>
          <w:highlight w:val="none"/>
          <w:lang w:val="en-US" w:eastAsia="zh-CN"/>
        </w:rPr>
      </w:pPr>
      <w:r>
        <w:rPr>
          <w:rFonts w:hint="default" w:cs="Times New Roman"/>
          <w:szCs w:val="20"/>
          <w:highlight w:val="none"/>
          <w:lang w:val="en-US" w:eastAsia="zh-CN"/>
        </w:rPr>
        <w:t>对</w:t>
      </w:r>
      <w:r>
        <w:rPr>
          <w:rFonts w:hint="eastAsia" w:cs="Times New Roman"/>
          <w:szCs w:val="20"/>
          <w:highlight w:val="none"/>
          <w:lang w:val="en-US" w:eastAsia="zh-CN"/>
        </w:rPr>
        <w:t>检查过程中发现涉及用户</w:t>
      </w:r>
      <w:r>
        <w:rPr>
          <w:rFonts w:hint="default" w:cs="Times New Roman"/>
          <w:szCs w:val="20"/>
          <w:highlight w:val="none"/>
          <w:lang w:val="en-US" w:eastAsia="zh-CN"/>
        </w:rPr>
        <w:t>窃电</w:t>
      </w:r>
      <w:r>
        <w:rPr>
          <w:rFonts w:hint="eastAsia" w:cs="Times New Roman"/>
          <w:color w:val="auto"/>
          <w:szCs w:val="20"/>
          <w:highlight w:val="none"/>
          <w:lang w:val="en-US" w:eastAsia="zh-CN"/>
        </w:rPr>
        <w:t>或</w:t>
      </w:r>
      <w:r>
        <w:rPr>
          <w:rFonts w:hint="eastAsia"/>
          <w:color w:val="auto"/>
          <w:highlight w:val="none"/>
          <w:lang w:val="en-US" w:eastAsia="zh-CN"/>
        </w:rPr>
        <w:t>危害供用电安全、扰乱正常供用电秩序</w:t>
      </w:r>
      <w:r>
        <w:rPr>
          <w:rFonts w:hint="default" w:cs="Times New Roman"/>
          <w:szCs w:val="20"/>
          <w:highlight w:val="none"/>
          <w:lang w:val="en-US" w:eastAsia="zh-CN"/>
        </w:rPr>
        <w:t>的</w:t>
      </w:r>
      <w:r>
        <w:rPr>
          <w:rFonts w:hint="eastAsia" w:cs="Times New Roman"/>
          <w:szCs w:val="20"/>
          <w:highlight w:val="none"/>
          <w:lang w:val="en-US" w:eastAsia="zh-CN"/>
        </w:rPr>
        <w:t>电子数据</w:t>
      </w:r>
      <w:r>
        <w:rPr>
          <w:rFonts w:hint="default" w:cs="Times New Roman"/>
          <w:szCs w:val="20"/>
          <w:highlight w:val="none"/>
          <w:lang w:val="en-US" w:eastAsia="zh-CN"/>
        </w:rPr>
        <w:t>，应当保存好原始载体，不得私自剪切、剪辑或编辑。</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7.1.2数据重新收集</w:t>
      </w:r>
    </w:p>
    <w:p>
      <w:pPr>
        <w:pStyle w:val="258"/>
        <w:keepNext w:val="0"/>
        <w:keepLines w:val="0"/>
        <w:pageBreakBefore w:val="0"/>
        <w:widowControl/>
        <w:kinsoku/>
        <w:wordWrap/>
        <w:overflowPunct/>
        <w:topLinePunct w:val="0"/>
        <w:autoSpaceDE/>
        <w:autoSpaceDN/>
        <w:bidi w:val="0"/>
        <w:adjustRightInd/>
        <w:snapToGrid/>
        <w:textAlignment w:val="auto"/>
        <w:outlineLvl w:val="1"/>
        <w:rPr>
          <w:rFonts w:hint="eastAsia" w:cs="Times New Roman"/>
          <w:szCs w:val="20"/>
          <w:highlight w:val="none"/>
          <w:lang w:val="en-US" w:eastAsia="zh-CN"/>
        </w:rPr>
      </w:pPr>
      <w:r>
        <w:rPr>
          <w:rFonts w:hint="eastAsia" w:cs="Times New Roman"/>
          <w:szCs w:val="20"/>
          <w:highlight w:val="none"/>
          <w:lang w:val="en-US" w:eastAsia="zh-CN"/>
        </w:rPr>
        <w:t>对于以下不符合要求的</w:t>
      </w:r>
      <w:r>
        <w:rPr>
          <w:rFonts w:hint="eastAsia"/>
          <w:highlight w:val="none"/>
          <w:lang w:val="en-US" w:eastAsia="zh-CN"/>
        </w:rPr>
        <w:t>检查</w:t>
      </w:r>
      <w:r>
        <w:rPr>
          <w:rFonts w:hint="eastAsia" w:cs="Times New Roman"/>
          <w:szCs w:val="20"/>
          <w:highlight w:val="none"/>
          <w:lang w:val="en-US" w:eastAsia="zh-CN"/>
        </w:rPr>
        <w:t>数据，应重新进行采集：</w:t>
      </w:r>
    </w:p>
    <w:p>
      <w:pPr>
        <w:pStyle w:val="258"/>
        <w:outlineLvl w:val="9"/>
        <w:rPr>
          <w:rFonts w:hint="eastAsia"/>
          <w:highlight w:val="none"/>
        </w:rPr>
      </w:pPr>
      <w:r>
        <w:rPr>
          <w:rFonts w:hint="eastAsia"/>
          <w:highlight w:val="none"/>
        </w:rPr>
        <w:t>1）可见光</w:t>
      </w:r>
      <w:bookmarkStart w:id="42" w:name="_GoBack"/>
      <w:bookmarkEnd w:id="42"/>
      <w:r>
        <w:rPr>
          <w:rFonts w:hint="eastAsia"/>
          <w:highlight w:val="none"/>
        </w:rPr>
        <w:t>照片：照片虚焦、拍摄角度无法有效判断缺陷、清晰度不足、遮挡严重等。</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highlight w:val="none"/>
          <w:lang w:eastAsia="zh-CN"/>
        </w:rPr>
      </w:pPr>
      <w:r>
        <w:rPr>
          <w:rFonts w:hint="eastAsia"/>
          <w:highlight w:val="none"/>
        </w:rPr>
        <w:t>2）激光点云数据：</w:t>
      </w:r>
      <w:r>
        <w:rPr>
          <w:rFonts w:hint="eastAsia"/>
          <w:highlight w:val="none"/>
          <w:lang w:val="en-US" w:eastAsia="zh-CN"/>
        </w:rPr>
        <w:t>由于无人机未飞稳、定位飘、雷达未扫准等原因导致</w:t>
      </w:r>
      <w:r>
        <w:rPr>
          <w:rFonts w:hint="eastAsia"/>
          <w:highlight w:val="none"/>
        </w:rPr>
        <w:t>采集数据不连贯、点云分层严重、噪点过多、定位不准等</w:t>
      </w:r>
      <w:r>
        <w:rPr>
          <w:rFonts w:hint="eastAsia"/>
          <w:highlight w:val="none"/>
          <w:lang w:eastAsia="zh-CN"/>
        </w:rPr>
        <w:t>，</w:t>
      </w:r>
      <w:r>
        <w:rPr>
          <w:rFonts w:hint="eastAsia"/>
          <w:highlight w:val="none"/>
          <w:lang w:val="en-US" w:eastAsia="zh-CN"/>
        </w:rPr>
        <w:t>致使线路杆塔、导线、树障等关键区段缺失，无法完整拼接完整通道三维模型</w:t>
      </w:r>
      <w:r>
        <w:rPr>
          <w:rFonts w:hint="eastAsia"/>
          <w:highlight w:val="none"/>
          <w:lang w:eastAsia="zh-CN"/>
        </w:rPr>
        <w:t>。</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eastAsia="宋体"/>
          <w:highlight w:val="none"/>
          <w:lang w:val="en-US" w:eastAsia="zh-CN"/>
        </w:rPr>
      </w:pPr>
      <w:r>
        <w:rPr>
          <w:rFonts w:hint="eastAsia"/>
          <w:highlight w:val="none"/>
          <w:lang w:val="en-US" w:eastAsia="zh-CN"/>
        </w:rPr>
        <w:t>3</w:t>
      </w:r>
      <w:r>
        <w:rPr>
          <w:rFonts w:hint="eastAsia"/>
          <w:highlight w:val="none"/>
        </w:rPr>
        <w:t>）红外热成像数据：照片、视频模糊等无法有效判断设备缺陷等</w:t>
      </w:r>
      <w:r>
        <w:rPr>
          <w:rFonts w:hint="eastAsia"/>
          <w:highlight w:val="none"/>
          <w:lang w:eastAsia="zh-CN"/>
        </w:rPr>
        <w:t>。</w:t>
      </w:r>
    </w:p>
    <w:p>
      <w:pPr>
        <w:pStyle w:val="324"/>
        <w:numPr>
          <w:ilvl w:val="1"/>
          <w:numId w:val="0"/>
        </w:numPr>
        <w:tabs>
          <w:tab w:val="left" w:pos="3369"/>
        </w:tabs>
        <w:ind w:leftChars="0"/>
        <w:rPr>
          <w:rFonts w:hint="eastAsia" w:ascii="黑体" w:hAnsi="黑体" w:eastAsia="黑体" w:cs="黑体"/>
          <w:color w:val="auto"/>
          <w:sz w:val="21"/>
          <w:szCs w:val="21"/>
          <w:highlight w:val="none"/>
          <w:lang w:val="en-US" w:eastAsia="zh-CN" w:bidi="ar-SA"/>
        </w:rPr>
      </w:pPr>
      <w:r>
        <w:rPr>
          <w:rFonts w:hint="eastAsia" w:ascii="黑体" w:hAnsi="黑体" w:eastAsia="黑体" w:cs="黑体"/>
          <w:color w:val="auto"/>
          <w:sz w:val="21"/>
          <w:szCs w:val="21"/>
          <w:highlight w:val="none"/>
          <w:lang w:val="en-US" w:eastAsia="zh-CN" w:bidi="ar-SA"/>
        </w:rPr>
        <w:t>7.2数据分析</w:t>
      </w:r>
    </w:p>
    <w:p>
      <w:pPr>
        <w:pStyle w:val="258"/>
        <w:keepNext w:val="0"/>
        <w:keepLines w:val="0"/>
        <w:pageBreakBefore w:val="0"/>
        <w:widowControl/>
        <w:kinsoku/>
        <w:wordWrap/>
        <w:overflowPunct/>
        <w:topLinePunct w:val="0"/>
        <w:autoSpaceDE/>
        <w:autoSpaceDN/>
        <w:bidi w:val="0"/>
        <w:adjustRightInd/>
        <w:snapToGrid/>
        <w:ind w:firstLine="420" w:firstLineChars="200"/>
        <w:textAlignment w:val="auto"/>
        <w:outlineLvl w:val="1"/>
        <w:rPr>
          <w:rFonts w:hint="eastAsia" w:ascii="Times New Roman" w:hAnsi="Times New Roman" w:eastAsia="黑体" w:cs="Times New Roman"/>
          <w:color w:val="auto"/>
          <w:kern w:val="0"/>
          <w:sz w:val="21"/>
          <w:szCs w:val="21"/>
          <w:highlight w:val="none"/>
          <w:lang w:val="en-US" w:eastAsia="zh-CN" w:bidi="ar-SA"/>
        </w:rPr>
      </w:pPr>
      <w:r>
        <w:rPr>
          <w:rFonts w:hint="eastAsia" w:cs="Times New Roman"/>
          <w:szCs w:val="20"/>
          <w:highlight w:val="none"/>
          <w:lang w:val="en-US" w:eastAsia="zh-CN"/>
        </w:rPr>
        <w:t>无人机检查数据分析应根据被检查对象是否符合GB 50053、GB 51348、《供电营业规则》等相关规定来确定。</w:t>
      </w:r>
      <w:r>
        <w:rPr>
          <w:rFonts w:hint="eastAsia" w:ascii="Times New Roman" w:cs="Times New Roman"/>
          <w:color w:val="auto"/>
          <w:kern w:val="0"/>
          <w:sz w:val="21"/>
          <w:szCs w:val="21"/>
          <w:highlight w:val="none"/>
          <w:lang w:val="en-US" w:eastAsia="zh-CN" w:bidi="ar-SA"/>
        </w:rPr>
        <w:tab/>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7.2.1可见光数据分析</w:t>
      </w:r>
    </w:p>
    <w:p>
      <w:pPr>
        <w:pStyle w:val="258"/>
        <w:keepNext w:val="0"/>
        <w:keepLines w:val="0"/>
        <w:pageBreakBefore w:val="0"/>
        <w:widowControl/>
        <w:kinsoku/>
        <w:wordWrap/>
        <w:overflowPunct/>
        <w:topLinePunct w:val="0"/>
        <w:autoSpaceDE/>
        <w:autoSpaceDN/>
        <w:bidi w:val="0"/>
        <w:adjustRightInd/>
        <w:snapToGrid/>
        <w:ind w:firstLine="420" w:firstLineChars="200"/>
        <w:textAlignment w:val="auto"/>
        <w:outlineLvl w:val="1"/>
        <w:rPr>
          <w:rFonts w:hint="default" w:cs="Times New Roman"/>
          <w:szCs w:val="20"/>
          <w:highlight w:val="none"/>
          <w:lang w:val="en-US" w:eastAsia="zh-CN"/>
        </w:rPr>
      </w:pPr>
      <w:r>
        <w:rPr>
          <w:rFonts w:hint="eastAsia" w:cs="Times New Roman"/>
          <w:szCs w:val="20"/>
          <w:highlight w:val="none"/>
          <w:lang w:val="en-US" w:eastAsia="zh-CN"/>
        </w:rPr>
        <w:t>对电力设备外观、用电计量装置外观、接线等进行分析。</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7.2.2激光雷达数据分析</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kern w:val="2"/>
          <w:sz w:val="21"/>
          <w:szCs w:val="21"/>
          <w:highlight w:val="none"/>
          <w:lang w:val="en-US" w:eastAsia="zh-CN" w:bidi="ar-SA"/>
        </w:rPr>
        <w:t>7.2.2.1</w:t>
      </w:r>
      <w:r>
        <w:rPr>
          <w:rFonts w:hint="eastAsia" w:ascii="黑体" w:hAnsi="黑体" w:eastAsia="黑体" w:cs="黑体"/>
          <w:color w:val="auto"/>
          <w:szCs w:val="21"/>
          <w:highlight w:val="none"/>
          <w:lang w:val="en-US" w:eastAsia="zh-CN"/>
        </w:rPr>
        <w:t>交叉跨越分析</w:t>
      </w:r>
    </w:p>
    <w:p>
      <w:pPr>
        <w:pStyle w:val="258"/>
        <w:keepNext w:val="0"/>
        <w:keepLines w:val="0"/>
        <w:pageBreakBefore w:val="0"/>
        <w:widowControl/>
        <w:kinsoku/>
        <w:wordWrap/>
        <w:overflowPunct/>
        <w:topLinePunct w:val="0"/>
        <w:autoSpaceDE/>
        <w:autoSpaceDN/>
        <w:bidi w:val="0"/>
        <w:adjustRightInd/>
        <w:snapToGrid/>
        <w:ind w:firstLine="420" w:firstLineChars="200"/>
        <w:textAlignment w:val="auto"/>
        <w:outlineLvl w:val="1"/>
        <w:rPr>
          <w:rFonts w:hint="eastAsia"/>
          <w:highlight w:val="none"/>
        </w:rPr>
      </w:pPr>
      <w:r>
        <w:rPr>
          <w:rFonts w:hint="eastAsia" w:cs="Times New Roman"/>
          <w:szCs w:val="20"/>
          <w:highlight w:val="none"/>
          <w:lang w:val="en-US" w:eastAsia="zh-CN"/>
        </w:rPr>
        <w:t>交叉跨越分析应满足下列要求：</w:t>
      </w:r>
      <w:r>
        <w:rPr>
          <w:rFonts w:hint="eastAsia"/>
          <w:highlight w:val="none"/>
        </w:rPr>
        <w:t>对导线、地线与</w:t>
      </w:r>
      <w:r>
        <w:rPr>
          <w:rFonts w:hint="eastAsia"/>
          <w:highlight w:val="none"/>
          <w:lang w:val="en-US" w:eastAsia="zh-CN"/>
        </w:rPr>
        <w:t>线路</w:t>
      </w:r>
      <w:r>
        <w:rPr>
          <w:rFonts w:hint="eastAsia"/>
          <w:highlight w:val="none"/>
        </w:rPr>
        <w:t>走廊内地</w:t>
      </w:r>
      <w:r>
        <w:rPr>
          <w:rFonts w:hint="eastAsia"/>
          <w:highlight w:val="none"/>
          <w:lang w:val="en-US" w:eastAsia="zh-CN"/>
        </w:rPr>
        <w:t>上附着</w:t>
      </w:r>
      <w:r>
        <w:rPr>
          <w:rFonts w:hint="eastAsia"/>
          <w:highlight w:val="none"/>
        </w:rPr>
        <w:t>物进行空间分析。</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kern w:val="2"/>
          <w:sz w:val="21"/>
          <w:szCs w:val="21"/>
          <w:highlight w:val="none"/>
          <w:lang w:val="en-US" w:eastAsia="zh-CN" w:bidi="ar-SA"/>
        </w:rPr>
        <w:t>7.2.2.2</w:t>
      </w:r>
      <w:r>
        <w:rPr>
          <w:rFonts w:hint="eastAsia" w:ascii="黑体" w:hAnsi="黑体" w:eastAsia="黑体" w:cs="黑体"/>
          <w:color w:val="auto"/>
          <w:szCs w:val="21"/>
          <w:highlight w:val="none"/>
          <w:lang w:val="en-US" w:eastAsia="zh-CN"/>
        </w:rPr>
        <w:t>安全距离检测分析</w:t>
      </w:r>
    </w:p>
    <w:p>
      <w:pPr>
        <w:pStyle w:val="258"/>
        <w:keepNext w:val="0"/>
        <w:keepLines w:val="0"/>
        <w:pageBreakBefore w:val="0"/>
        <w:widowControl/>
        <w:kinsoku/>
        <w:wordWrap/>
        <w:overflowPunct/>
        <w:topLinePunct w:val="0"/>
        <w:autoSpaceDE/>
        <w:autoSpaceDN/>
        <w:bidi w:val="0"/>
        <w:adjustRightInd/>
        <w:snapToGrid/>
        <w:textAlignment w:val="auto"/>
        <w:outlineLvl w:val="1"/>
        <w:rPr>
          <w:rFonts w:hint="eastAsia"/>
          <w:highlight w:val="none"/>
        </w:rPr>
      </w:pPr>
      <w:r>
        <w:rPr>
          <w:rFonts w:hint="eastAsia" w:cs="Times New Roman"/>
          <w:szCs w:val="20"/>
          <w:highlight w:val="none"/>
          <w:lang w:val="en-US" w:eastAsia="zh-CN"/>
        </w:rPr>
        <w:t>安全距离检测分析应满足下列要求：</w:t>
      </w:r>
      <w:r>
        <w:rPr>
          <w:rFonts w:hint="eastAsia"/>
          <w:highlight w:val="none"/>
        </w:rPr>
        <w:t>对</w:t>
      </w:r>
      <w:r>
        <w:rPr>
          <w:rFonts w:hint="eastAsia"/>
          <w:highlight w:val="none"/>
          <w:lang w:eastAsia="zh-CN"/>
        </w:rPr>
        <w:t>电力用户</w:t>
      </w:r>
      <w:r>
        <w:rPr>
          <w:rFonts w:hint="eastAsia"/>
          <w:highlight w:val="none"/>
        </w:rPr>
        <w:t>配电线路与内树木、建筑和交叉跨越电力等地物应进行安全距离检测分析。</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7.2.3 红外热成像数据分析</w:t>
      </w:r>
    </w:p>
    <w:p>
      <w:pPr>
        <w:pStyle w:val="258"/>
        <w:outlineLvl w:val="9"/>
        <w:rPr>
          <w:rFonts w:hint="default" w:ascii="黑体" w:hAnsi="黑体" w:eastAsia="黑体" w:cs="黑体"/>
          <w:color w:val="auto"/>
          <w:szCs w:val="21"/>
          <w:highlight w:val="none"/>
          <w:lang w:val="en-US" w:eastAsia="zh-CN"/>
        </w:rPr>
      </w:pPr>
      <w:r>
        <w:rPr>
          <w:rFonts w:hint="eastAsia"/>
          <w:highlight w:val="none"/>
        </w:rPr>
        <w:t>对运行中的</w:t>
      </w:r>
      <w:r>
        <w:rPr>
          <w:rFonts w:hint="eastAsia"/>
          <w:highlight w:val="none"/>
          <w:lang w:eastAsia="zh-CN"/>
        </w:rPr>
        <w:t>电力用户用电</w:t>
      </w:r>
      <w:r>
        <w:rPr>
          <w:rFonts w:hint="eastAsia"/>
          <w:highlight w:val="none"/>
        </w:rPr>
        <w:t>设备搭接、桩头、</w:t>
      </w:r>
      <w:r>
        <w:rPr>
          <w:rFonts w:hint="eastAsia"/>
          <w:highlight w:val="none"/>
          <w:lang w:eastAsia="zh-CN"/>
        </w:rPr>
        <w:t>变压器本体、</w:t>
      </w:r>
      <w:r>
        <w:rPr>
          <w:rFonts w:hint="eastAsia"/>
          <w:highlight w:val="none"/>
        </w:rPr>
        <w:t>计量设备等重要部位进行温度检测</w:t>
      </w:r>
      <w:r>
        <w:rPr>
          <w:rFonts w:hint="eastAsia"/>
          <w:highlight w:val="none"/>
          <w:lang w:val="en-US" w:eastAsia="zh-CN"/>
        </w:rPr>
        <w:t>结果进行</w:t>
      </w:r>
      <w:r>
        <w:rPr>
          <w:rFonts w:hint="eastAsia"/>
          <w:highlight w:val="none"/>
        </w:rPr>
        <w:t>分析</w:t>
      </w:r>
      <w:r>
        <w:rPr>
          <w:rFonts w:hint="eastAsia"/>
          <w:highlight w:val="none"/>
          <w:lang w:eastAsia="zh-CN"/>
        </w:rPr>
        <w:t>，</w:t>
      </w:r>
      <w:r>
        <w:rPr>
          <w:rFonts w:hint="eastAsia"/>
          <w:highlight w:val="none"/>
          <w:lang w:val="en-US" w:eastAsia="zh-CN"/>
        </w:rPr>
        <w:t>研判是否存在异常温升情形</w:t>
      </w:r>
      <w:r>
        <w:rPr>
          <w:rFonts w:hint="eastAsia"/>
          <w:highlight w:val="none"/>
        </w:rPr>
        <w:t>。</w:t>
      </w:r>
    </w:p>
    <w:p>
      <w:pPr>
        <w:pStyle w:val="259"/>
        <w:numPr>
          <w:ilvl w:val="0"/>
          <w:numId w:val="11"/>
        </w:numPr>
        <w:outlineLvl w:val="0"/>
        <w:rPr>
          <w:rFonts w:hint="default" w:ascii="黑体" w:hAnsi="黑体" w:eastAsia="黑体" w:cs="黑体"/>
          <w:color w:val="auto"/>
          <w:sz w:val="21"/>
          <w:szCs w:val="21"/>
          <w:highlight w:val="none"/>
          <w:lang w:val="en-US" w:eastAsia="zh-CN" w:bidi="ar-SA"/>
        </w:rPr>
      </w:pPr>
      <w:bookmarkStart w:id="41" w:name="_Toc272"/>
      <w:r>
        <w:rPr>
          <w:rFonts w:hint="eastAsia" w:ascii="黑体" w:hAnsi="黑体" w:eastAsia="黑体" w:cs="黑体"/>
          <w:color w:val="auto"/>
          <w:sz w:val="21"/>
          <w:szCs w:val="21"/>
          <w:highlight w:val="none"/>
          <w:lang w:val="en-US" w:eastAsia="zh-CN" w:bidi="ar-SA"/>
        </w:rPr>
        <w:t>异常情况处置</w:t>
      </w:r>
      <w:bookmarkEnd w:id="41"/>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8.1设备异常处理</w:t>
      </w:r>
    </w:p>
    <w:p>
      <w:pPr>
        <w:pStyle w:val="258"/>
        <w:outlineLvl w:val="9"/>
        <w:rPr>
          <w:rFonts w:hint="eastAsia"/>
          <w:highlight w:val="none"/>
        </w:rPr>
      </w:pPr>
      <w:r>
        <w:rPr>
          <w:rFonts w:hint="eastAsia"/>
          <w:highlight w:val="none"/>
        </w:rPr>
        <w:t>1）无人机</w:t>
      </w:r>
      <w:r>
        <w:rPr>
          <w:rFonts w:hint="eastAsia"/>
          <w:highlight w:val="none"/>
          <w:lang w:val="en-US" w:eastAsia="zh-CN"/>
        </w:rPr>
        <w:t>开展检查</w:t>
      </w:r>
      <w:r>
        <w:rPr>
          <w:rFonts w:hint="eastAsia"/>
          <w:highlight w:val="none"/>
        </w:rPr>
        <w:t>飞行时，发生故障或遇紧急意外情况等，宜控制无人机在安全区域降落。</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highlight w:val="none"/>
          <w:lang w:eastAsia="zh-CN"/>
        </w:rPr>
      </w:pPr>
      <w:r>
        <w:rPr>
          <w:rFonts w:hint="eastAsia"/>
          <w:highlight w:val="none"/>
        </w:rPr>
        <w:t>2）无人机</w:t>
      </w:r>
      <w:r>
        <w:rPr>
          <w:rFonts w:hint="eastAsia"/>
          <w:highlight w:val="none"/>
          <w:lang w:val="en-US" w:eastAsia="zh-CN"/>
        </w:rPr>
        <w:t>自主检查</w:t>
      </w:r>
      <w:r>
        <w:rPr>
          <w:rFonts w:hint="eastAsia"/>
          <w:highlight w:val="none"/>
        </w:rPr>
        <w:t>飞行时，通讯链路长时间中断，且在预计时间内未返航时，应根据无人机最后地理坐标位置或机载追踪器发送的报文等信息及时找回</w:t>
      </w:r>
      <w:r>
        <w:rPr>
          <w:rFonts w:hint="eastAsia"/>
          <w:highlight w:val="none"/>
          <w:lang w:eastAsia="zh-CN"/>
        </w:rPr>
        <w:t>。</w:t>
      </w:r>
    </w:p>
    <w:p>
      <w:pPr>
        <w:pStyle w:val="258"/>
        <w:ind w:left="0" w:leftChars="0" w:firstLine="0" w:firstLineChars="0"/>
        <w:outlineLvl w:val="2"/>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8.2特殊工况应急处理</w:t>
      </w:r>
    </w:p>
    <w:p>
      <w:pPr>
        <w:pStyle w:val="258"/>
        <w:outlineLvl w:val="9"/>
        <w:rPr>
          <w:rFonts w:hint="eastAsia"/>
          <w:highlight w:val="none"/>
        </w:rPr>
      </w:pPr>
      <w:r>
        <w:rPr>
          <w:rFonts w:hint="eastAsia"/>
          <w:highlight w:val="none"/>
        </w:rPr>
        <w:t>1）</w:t>
      </w:r>
      <w:r>
        <w:rPr>
          <w:rFonts w:hint="eastAsia"/>
          <w:highlight w:val="none"/>
          <w:lang w:val="en-US" w:eastAsia="zh-CN"/>
        </w:rPr>
        <w:t>检查</w:t>
      </w:r>
      <w:r>
        <w:rPr>
          <w:rFonts w:hint="eastAsia"/>
          <w:highlight w:val="none"/>
        </w:rPr>
        <w:t>作业区域出现雷雨、大风等可能影响作业的突变天气时，应及时评估</w:t>
      </w:r>
      <w:r>
        <w:rPr>
          <w:rFonts w:hint="eastAsia"/>
          <w:highlight w:val="none"/>
          <w:lang w:val="en-US" w:eastAsia="zh-CN"/>
        </w:rPr>
        <w:t>检查</w:t>
      </w:r>
      <w:r>
        <w:rPr>
          <w:rFonts w:hint="eastAsia"/>
          <w:highlight w:val="none"/>
        </w:rPr>
        <w:t>作业安全性，在确保安全后方可继续执行</w:t>
      </w:r>
      <w:r>
        <w:rPr>
          <w:rFonts w:hint="eastAsia"/>
          <w:highlight w:val="none"/>
          <w:lang w:val="en-US" w:eastAsia="zh-CN"/>
        </w:rPr>
        <w:t>检查</w:t>
      </w:r>
      <w:r>
        <w:rPr>
          <w:rFonts w:hint="eastAsia"/>
          <w:highlight w:val="none"/>
        </w:rPr>
        <w:t>作业，否则应采取控制无人机避让、返航或就近降落的措施。</w:t>
      </w:r>
    </w:p>
    <w:p>
      <w:pPr>
        <w:pStyle w:val="258"/>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outlineLvl w:val="9"/>
        <w:rPr>
          <w:rFonts w:hint="eastAsia"/>
          <w:highlight w:val="none"/>
          <w:lang w:eastAsia="zh-CN"/>
        </w:rPr>
      </w:pPr>
      <w:r>
        <w:rPr>
          <w:rFonts w:hint="eastAsia"/>
          <w:highlight w:val="none"/>
        </w:rPr>
        <w:t>2）</w:t>
      </w:r>
      <w:r>
        <w:rPr>
          <w:rFonts w:hint="eastAsia"/>
          <w:highlight w:val="none"/>
          <w:lang w:val="en-US" w:eastAsia="zh-CN"/>
        </w:rPr>
        <w:t>检查</w:t>
      </w:r>
      <w:r>
        <w:rPr>
          <w:rFonts w:hint="eastAsia"/>
          <w:highlight w:val="none"/>
        </w:rPr>
        <w:t>作业区域出现其他飞行器或飘浮物时，应立即评估</w:t>
      </w:r>
      <w:r>
        <w:rPr>
          <w:rFonts w:hint="eastAsia"/>
          <w:highlight w:val="none"/>
          <w:lang w:val="en-US" w:eastAsia="zh-CN"/>
        </w:rPr>
        <w:t>检查</w:t>
      </w:r>
      <w:r>
        <w:rPr>
          <w:rFonts w:hint="eastAsia"/>
          <w:highlight w:val="none"/>
        </w:rPr>
        <w:t>作业安全性，在确保安全后方可继续执行</w:t>
      </w:r>
      <w:r>
        <w:rPr>
          <w:rFonts w:hint="eastAsia"/>
          <w:highlight w:val="none"/>
          <w:lang w:val="en-US" w:eastAsia="zh-CN"/>
        </w:rPr>
        <w:t>检查</w:t>
      </w:r>
      <w:r>
        <w:rPr>
          <w:rFonts w:hint="eastAsia"/>
          <w:highlight w:val="none"/>
        </w:rPr>
        <w:t>作业，否则应采取避让措施</w:t>
      </w:r>
      <w:r>
        <w:rPr>
          <w:rFonts w:hint="eastAsia"/>
          <w:highlight w:val="none"/>
          <w:lang w:eastAsia="zh-CN"/>
        </w:rPr>
        <w:t>。</w:t>
      </w:r>
    </w:p>
    <w:p>
      <w:pPr>
        <w:pStyle w:val="258"/>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outlineLvl w:val="9"/>
        <w:rPr>
          <w:rFonts w:hint="eastAsia"/>
          <w:highlight w:val="none"/>
          <w:lang w:eastAsia="zh-CN"/>
        </w:rPr>
      </w:pPr>
      <w:r>
        <w:rPr>
          <w:rFonts w:hint="eastAsia"/>
          <w:highlight w:val="none"/>
          <w:lang w:val="en-US" w:eastAsia="zh-CN"/>
        </w:rPr>
        <w:t>3</w:t>
      </w:r>
      <w:r>
        <w:rPr>
          <w:rFonts w:hint="eastAsia"/>
          <w:highlight w:val="none"/>
        </w:rPr>
        <w:t>）无人机</w:t>
      </w:r>
      <w:r>
        <w:rPr>
          <w:rFonts w:hint="eastAsia"/>
          <w:highlight w:val="none"/>
          <w:lang w:val="en-US" w:eastAsia="zh-CN"/>
        </w:rPr>
        <w:t>检查</w:t>
      </w:r>
      <w:r>
        <w:rPr>
          <w:rFonts w:hint="eastAsia"/>
          <w:highlight w:val="none"/>
        </w:rPr>
        <w:t>飞行过程中，班组成员身体出现不适或受其它干扰影响作业，应迅速采取保证无人机安全的措施，情况紧急时，应立即控制无人机返航或就近降落</w:t>
      </w:r>
      <w:r>
        <w:rPr>
          <w:rFonts w:hint="eastAsia"/>
          <w:highlight w:val="none"/>
          <w:lang w:eastAsia="zh-CN"/>
        </w:rPr>
        <w:t>。</w:t>
      </w:r>
    </w:p>
    <w:p>
      <w:pPr>
        <w:pStyle w:val="258"/>
        <w:ind w:left="0" w:leftChars="0" w:firstLine="0" w:firstLineChars="0"/>
        <w:outlineLvl w:val="9"/>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8.3 其他情况应急处理</w:t>
      </w:r>
    </w:p>
    <w:p>
      <w:pPr>
        <w:pStyle w:val="258"/>
        <w:outlineLvl w:val="9"/>
        <w:rPr>
          <w:rFonts w:hint="eastAsia"/>
          <w:highlight w:val="none"/>
        </w:rPr>
      </w:pPr>
      <w:r>
        <w:rPr>
          <w:rFonts w:hint="eastAsia"/>
          <w:highlight w:val="none"/>
        </w:rPr>
        <w:t>1）无人机系统故障或事故后应采取防止引发火灾等次生灾害的措施。</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highlight w:val="none"/>
        </w:rPr>
      </w:pPr>
      <w:r>
        <w:rPr>
          <w:rFonts w:hint="eastAsia"/>
          <w:highlight w:val="none"/>
        </w:rPr>
        <w:t>2）无人机系统发生坠机或事故引发次生灾害，应及时处理并立即上报。</w:t>
      </w:r>
    </w:p>
    <w:p>
      <w:pPr>
        <w:pStyle w:val="258"/>
        <w:keepNext w:val="0"/>
        <w:keepLines w:val="0"/>
        <w:pageBreakBefore w:val="0"/>
        <w:widowControl/>
        <w:kinsoku/>
        <w:wordWrap/>
        <w:overflowPunct/>
        <w:topLinePunct w:val="0"/>
        <w:autoSpaceDE/>
        <w:autoSpaceDN/>
        <w:bidi w:val="0"/>
        <w:adjustRightInd/>
        <w:snapToGrid/>
        <w:ind w:left="0" w:leftChars="0" w:firstLine="420" w:firstLineChars="200"/>
        <w:textAlignment w:val="auto"/>
        <w:outlineLvl w:val="9"/>
        <w:rPr>
          <w:rFonts w:hint="eastAsia"/>
          <w:highlight w:val="none"/>
          <w:lang w:eastAsia="zh-CN"/>
        </w:rPr>
      </w:pPr>
      <w:r>
        <w:rPr>
          <w:rFonts w:hint="eastAsia"/>
          <w:highlight w:val="none"/>
          <w:lang w:val="en-US" w:eastAsia="zh-CN"/>
        </w:rPr>
        <w:t>3）无人机检查期间因用户现场状况发生变更，应</w:t>
      </w:r>
      <w:r>
        <w:rPr>
          <w:rFonts w:hint="eastAsia"/>
          <w:highlight w:val="none"/>
        </w:rPr>
        <w:t>立即</w:t>
      </w:r>
      <w:r>
        <w:rPr>
          <w:rFonts w:hint="eastAsia"/>
          <w:highlight w:val="none"/>
          <w:lang w:val="en-US" w:eastAsia="zh-CN"/>
        </w:rPr>
        <w:t>停止飞行并</w:t>
      </w:r>
      <w:r>
        <w:rPr>
          <w:rFonts w:hint="eastAsia"/>
          <w:highlight w:val="none"/>
        </w:rPr>
        <w:t>返航或就近降落</w:t>
      </w:r>
      <w:r>
        <w:rPr>
          <w:rFonts w:hint="eastAsia"/>
          <w:highlight w:val="none"/>
          <w:lang w:eastAsia="zh-CN"/>
        </w:rPr>
        <w:t>。</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default"/>
          <w:color w:val="FF0000"/>
          <w:highlight w:val="yellow"/>
          <w:lang w:val="en-US" w:eastAsia="zh-CN"/>
        </w:rPr>
      </w:pPr>
    </w:p>
    <w:sectPr>
      <w:headerReference r:id="rId9" w:type="default"/>
      <w:footerReference r:id="rId11" w:type="default"/>
      <w:headerReference r:id="rId10" w:type="even"/>
      <w:pgSz w:w="11906" w:h="16838"/>
      <w:pgMar w:top="567" w:right="1134" w:bottom="1134" w:left="1417" w:header="1418" w:footer="1134" w:gutter="0"/>
      <w:pgBorders>
        <w:top w:val="none" w:sz="0" w:space="0"/>
        <w:left w:val="none" w:sz="0" w:space="0"/>
        <w:bottom w:val="none" w:sz="0" w:space="0"/>
        <w:right w:val="none" w:sz="0" w:space="0"/>
      </w:pgBorders>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20000001" w:csb1="00000000"/>
  </w:font>
  <w:font w:name="华文细黑">
    <w:altName w:val="微软雅黑"/>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16</w:t>
    </w:r>
    <w:r>
      <w:rPr>
        <w:rStyle w:val="234"/>
      </w:rPr>
      <w:fldChar w:fldCharType="end"/>
    </w:r>
  </w:p>
  <w:p>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pPr>
    <w:r>
      <w:t>T/CSEE</w:t>
    </w:r>
    <w:r>
      <w:rPr>
        <w:rFonts w:hint="eastAsia"/>
      </w:rPr>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wordWrap w:val="0"/>
    </w:pPr>
    <w:r>
      <w:rPr>
        <w:rFonts w:hint="eastAsia"/>
      </w:rPr>
      <w:t>T</w:t>
    </w:r>
    <w:r>
      <w:t>/</w:t>
    </w:r>
    <w:r>
      <w:rPr>
        <w:rFonts w:hint="eastAsia"/>
      </w:rPr>
      <w:t xml:space="preserve">CSEE </w:t>
    </w:r>
    <w:r>
      <w:rPr>
        <w:rFonts w:hint="eastAsia" w:hAnsi="黑体"/>
      </w:rPr>
      <w:t xml:space="preserve"> XXXX-YYYY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spacing w:before="120" w:after="120"/>
      <w:jc w:val="both"/>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E8DE4"/>
    <w:multiLevelType w:val="singleLevel"/>
    <w:tmpl w:val="88BE8DE4"/>
    <w:lvl w:ilvl="0" w:tentative="0">
      <w:start w:val="1"/>
      <w:numFmt w:val="decimal"/>
      <w:suff w:val="nothing"/>
      <w:lvlText w:val="%1）"/>
      <w:lvlJc w:val="left"/>
    </w:lvl>
  </w:abstractNum>
  <w:abstractNum w:abstractNumId="1">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5">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default"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7">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4">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7">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28">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5"/>
  </w:num>
  <w:num w:numId="12">
    <w:abstractNumId w:val="25"/>
  </w:num>
  <w:num w:numId="13">
    <w:abstractNumId w:val="24"/>
  </w:num>
  <w:num w:numId="14">
    <w:abstractNumId w:val="16"/>
  </w:num>
  <w:num w:numId="15">
    <w:abstractNumId w:val="28"/>
  </w:num>
  <w:num w:numId="16">
    <w:abstractNumId w:val="13"/>
  </w:num>
  <w:num w:numId="17">
    <w:abstractNumId w:val="20"/>
  </w:num>
  <w:num w:numId="18">
    <w:abstractNumId w:val="23"/>
  </w:num>
  <w:num w:numId="19">
    <w:abstractNumId w:val="12"/>
  </w:num>
  <w:num w:numId="20">
    <w:abstractNumId w:val="22"/>
  </w:num>
  <w:num w:numId="21">
    <w:abstractNumId w:val="26"/>
  </w:num>
  <w:num w:numId="22">
    <w:abstractNumId w:val="11"/>
  </w:num>
  <w:num w:numId="23">
    <w:abstractNumId w:val="19"/>
  </w:num>
  <w:num w:numId="24">
    <w:abstractNumId w:val="21"/>
  </w:num>
  <w:num w:numId="25">
    <w:abstractNumId w:val="27"/>
  </w:num>
  <w:num w:numId="26">
    <w:abstractNumId w:val="14"/>
  </w:num>
  <w:num w:numId="27">
    <w:abstractNumId w:val="18"/>
  </w:num>
  <w:num w:numId="28">
    <w:abstractNumId w:val="17"/>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mirrorMargins w:val="1"/>
  <w:bordersDoNotSurroundHeader w:val="0"/>
  <w:bordersDoNotSurroundFooter w:val="0"/>
  <w:attachedTemplate r:id="rId1"/>
  <w:documentProtection w:enforcement="0"/>
  <w:defaultTabStop w:val="21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MGJhZDFlNTAxZWRjZWNkZjIyMjBhYWZhNTNhZTQifQ=="/>
  </w:docVars>
  <w:rsids>
    <w:rsidRoot w:val="00BA7C85"/>
    <w:rsid w:val="000059B7"/>
    <w:rsid w:val="00006548"/>
    <w:rsid w:val="00023F1B"/>
    <w:rsid w:val="00027BD3"/>
    <w:rsid w:val="00031EEE"/>
    <w:rsid w:val="000327BE"/>
    <w:rsid w:val="00036B39"/>
    <w:rsid w:val="000372EA"/>
    <w:rsid w:val="00040BA7"/>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7C0"/>
    <w:rsid w:val="00291C9B"/>
    <w:rsid w:val="002A3BE2"/>
    <w:rsid w:val="002A4DD0"/>
    <w:rsid w:val="002A68DF"/>
    <w:rsid w:val="002A6B18"/>
    <w:rsid w:val="002B778D"/>
    <w:rsid w:val="002C6C4A"/>
    <w:rsid w:val="002E08C1"/>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4714"/>
    <w:rsid w:val="003E7CE2"/>
    <w:rsid w:val="003F2DA8"/>
    <w:rsid w:val="003F603C"/>
    <w:rsid w:val="003F764E"/>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A35D5"/>
    <w:rsid w:val="005A406C"/>
    <w:rsid w:val="005D203A"/>
    <w:rsid w:val="005D5966"/>
    <w:rsid w:val="005F40CC"/>
    <w:rsid w:val="00601445"/>
    <w:rsid w:val="00601FE1"/>
    <w:rsid w:val="00611BD0"/>
    <w:rsid w:val="0061695B"/>
    <w:rsid w:val="00630366"/>
    <w:rsid w:val="00630EC5"/>
    <w:rsid w:val="00640186"/>
    <w:rsid w:val="0064468F"/>
    <w:rsid w:val="0065094C"/>
    <w:rsid w:val="00674639"/>
    <w:rsid w:val="00677E34"/>
    <w:rsid w:val="00681844"/>
    <w:rsid w:val="00687A37"/>
    <w:rsid w:val="00695523"/>
    <w:rsid w:val="006A01D7"/>
    <w:rsid w:val="006B643E"/>
    <w:rsid w:val="006D12A2"/>
    <w:rsid w:val="006D6D2B"/>
    <w:rsid w:val="006E4DBB"/>
    <w:rsid w:val="006E740A"/>
    <w:rsid w:val="006E7E4F"/>
    <w:rsid w:val="006E7EF0"/>
    <w:rsid w:val="006F1FF9"/>
    <w:rsid w:val="007064A5"/>
    <w:rsid w:val="007141B1"/>
    <w:rsid w:val="00715BD0"/>
    <w:rsid w:val="00727842"/>
    <w:rsid w:val="00743CC7"/>
    <w:rsid w:val="0074732A"/>
    <w:rsid w:val="007602DB"/>
    <w:rsid w:val="00762D17"/>
    <w:rsid w:val="00767B2F"/>
    <w:rsid w:val="00771546"/>
    <w:rsid w:val="00773A5E"/>
    <w:rsid w:val="00775E39"/>
    <w:rsid w:val="00776408"/>
    <w:rsid w:val="00777A2D"/>
    <w:rsid w:val="0078233D"/>
    <w:rsid w:val="00792DBE"/>
    <w:rsid w:val="00795E45"/>
    <w:rsid w:val="007A3A15"/>
    <w:rsid w:val="007A7829"/>
    <w:rsid w:val="007B224D"/>
    <w:rsid w:val="007B6A57"/>
    <w:rsid w:val="007D2FAA"/>
    <w:rsid w:val="007D57EF"/>
    <w:rsid w:val="007E0206"/>
    <w:rsid w:val="007E1A72"/>
    <w:rsid w:val="007E3F4F"/>
    <w:rsid w:val="007F69B9"/>
    <w:rsid w:val="00811C33"/>
    <w:rsid w:val="00832699"/>
    <w:rsid w:val="008345DD"/>
    <w:rsid w:val="00846D16"/>
    <w:rsid w:val="00852FD6"/>
    <w:rsid w:val="00854E15"/>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0596"/>
    <w:rsid w:val="00960906"/>
    <w:rsid w:val="0096456D"/>
    <w:rsid w:val="0096648C"/>
    <w:rsid w:val="009676B1"/>
    <w:rsid w:val="009721AF"/>
    <w:rsid w:val="00986007"/>
    <w:rsid w:val="00995610"/>
    <w:rsid w:val="009A2C2B"/>
    <w:rsid w:val="009C0704"/>
    <w:rsid w:val="009C682F"/>
    <w:rsid w:val="009D19E4"/>
    <w:rsid w:val="009E0625"/>
    <w:rsid w:val="009E723F"/>
    <w:rsid w:val="009F6214"/>
    <w:rsid w:val="009F7CDF"/>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B17A5"/>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E0378"/>
    <w:rsid w:val="00CF740D"/>
    <w:rsid w:val="00D10F52"/>
    <w:rsid w:val="00D20260"/>
    <w:rsid w:val="00D32102"/>
    <w:rsid w:val="00D46185"/>
    <w:rsid w:val="00D679FB"/>
    <w:rsid w:val="00D77681"/>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4540C"/>
    <w:rsid w:val="00E558DE"/>
    <w:rsid w:val="00E638E4"/>
    <w:rsid w:val="00E70F0F"/>
    <w:rsid w:val="00E72F21"/>
    <w:rsid w:val="00E73319"/>
    <w:rsid w:val="00E83142"/>
    <w:rsid w:val="00E87A23"/>
    <w:rsid w:val="00E96E93"/>
    <w:rsid w:val="00EC6153"/>
    <w:rsid w:val="00ED0CF3"/>
    <w:rsid w:val="00ED1474"/>
    <w:rsid w:val="00ED7098"/>
    <w:rsid w:val="00EE4858"/>
    <w:rsid w:val="00EE4A1A"/>
    <w:rsid w:val="00F172FB"/>
    <w:rsid w:val="00F17B6A"/>
    <w:rsid w:val="00F252F0"/>
    <w:rsid w:val="00F25CA4"/>
    <w:rsid w:val="00F3590F"/>
    <w:rsid w:val="00F66499"/>
    <w:rsid w:val="00F71B95"/>
    <w:rsid w:val="00F72156"/>
    <w:rsid w:val="00F73EF2"/>
    <w:rsid w:val="00F776A6"/>
    <w:rsid w:val="00F8041E"/>
    <w:rsid w:val="00F863B5"/>
    <w:rsid w:val="00FA1E07"/>
    <w:rsid w:val="00FB6A1E"/>
    <w:rsid w:val="00FC52FA"/>
    <w:rsid w:val="00FD2859"/>
    <w:rsid w:val="00FD74B3"/>
    <w:rsid w:val="00FE15CE"/>
    <w:rsid w:val="01000966"/>
    <w:rsid w:val="01025A37"/>
    <w:rsid w:val="01073139"/>
    <w:rsid w:val="011A3DA7"/>
    <w:rsid w:val="012F117F"/>
    <w:rsid w:val="01376FC3"/>
    <w:rsid w:val="0143514E"/>
    <w:rsid w:val="01544DEC"/>
    <w:rsid w:val="01652A87"/>
    <w:rsid w:val="01677FFC"/>
    <w:rsid w:val="01730582"/>
    <w:rsid w:val="017B1E7D"/>
    <w:rsid w:val="01895599"/>
    <w:rsid w:val="01CC2DC5"/>
    <w:rsid w:val="01CD2E21"/>
    <w:rsid w:val="01CD6AEE"/>
    <w:rsid w:val="01D13D6E"/>
    <w:rsid w:val="01E21263"/>
    <w:rsid w:val="01E22B26"/>
    <w:rsid w:val="01FA494A"/>
    <w:rsid w:val="02102371"/>
    <w:rsid w:val="022A2F1B"/>
    <w:rsid w:val="022F72E1"/>
    <w:rsid w:val="023747AF"/>
    <w:rsid w:val="02497F4C"/>
    <w:rsid w:val="025E681D"/>
    <w:rsid w:val="026374DF"/>
    <w:rsid w:val="026808C0"/>
    <w:rsid w:val="027467BF"/>
    <w:rsid w:val="0277699B"/>
    <w:rsid w:val="027F5011"/>
    <w:rsid w:val="028A203B"/>
    <w:rsid w:val="029416B5"/>
    <w:rsid w:val="02DD2867"/>
    <w:rsid w:val="02EB0DDA"/>
    <w:rsid w:val="02F361E7"/>
    <w:rsid w:val="03036481"/>
    <w:rsid w:val="03397257"/>
    <w:rsid w:val="034A2334"/>
    <w:rsid w:val="037346F6"/>
    <w:rsid w:val="039D2DFC"/>
    <w:rsid w:val="03A40C7A"/>
    <w:rsid w:val="03AA362B"/>
    <w:rsid w:val="03B42A21"/>
    <w:rsid w:val="03DB06E3"/>
    <w:rsid w:val="03EA0213"/>
    <w:rsid w:val="0401729D"/>
    <w:rsid w:val="04177243"/>
    <w:rsid w:val="046A0A26"/>
    <w:rsid w:val="048A1780"/>
    <w:rsid w:val="04936D3A"/>
    <w:rsid w:val="04951E83"/>
    <w:rsid w:val="04C7316C"/>
    <w:rsid w:val="04DB539B"/>
    <w:rsid w:val="04F61A33"/>
    <w:rsid w:val="050717C9"/>
    <w:rsid w:val="051818B3"/>
    <w:rsid w:val="05534A4C"/>
    <w:rsid w:val="055E241A"/>
    <w:rsid w:val="057D459A"/>
    <w:rsid w:val="058A4BA6"/>
    <w:rsid w:val="059130A6"/>
    <w:rsid w:val="05AB71DF"/>
    <w:rsid w:val="05B04F70"/>
    <w:rsid w:val="05B70231"/>
    <w:rsid w:val="05B943F0"/>
    <w:rsid w:val="05BB2F75"/>
    <w:rsid w:val="05BD667A"/>
    <w:rsid w:val="05BE62FA"/>
    <w:rsid w:val="05D3081E"/>
    <w:rsid w:val="05DA5C72"/>
    <w:rsid w:val="05E608B1"/>
    <w:rsid w:val="05F73ED5"/>
    <w:rsid w:val="061A04A9"/>
    <w:rsid w:val="062D49D6"/>
    <w:rsid w:val="064005D5"/>
    <w:rsid w:val="06810DEA"/>
    <w:rsid w:val="068F75F6"/>
    <w:rsid w:val="06A17F7C"/>
    <w:rsid w:val="06B03E55"/>
    <w:rsid w:val="06BF736A"/>
    <w:rsid w:val="06D12D14"/>
    <w:rsid w:val="06D575E9"/>
    <w:rsid w:val="06D76DC6"/>
    <w:rsid w:val="06D922CA"/>
    <w:rsid w:val="06DA0EFB"/>
    <w:rsid w:val="06EA39DF"/>
    <w:rsid w:val="06FD7006"/>
    <w:rsid w:val="071271FE"/>
    <w:rsid w:val="071F0D2D"/>
    <w:rsid w:val="073316DF"/>
    <w:rsid w:val="073E5DF1"/>
    <w:rsid w:val="074D5A2A"/>
    <w:rsid w:val="074F7D92"/>
    <w:rsid w:val="075A3B1D"/>
    <w:rsid w:val="075F5C99"/>
    <w:rsid w:val="07762B7A"/>
    <w:rsid w:val="07A84C54"/>
    <w:rsid w:val="07B701FE"/>
    <w:rsid w:val="07C766CF"/>
    <w:rsid w:val="07DC6A26"/>
    <w:rsid w:val="07ED1BAC"/>
    <w:rsid w:val="080F22AE"/>
    <w:rsid w:val="082038E6"/>
    <w:rsid w:val="08380F8C"/>
    <w:rsid w:val="0844355D"/>
    <w:rsid w:val="08715C5A"/>
    <w:rsid w:val="08922920"/>
    <w:rsid w:val="08923B7D"/>
    <w:rsid w:val="08A52531"/>
    <w:rsid w:val="08A5418E"/>
    <w:rsid w:val="08B67BF8"/>
    <w:rsid w:val="08CD39FE"/>
    <w:rsid w:val="08D8719E"/>
    <w:rsid w:val="08E9552D"/>
    <w:rsid w:val="08EA0DB0"/>
    <w:rsid w:val="08F84D58"/>
    <w:rsid w:val="090360D7"/>
    <w:rsid w:val="09091949"/>
    <w:rsid w:val="09103097"/>
    <w:rsid w:val="0926237D"/>
    <w:rsid w:val="0946508E"/>
    <w:rsid w:val="094A4B34"/>
    <w:rsid w:val="09604272"/>
    <w:rsid w:val="09716191"/>
    <w:rsid w:val="099F2A77"/>
    <w:rsid w:val="09A1725A"/>
    <w:rsid w:val="09A940D9"/>
    <w:rsid w:val="09B130F5"/>
    <w:rsid w:val="09C57912"/>
    <w:rsid w:val="09DE7D53"/>
    <w:rsid w:val="0A303BCC"/>
    <w:rsid w:val="0A383860"/>
    <w:rsid w:val="0A654E3F"/>
    <w:rsid w:val="0A7F0E46"/>
    <w:rsid w:val="0A852B6F"/>
    <w:rsid w:val="0A8729A8"/>
    <w:rsid w:val="0AE465EC"/>
    <w:rsid w:val="0B1667CF"/>
    <w:rsid w:val="0B1F1D82"/>
    <w:rsid w:val="0B2058ED"/>
    <w:rsid w:val="0B3550F2"/>
    <w:rsid w:val="0B380F4C"/>
    <w:rsid w:val="0B44748B"/>
    <w:rsid w:val="0B486311"/>
    <w:rsid w:val="0B506FA0"/>
    <w:rsid w:val="0B557BA5"/>
    <w:rsid w:val="0B727CA1"/>
    <w:rsid w:val="0B8514D7"/>
    <w:rsid w:val="0B8F6A85"/>
    <w:rsid w:val="0B9D2FCA"/>
    <w:rsid w:val="0BAD4025"/>
    <w:rsid w:val="0BC10559"/>
    <w:rsid w:val="0BCF786E"/>
    <w:rsid w:val="0C014219"/>
    <w:rsid w:val="0C086258"/>
    <w:rsid w:val="0C105124"/>
    <w:rsid w:val="0C566AD6"/>
    <w:rsid w:val="0C8640F7"/>
    <w:rsid w:val="0C875344"/>
    <w:rsid w:val="0CB046F7"/>
    <w:rsid w:val="0CB25DAB"/>
    <w:rsid w:val="0CC172DE"/>
    <w:rsid w:val="0CC3461A"/>
    <w:rsid w:val="0CDB0CA5"/>
    <w:rsid w:val="0CDC59C6"/>
    <w:rsid w:val="0CE0332B"/>
    <w:rsid w:val="0CF90255"/>
    <w:rsid w:val="0D1862FD"/>
    <w:rsid w:val="0D233F19"/>
    <w:rsid w:val="0D4C1B31"/>
    <w:rsid w:val="0D542420"/>
    <w:rsid w:val="0D5663F1"/>
    <w:rsid w:val="0D637027"/>
    <w:rsid w:val="0D647905"/>
    <w:rsid w:val="0D814F28"/>
    <w:rsid w:val="0DAB2FD3"/>
    <w:rsid w:val="0DB6770F"/>
    <w:rsid w:val="0DD25EA4"/>
    <w:rsid w:val="0DD9599C"/>
    <w:rsid w:val="0DE44AF3"/>
    <w:rsid w:val="0DEB3061"/>
    <w:rsid w:val="0DF9603F"/>
    <w:rsid w:val="0E0B4678"/>
    <w:rsid w:val="0E124052"/>
    <w:rsid w:val="0E1F3AE9"/>
    <w:rsid w:val="0E382C6B"/>
    <w:rsid w:val="0E4004E3"/>
    <w:rsid w:val="0E4B13B1"/>
    <w:rsid w:val="0E550512"/>
    <w:rsid w:val="0E8826CF"/>
    <w:rsid w:val="0E9552C4"/>
    <w:rsid w:val="0EA51596"/>
    <w:rsid w:val="0EB845D0"/>
    <w:rsid w:val="0EC62B9E"/>
    <w:rsid w:val="0EC63CAC"/>
    <w:rsid w:val="0ECF23DA"/>
    <w:rsid w:val="0EDB54E1"/>
    <w:rsid w:val="0EE235F9"/>
    <w:rsid w:val="0EE25498"/>
    <w:rsid w:val="0EF56D96"/>
    <w:rsid w:val="0EF93F8A"/>
    <w:rsid w:val="0EFF74A8"/>
    <w:rsid w:val="0F25222B"/>
    <w:rsid w:val="0F6B7708"/>
    <w:rsid w:val="0F833B19"/>
    <w:rsid w:val="0F9B0FB7"/>
    <w:rsid w:val="0FBC6723"/>
    <w:rsid w:val="0FC8633B"/>
    <w:rsid w:val="0FCA42ED"/>
    <w:rsid w:val="0FCF726C"/>
    <w:rsid w:val="0FD465EA"/>
    <w:rsid w:val="10312C72"/>
    <w:rsid w:val="10345524"/>
    <w:rsid w:val="10612472"/>
    <w:rsid w:val="10D41C56"/>
    <w:rsid w:val="10EA5F4D"/>
    <w:rsid w:val="10F50E12"/>
    <w:rsid w:val="110A6481"/>
    <w:rsid w:val="112E4730"/>
    <w:rsid w:val="1138530D"/>
    <w:rsid w:val="113E06B1"/>
    <w:rsid w:val="11452DE3"/>
    <w:rsid w:val="11910975"/>
    <w:rsid w:val="119A6F5F"/>
    <w:rsid w:val="11B255D8"/>
    <w:rsid w:val="11BB005D"/>
    <w:rsid w:val="11DF2FE2"/>
    <w:rsid w:val="11E869E7"/>
    <w:rsid w:val="11EC5AD8"/>
    <w:rsid w:val="120F5F37"/>
    <w:rsid w:val="121B1B42"/>
    <w:rsid w:val="12205FC9"/>
    <w:rsid w:val="124A6DC8"/>
    <w:rsid w:val="12601E40"/>
    <w:rsid w:val="12745A53"/>
    <w:rsid w:val="127B60B1"/>
    <w:rsid w:val="12845CEE"/>
    <w:rsid w:val="128A7BF7"/>
    <w:rsid w:val="12943D8A"/>
    <w:rsid w:val="12A957B3"/>
    <w:rsid w:val="12AB04B1"/>
    <w:rsid w:val="12B36B88"/>
    <w:rsid w:val="12D33A9A"/>
    <w:rsid w:val="12ED56F7"/>
    <w:rsid w:val="12F2511A"/>
    <w:rsid w:val="12F41825"/>
    <w:rsid w:val="12F42F9E"/>
    <w:rsid w:val="12F72867"/>
    <w:rsid w:val="12FA6FB1"/>
    <w:rsid w:val="13327A1F"/>
    <w:rsid w:val="136B5FEC"/>
    <w:rsid w:val="1370771E"/>
    <w:rsid w:val="1377657B"/>
    <w:rsid w:val="139629E8"/>
    <w:rsid w:val="13B61F78"/>
    <w:rsid w:val="13D05D10"/>
    <w:rsid w:val="13DE536D"/>
    <w:rsid w:val="13E946D3"/>
    <w:rsid w:val="140736AA"/>
    <w:rsid w:val="140A6DEE"/>
    <w:rsid w:val="140E1078"/>
    <w:rsid w:val="14112232"/>
    <w:rsid w:val="14407958"/>
    <w:rsid w:val="144A7BD8"/>
    <w:rsid w:val="14561006"/>
    <w:rsid w:val="14990B95"/>
    <w:rsid w:val="149E7662"/>
    <w:rsid w:val="14A90570"/>
    <w:rsid w:val="14B276F5"/>
    <w:rsid w:val="14F03BE9"/>
    <w:rsid w:val="14F22B67"/>
    <w:rsid w:val="14FA18A1"/>
    <w:rsid w:val="14FD6E82"/>
    <w:rsid w:val="15360ADA"/>
    <w:rsid w:val="154532F3"/>
    <w:rsid w:val="154B6121"/>
    <w:rsid w:val="15624E21"/>
    <w:rsid w:val="15CB4851"/>
    <w:rsid w:val="15D373E9"/>
    <w:rsid w:val="15F72424"/>
    <w:rsid w:val="1616144D"/>
    <w:rsid w:val="161810CD"/>
    <w:rsid w:val="162D35F1"/>
    <w:rsid w:val="1645291A"/>
    <w:rsid w:val="165B311B"/>
    <w:rsid w:val="168E3180"/>
    <w:rsid w:val="16971719"/>
    <w:rsid w:val="16984E9E"/>
    <w:rsid w:val="16B97B66"/>
    <w:rsid w:val="16C005E1"/>
    <w:rsid w:val="16DB2490"/>
    <w:rsid w:val="16FF13CB"/>
    <w:rsid w:val="171A4BA4"/>
    <w:rsid w:val="17200028"/>
    <w:rsid w:val="173D354F"/>
    <w:rsid w:val="17466C20"/>
    <w:rsid w:val="17542F14"/>
    <w:rsid w:val="176B64FB"/>
    <w:rsid w:val="1784481C"/>
    <w:rsid w:val="178D44B2"/>
    <w:rsid w:val="17B51DF3"/>
    <w:rsid w:val="17BE52CB"/>
    <w:rsid w:val="17BF0417"/>
    <w:rsid w:val="17BF4CD6"/>
    <w:rsid w:val="17E06981"/>
    <w:rsid w:val="17E371CE"/>
    <w:rsid w:val="17F141D6"/>
    <w:rsid w:val="17F60A2C"/>
    <w:rsid w:val="1827680C"/>
    <w:rsid w:val="185773FE"/>
    <w:rsid w:val="1864558B"/>
    <w:rsid w:val="18951461"/>
    <w:rsid w:val="189A0759"/>
    <w:rsid w:val="189A116C"/>
    <w:rsid w:val="18A0480B"/>
    <w:rsid w:val="18B07A8C"/>
    <w:rsid w:val="18B57797"/>
    <w:rsid w:val="18C45EA0"/>
    <w:rsid w:val="192A2CF0"/>
    <w:rsid w:val="19436102"/>
    <w:rsid w:val="195548CA"/>
    <w:rsid w:val="196562B6"/>
    <w:rsid w:val="19760808"/>
    <w:rsid w:val="197F6E60"/>
    <w:rsid w:val="19A47CB2"/>
    <w:rsid w:val="19F24626"/>
    <w:rsid w:val="1A040D35"/>
    <w:rsid w:val="1A271BF7"/>
    <w:rsid w:val="1A2D2D49"/>
    <w:rsid w:val="1A331B5B"/>
    <w:rsid w:val="1A395395"/>
    <w:rsid w:val="1A487BAE"/>
    <w:rsid w:val="1A4F772A"/>
    <w:rsid w:val="1A567068"/>
    <w:rsid w:val="1AAB65CD"/>
    <w:rsid w:val="1AB217DB"/>
    <w:rsid w:val="1AC86C3B"/>
    <w:rsid w:val="1AC86E71"/>
    <w:rsid w:val="1AD5489E"/>
    <w:rsid w:val="1AE708E8"/>
    <w:rsid w:val="1AEF1640"/>
    <w:rsid w:val="1AF32A3C"/>
    <w:rsid w:val="1B201E0F"/>
    <w:rsid w:val="1B2B6A6A"/>
    <w:rsid w:val="1B4823AE"/>
    <w:rsid w:val="1B5F5177"/>
    <w:rsid w:val="1B633DA2"/>
    <w:rsid w:val="1B733E18"/>
    <w:rsid w:val="1B821A29"/>
    <w:rsid w:val="1BA9772A"/>
    <w:rsid w:val="1BB9710B"/>
    <w:rsid w:val="1BD01D4C"/>
    <w:rsid w:val="1BD4716C"/>
    <w:rsid w:val="1C371599"/>
    <w:rsid w:val="1C380FDF"/>
    <w:rsid w:val="1C4D32B6"/>
    <w:rsid w:val="1C5565CE"/>
    <w:rsid w:val="1C7D5EAA"/>
    <w:rsid w:val="1C9167EE"/>
    <w:rsid w:val="1CA12827"/>
    <w:rsid w:val="1CAA1916"/>
    <w:rsid w:val="1CB67927"/>
    <w:rsid w:val="1CC27025"/>
    <w:rsid w:val="1CE0619C"/>
    <w:rsid w:val="1CED7C21"/>
    <w:rsid w:val="1CF7097D"/>
    <w:rsid w:val="1D0620AC"/>
    <w:rsid w:val="1D3B002D"/>
    <w:rsid w:val="1D3F1E0A"/>
    <w:rsid w:val="1D481C44"/>
    <w:rsid w:val="1D4C369E"/>
    <w:rsid w:val="1D4D49A3"/>
    <w:rsid w:val="1D5B77A2"/>
    <w:rsid w:val="1D8B1ECB"/>
    <w:rsid w:val="1D90350C"/>
    <w:rsid w:val="1D9B5BEA"/>
    <w:rsid w:val="1D9B79B1"/>
    <w:rsid w:val="1DBD26D8"/>
    <w:rsid w:val="1DD55B80"/>
    <w:rsid w:val="1DF9671D"/>
    <w:rsid w:val="1E0C57E2"/>
    <w:rsid w:val="1E142C79"/>
    <w:rsid w:val="1E1831D9"/>
    <w:rsid w:val="1E20277C"/>
    <w:rsid w:val="1E301266"/>
    <w:rsid w:val="1E311CF4"/>
    <w:rsid w:val="1E3B672C"/>
    <w:rsid w:val="1E3B7C23"/>
    <w:rsid w:val="1E872246"/>
    <w:rsid w:val="1EC15143"/>
    <w:rsid w:val="1EDB753D"/>
    <w:rsid w:val="1EE670DB"/>
    <w:rsid w:val="1EEC5ECB"/>
    <w:rsid w:val="1F0417AA"/>
    <w:rsid w:val="1F0771F7"/>
    <w:rsid w:val="1F0C367F"/>
    <w:rsid w:val="1F181690"/>
    <w:rsid w:val="1F20231F"/>
    <w:rsid w:val="1F210EA4"/>
    <w:rsid w:val="1F2C5050"/>
    <w:rsid w:val="1F3C1C4F"/>
    <w:rsid w:val="1F4160D7"/>
    <w:rsid w:val="1F8467C0"/>
    <w:rsid w:val="1FC32D3C"/>
    <w:rsid w:val="1FCE3419"/>
    <w:rsid w:val="1FDF68D4"/>
    <w:rsid w:val="1FE1434B"/>
    <w:rsid w:val="1FE76865"/>
    <w:rsid w:val="201209AE"/>
    <w:rsid w:val="20143EB1"/>
    <w:rsid w:val="202D3756"/>
    <w:rsid w:val="203B6A64"/>
    <w:rsid w:val="203C0F3E"/>
    <w:rsid w:val="2043117D"/>
    <w:rsid w:val="20472821"/>
    <w:rsid w:val="205723D6"/>
    <w:rsid w:val="20577E1E"/>
    <w:rsid w:val="205D6D61"/>
    <w:rsid w:val="2067700F"/>
    <w:rsid w:val="206C4540"/>
    <w:rsid w:val="206D1FC1"/>
    <w:rsid w:val="207164F6"/>
    <w:rsid w:val="208479E8"/>
    <w:rsid w:val="2086014F"/>
    <w:rsid w:val="208B4DF4"/>
    <w:rsid w:val="2099755C"/>
    <w:rsid w:val="209B13A7"/>
    <w:rsid w:val="209C01F1"/>
    <w:rsid w:val="209E3C1D"/>
    <w:rsid w:val="20AE5F95"/>
    <w:rsid w:val="20B004AC"/>
    <w:rsid w:val="20B14A96"/>
    <w:rsid w:val="20C30941"/>
    <w:rsid w:val="20F71F25"/>
    <w:rsid w:val="20FA7627"/>
    <w:rsid w:val="20FF7332"/>
    <w:rsid w:val="211B33DF"/>
    <w:rsid w:val="211C0E60"/>
    <w:rsid w:val="211D68E2"/>
    <w:rsid w:val="2145163A"/>
    <w:rsid w:val="214D728A"/>
    <w:rsid w:val="21641254"/>
    <w:rsid w:val="21681F50"/>
    <w:rsid w:val="21924322"/>
    <w:rsid w:val="219A53BA"/>
    <w:rsid w:val="21C4641B"/>
    <w:rsid w:val="21C4685C"/>
    <w:rsid w:val="21C57FF4"/>
    <w:rsid w:val="221E3F06"/>
    <w:rsid w:val="222F38A7"/>
    <w:rsid w:val="224D0C96"/>
    <w:rsid w:val="224F19D2"/>
    <w:rsid w:val="226C084E"/>
    <w:rsid w:val="228B2BD2"/>
    <w:rsid w:val="228C453A"/>
    <w:rsid w:val="22963C78"/>
    <w:rsid w:val="22B221FB"/>
    <w:rsid w:val="22CA07F8"/>
    <w:rsid w:val="22CF3D37"/>
    <w:rsid w:val="230D1610"/>
    <w:rsid w:val="23125A98"/>
    <w:rsid w:val="23243364"/>
    <w:rsid w:val="232721BA"/>
    <w:rsid w:val="233E3A7C"/>
    <w:rsid w:val="234C2AA6"/>
    <w:rsid w:val="236741AC"/>
    <w:rsid w:val="236A1CE2"/>
    <w:rsid w:val="236A6126"/>
    <w:rsid w:val="2393271A"/>
    <w:rsid w:val="23972673"/>
    <w:rsid w:val="239E0EFF"/>
    <w:rsid w:val="23DB2F62"/>
    <w:rsid w:val="23E3036F"/>
    <w:rsid w:val="240A48EB"/>
    <w:rsid w:val="240E77C4"/>
    <w:rsid w:val="241E5E86"/>
    <w:rsid w:val="243800B7"/>
    <w:rsid w:val="243A6885"/>
    <w:rsid w:val="246D1D10"/>
    <w:rsid w:val="249561ED"/>
    <w:rsid w:val="24B0569C"/>
    <w:rsid w:val="24D24ADD"/>
    <w:rsid w:val="24F00D05"/>
    <w:rsid w:val="24F324BC"/>
    <w:rsid w:val="24FA77B3"/>
    <w:rsid w:val="25174EE8"/>
    <w:rsid w:val="251F094C"/>
    <w:rsid w:val="25380CA0"/>
    <w:rsid w:val="253F2829"/>
    <w:rsid w:val="256E2074"/>
    <w:rsid w:val="259A23EF"/>
    <w:rsid w:val="25AA7CDA"/>
    <w:rsid w:val="25DA3324"/>
    <w:rsid w:val="25DC41F0"/>
    <w:rsid w:val="26047C46"/>
    <w:rsid w:val="26084D39"/>
    <w:rsid w:val="260F5F86"/>
    <w:rsid w:val="26136D38"/>
    <w:rsid w:val="26224E2C"/>
    <w:rsid w:val="2626635B"/>
    <w:rsid w:val="266C2032"/>
    <w:rsid w:val="26886044"/>
    <w:rsid w:val="269D6AF1"/>
    <w:rsid w:val="26A229EB"/>
    <w:rsid w:val="26B07208"/>
    <w:rsid w:val="26DB4427"/>
    <w:rsid w:val="26DC1351"/>
    <w:rsid w:val="26E06B7B"/>
    <w:rsid w:val="27253303"/>
    <w:rsid w:val="27327E94"/>
    <w:rsid w:val="274A1FF1"/>
    <w:rsid w:val="27541A0C"/>
    <w:rsid w:val="27570B03"/>
    <w:rsid w:val="275C556D"/>
    <w:rsid w:val="27620BBB"/>
    <w:rsid w:val="27695357"/>
    <w:rsid w:val="277A68D1"/>
    <w:rsid w:val="277F610B"/>
    <w:rsid w:val="27914141"/>
    <w:rsid w:val="279D398E"/>
    <w:rsid w:val="27C44A41"/>
    <w:rsid w:val="27CE415D"/>
    <w:rsid w:val="27D22A33"/>
    <w:rsid w:val="27F51D32"/>
    <w:rsid w:val="27F640F4"/>
    <w:rsid w:val="27F66E2D"/>
    <w:rsid w:val="281954D5"/>
    <w:rsid w:val="283E338B"/>
    <w:rsid w:val="2882098E"/>
    <w:rsid w:val="289277EB"/>
    <w:rsid w:val="289870A9"/>
    <w:rsid w:val="289B47AA"/>
    <w:rsid w:val="28AB4A44"/>
    <w:rsid w:val="28AC1CB9"/>
    <w:rsid w:val="28AC20DB"/>
    <w:rsid w:val="28BC7F2A"/>
    <w:rsid w:val="28C9248A"/>
    <w:rsid w:val="28DB75C8"/>
    <w:rsid w:val="28F07737"/>
    <w:rsid w:val="29115E0A"/>
    <w:rsid w:val="2929681E"/>
    <w:rsid w:val="293554AB"/>
    <w:rsid w:val="29483920"/>
    <w:rsid w:val="296D7DC6"/>
    <w:rsid w:val="297A063A"/>
    <w:rsid w:val="297D4D9D"/>
    <w:rsid w:val="298F0254"/>
    <w:rsid w:val="299327C4"/>
    <w:rsid w:val="299B2824"/>
    <w:rsid w:val="299E5153"/>
    <w:rsid w:val="29A04058"/>
    <w:rsid w:val="29A617E4"/>
    <w:rsid w:val="29B053B1"/>
    <w:rsid w:val="29C1200E"/>
    <w:rsid w:val="29D020A8"/>
    <w:rsid w:val="29D954B6"/>
    <w:rsid w:val="29E262CE"/>
    <w:rsid w:val="29E56D4B"/>
    <w:rsid w:val="2A0579F1"/>
    <w:rsid w:val="2A1A5F20"/>
    <w:rsid w:val="2A397D00"/>
    <w:rsid w:val="2A7347CA"/>
    <w:rsid w:val="2A8F082C"/>
    <w:rsid w:val="2A982071"/>
    <w:rsid w:val="2A9A571C"/>
    <w:rsid w:val="2A9E34BD"/>
    <w:rsid w:val="2AA20D6D"/>
    <w:rsid w:val="2AA770CC"/>
    <w:rsid w:val="2ABD77DA"/>
    <w:rsid w:val="2AC90642"/>
    <w:rsid w:val="2AD51ED6"/>
    <w:rsid w:val="2AEF2A80"/>
    <w:rsid w:val="2AF12700"/>
    <w:rsid w:val="2B027310"/>
    <w:rsid w:val="2B0B6B2D"/>
    <w:rsid w:val="2B2960DD"/>
    <w:rsid w:val="2B6D742E"/>
    <w:rsid w:val="2B9A7696"/>
    <w:rsid w:val="2B9C061A"/>
    <w:rsid w:val="2BA31C9A"/>
    <w:rsid w:val="2BC873FF"/>
    <w:rsid w:val="2BD32CF3"/>
    <w:rsid w:val="2BDE6699"/>
    <w:rsid w:val="2BFF0A2C"/>
    <w:rsid w:val="2C08354D"/>
    <w:rsid w:val="2C28055F"/>
    <w:rsid w:val="2C486535"/>
    <w:rsid w:val="2C6303E3"/>
    <w:rsid w:val="2C8638F4"/>
    <w:rsid w:val="2C986508"/>
    <w:rsid w:val="2CA220C6"/>
    <w:rsid w:val="2CAE175C"/>
    <w:rsid w:val="2CB36875"/>
    <w:rsid w:val="2CBE1E5A"/>
    <w:rsid w:val="2CCA452B"/>
    <w:rsid w:val="2CCB328B"/>
    <w:rsid w:val="2CD20C43"/>
    <w:rsid w:val="2CD942AD"/>
    <w:rsid w:val="2CDB3525"/>
    <w:rsid w:val="2CFB185B"/>
    <w:rsid w:val="2D4C60FE"/>
    <w:rsid w:val="2D557EA4"/>
    <w:rsid w:val="2D607001"/>
    <w:rsid w:val="2D6B237C"/>
    <w:rsid w:val="2D776C27"/>
    <w:rsid w:val="2D946557"/>
    <w:rsid w:val="2DA548DE"/>
    <w:rsid w:val="2DE635FF"/>
    <w:rsid w:val="2DF54D0D"/>
    <w:rsid w:val="2E075211"/>
    <w:rsid w:val="2E3B6201"/>
    <w:rsid w:val="2E4975D6"/>
    <w:rsid w:val="2E6B7761"/>
    <w:rsid w:val="2E7E3F56"/>
    <w:rsid w:val="2E817B5D"/>
    <w:rsid w:val="2E8B79E8"/>
    <w:rsid w:val="2EA24A72"/>
    <w:rsid w:val="2EA62D25"/>
    <w:rsid w:val="2EB2257E"/>
    <w:rsid w:val="2EDA2CD0"/>
    <w:rsid w:val="2EE24644"/>
    <w:rsid w:val="2EFF458F"/>
    <w:rsid w:val="2F031C30"/>
    <w:rsid w:val="2F0E473E"/>
    <w:rsid w:val="2F0F70B2"/>
    <w:rsid w:val="2F200037"/>
    <w:rsid w:val="2F33015C"/>
    <w:rsid w:val="2F3F19BA"/>
    <w:rsid w:val="2F417517"/>
    <w:rsid w:val="2F47774C"/>
    <w:rsid w:val="2F5359C0"/>
    <w:rsid w:val="2F656CE0"/>
    <w:rsid w:val="2F8B01FE"/>
    <w:rsid w:val="2F8C0890"/>
    <w:rsid w:val="2F8F4830"/>
    <w:rsid w:val="2F945B23"/>
    <w:rsid w:val="2F977D40"/>
    <w:rsid w:val="2FA3253D"/>
    <w:rsid w:val="2FDA7525"/>
    <w:rsid w:val="2FDC28DD"/>
    <w:rsid w:val="2FE51A26"/>
    <w:rsid w:val="2FF96FBE"/>
    <w:rsid w:val="30037D25"/>
    <w:rsid w:val="303E560C"/>
    <w:rsid w:val="306A2F4D"/>
    <w:rsid w:val="306C496A"/>
    <w:rsid w:val="30805551"/>
    <w:rsid w:val="308B721F"/>
    <w:rsid w:val="30A67045"/>
    <w:rsid w:val="30B6355D"/>
    <w:rsid w:val="30C26600"/>
    <w:rsid w:val="30D47270"/>
    <w:rsid w:val="30E468C3"/>
    <w:rsid w:val="310B72F5"/>
    <w:rsid w:val="311E65CB"/>
    <w:rsid w:val="312B220F"/>
    <w:rsid w:val="312B28BA"/>
    <w:rsid w:val="313553C8"/>
    <w:rsid w:val="314164ED"/>
    <w:rsid w:val="315658FD"/>
    <w:rsid w:val="31627191"/>
    <w:rsid w:val="31945786"/>
    <w:rsid w:val="319F0024"/>
    <w:rsid w:val="31C83D02"/>
    <w:rsid w:val="3201709B"/>
    <w:rsid w:val="320D2EAD"/>
    <w:rsid w:val="321005AF"/>
    <w:rsid w:val="32250554"/>
    <w:rsid w:val="32312769"/>
    <w:rsid w:val="32640138"/>
    <w:rsid w:val="326957C5"/>
    <w:rsid w:val="328208EE"/>
    <w:rsid w:val="329B0193"/>
    <w:rsid w:val="329D070B"/>
    <w:rsid w:val="32A77828"/>
    <w:rsid w:val="32B64A78"/>
    <w:rsid w:val="32D12096"/>
    <w:rsid w:val="32D528F6"/>
    <w:rsid w:val="32DC24AC"/>
    <w:rsid w:val="331423DB"/>
    <w:rsid w:val="332B2000"/>
    <w:rsid w:val="3332520E"/>
    <w:rsid w:val="33350391"/>
    <w:rsid w:val="33537941"/>
    <w:rsid w:val="33583CFC"/>
    <w:rsid w:val="335E289D"/>
    <w:rsid w:val="33666962"/>
    <w:rsid w:val="337A42AC"/>
    <w:rsid w:val="339148F1"/>
    <w:rsid w:val="3399077E"/>
    <w:rsid w:val="33BA74F4"/>
    <w:rsid w:val="33BE531D"/>
    <w:rsid w:val="33C01934"/>
    <w:rsid w:val="33D00590"/>
    <w:rsid w:val="33D8445E"/>
    <w:rsid w:val="33DD134C"/>
    <w:rsid w:val="34034262"/>
    <w:rsid w:val="340764EB"/>
    <w:rsid w:val="340A4E8F"/>
    <w:rsid w:val="3421767F"/>
    <w:rsid w:val="342C1B79"/>
    <w:rsid w:val="343D3142"/>
    <w:rsid w:val="343E64E2"/>
    <w:rsid w:val="34485EEE"/>
    <w:rsid w:val="345F2981"/>
    <w:rsid w:val="34622FB8"/>
    <w:rsid w:val="346C4C7C"/>
    <w:rsid w:val="346E2270"/>
    <w:rsid w:val="348A4E22"/>
    <w:rsid w:val="34C65D87"/>
    <w:rsid w:val="34CB752E"/>
    <w:rsid w:val="34EB7A22"/>
    <w:rsid w:val="34FD6E8D"/>
    <w:rsid w:val="3523213B"/>
    <w:rsid w:val="352A50E1"/>
    <w:rsid w:val="3530556F"/>
    <w:rsid w:val="353C6DE4"/>
    <w:rsid w:val="354E655F"/>
    <w:rsid w:val="35534E88"/>
    <w:rsid w:val="355E5E0A"/>
    <w:rsid w:val="35615ADC"/>
    <w:rsid w:val="3582734B"/>
    <w:rsid w:val="35AC681C"/>
    <w:rsid w:val="35CD5459"/>
    <w:rsid w:val="35D905E4"/>
    <w:rsid w:val="35E9634C"/>
    <w:rsid w:val="35FF6626"/>
    <w:rsid w:val="360175AB"/>
    <w:rsid w:val="361C5565"/>
    <w:rsid w:val="36371547"/>
    <w:rsid w:val="36601B42"/>
    <w:rsid w:val="36613790"/>
    <w:rsid w:val="369234E5"/>
    <w:rsid w:val="36933296"/>
    <w:rsid w:val="36AC7358"/>
    <w:rsid w:val="36B44A60"/>
    <w:rsid w:val="36D2111C"/>
    <w:rsid w:val="36D665F2"/>
    <w:rsid w:val="372F134C"/>
    <w:rsid w:val="374B4FC3"/>
    <w:rsid w:val="375D72B6"/>
    <w:rsid w:val="37B855F7"/>
    <w:rsid w:val="37B874F7"/>
    <w:rsid w:val="37D93843"/>
    <w:rsid w:val="37E47740"/>
    <w:rsid w:val="37E73F88"/>
    <w:rsid w:val="37ED004F"/>
    <w:rsid w:val="37FF29D8"/>
    <w:rsid w:val="382754A5"/>
    <w:rsid w:val="385E09D5"/>
    <w:rsid w:val="38657E6D"/>
    <w:rsid w:val="38742384"/>
    <w:rsid w:val="389A2C0F"/>
    <w:rsid w:val="38A16656"/>
    <w:rsid w:val="38C90CB7"/>
    <w:rsid w:val="38DA7B42"/>
    <w:rsid w:val="38EE4BC1"/>
    <w:rsid w:val="38F73D85"/>
    <w:rsid w:val="38FF7129"/>
    <w:rsid w:val="39072D1B"/>
    <w:rsid w:val="391242B8"/>
    <w:rsid w:val="39282295"/>
    <w:rsid w:val="39536BA5"/>
    <w:rsid w:val="39665366"/>
    <w:rsid w:val="39930ABA"/>
    <w:rsid w:val="3997260A"/>
    <w:rsid w:val="39B83248"/>
    <w:rsid w:val="39C0202C"/>
    <w:rsid w:val="39CA242A"/>
    <w:rsid w:val="39CC17DF"/>
    <w:rsid w:val="39CF761E"/>
    <w:rsid w:val="39D001E5"/>
    <w:rsid w:val="39DA01D9"/>
    <w:rsid w:val="39DF07FF"/>
    <w:rsid w:val="39E807DD"/>
    <w:rsid w:val="39FF05EC"/>
    <w:rsid w:val="3A102429"/>
    <w:rsid w:val="3A2B2E7D"/>
    <w:rsid w:val="3A2D1902"/>
    <w:rsid w:val="3A384CD4"/>
    <w:rsid w:val="3A566A65"/>
    <w:rsid w:val="3A5B144E"/>
    <w:rsid w:val="3A724207"/>
    <w:rsid w:val="3A733271"/>
    <w:rsid w:val="3A7F7B67"/>
    <w:rsid w:val="3A946669"/>
    <w:rsid w:val="3A9B0BB2"/>
    <w:rsid w:val="3AA1633F"/>
    <w:rsid w:val="3AA472C4"/>
    <w:rsid w:val="3AA72446"/>
    <w:rsid w:val="3AB544EE"/>
    <w:rsid w:val="3AD56EF8"/>
    <w:rsid w:val="3AD8246F"/>
    <w:rsid w:val="3AE660EE"/>
    <w:rsid w:val="3AE96733"/>
    <w:rsid w:val="3AED7D56"/>
    <w:rsid w:val="3AFC2B5F"/>
    <w:rsid w:val="3B111E76"/>
    <w:rsid w:val="3B11613A"/>
    <w:rsid w:val="3B1F5B6E"/>
    <w:rsid w:val="3B3C3EF3"/>
    <w:rsid w:val="3B7612EA"/>
    <w:rsid w:val="3B88672B"/>
    <w:rsid w:val="3B9349CE"/>
    <w:rsid w:val="3BA14043"/>
    <w:rsid w:val="3BA23963"/>
    <w:rsid w:val="3BA269CE"/>
    <w:rsid w:val="3BA7366E"/>
    <w:rsid w:val="3BB4421F"/>
    <w:rsid w:val="3BB76232"/>
    <w:rsid w:val="3BBB11DD"/>
    <w:rsid w:val="3BBB488D"/>
    <w:rsid w:val="3BC4191A"/>
    <w:rsid w:val="3BCD29CE"/>
    <w:rsid w:val="3BD04269"/>
    <w:rsid w:val="3BF51882"/>
    <w:rsid w:val="3BF961F6"/>
    <w:rsid w:val="3C1E6B30"/>
    <w:rsid w:val="3C594574"/>
    <w:rsid w:val="3C5B3823"/>
    <w:rsid w:val="3C5E53AF"/>
    <w:rsid w:val="3C797BA7"/>
    <w:rsid w:val="3CB834AB"/>
    <w:rsid w:val="3CB8523E"/>
    <w:rsid w:val="3CBD7933"/>
    <w:rsid w:val="3CC95DCA"/>
    <w:rsid w:val="3CF16B08"/>
    <w:rsid w:val="3CF170C2"/>
    <w:rsid w:val="3CF61934"/>
    <w:rsid w:val="3CFC097E"/>
    <w:rsid w:val="3D2C4D88"/>
    <w:rsid w:val="3D2F43EF"/>
    <w:rsid w:val="3D837140"/>
    <w:rsid w:val="3D8C6D07"/>
    <w:rsid w:val="3D8F308C"/>
    <w:rsid w:val="3D9372DA"/>
    <w:rsid w:val="3DB345D3"/>
    <w:rsid w:val="3DBA6551"/>
    <w:rsid w:val="3DC27553"/>
    <w:rsid w:val="3DCE0A75"/>
    <w:rsid w:val="3DF641B8"/>
    <w:rsid w:val="3DFA2BBE"/>
    <w:rsid w:val="3DFA69F1"/>
    <w:rsid w:val="3DFD5D41"/>
    <w:rsid w:val="3E0F3A5D"/>
    <w:rsid w:val="3E170CE3"/>
    <w:rsid w:val="3E412892"/>
    <w:rsid w:val="3E4177CA"/>
    <w:rsid w:val="3E546750"/>
    <w:rsid w:val="3E690C74"/>
    <w:rsid w:val="3E7C1594"/>
    <w:rsid w:val="3E80523B"/>
    <w:rsid w:val="3E9C1829"/>
    <w:rsid w:val="3E9D00C7"/>
    <w:rsid w:val="3EA242D1"/>
    <w:rsid w:val="3EAC4BE0"/>
    <w:rsid w:val="3EAD4E1E"/>
    <w:rsid w:val="3EBE03C7"/>
    <w:rsid w:val="3EBF1682"/>
    <w:rsid w:val="3EE3540F"/>
    <w:rsid w:val="3EF8725E"/>
    <w:rsid w:val="3EF94CDF"/>
    <w:rsid w:val="3EFF5E5D"/>
    <w:rsid w:val="3F3A0898"/>
    <w:rsid w:val="3F8810CB"/>
    <w:rsid w:val="3F9C1A6B"/>
    <w:rsid w:val="3FCC7236"/>
    <w:rsid w:val="3FD910E0"/>
    <w:rsid w:val="3FDD07D5"/>
    <w:rsid w:val="3FE841E8"/>
    <w:rsid w:val="3FEA6E5B"/>
    <w:rsid w:val="3FEB336E"/>
    <w:rsid w:val="3FEE2A7D"/>
    <w:rsid w:val="403065DD"/>
    <w:rsid w:val="404068C1"/>
    <w:rsid w:val="404D5F3C"/>
    <w:rsid w:val="40612ED8"/>
    <w:rsid w:val="40704B5E"/>
    <w:rsid w:val="407F2196"/>
    <w:rsid w:val="40827067"/>
    <w:rsid w:val="40862539"/>
    <w:rsid w:val="40C205EF"/>
    <w:rsid w:val="40E86709"/>
    <w:rsid w:val="40F33589"/>
    <w:rsid w:val="40FC0C2D"/>
    <w:rsid w:val="410545C4"/>
    <w:rsid w:val="41247D0A"/>
    <w:rsid w:val="412C68BB"/>
    <w:rsid w:val="4141009C"/>
    <w:rsid w:val="41456AA2"/>
    <w:rsid w:val="415625C0"/>
    <w:rsid w:val="416B6CE2"/>
    <w:rsid w:val="416F06F6"/>
    <w:rsid w:val="417253E3"/>
    <w:rsid w:val="4176549D"/>
    <w:rsid w:val="417F4852"/>
    <w:rsid w:val="41824BB7"/>
    <w:rsid w:val="4185310F"/>
    <w:rsid w:val="41900CBE"/>
    <w:rsid w:val="419F5627"/>
    <w:rsid w:val="41BD3269"/>
    <w:rsid w:val="41C15E14"/>
    <w:rsid w:val="41F03023"/>
    <w:rsid w:val="420A5094"/>
    <w:rsid w:val="421E5985"/>
    <w:rsid w:val="42282918"/>
    <w:rsid w:val="423647EF"/>
    <w:rsid w:val="42424E2B"/>
    <w:rsid w:val="424B3DD2"/>
    <w:rsid w:val="426E308D"/>
    <w:rsid w:val="4279149A"/>
    <w:rsid w:val="42846D04"/>
    <w:rsid w:val="428C6DBA"/>
    <w:rsid w:val="42A42936"/>
    <w:rsid w:val="42A440DD"/>
    <w:rsid w:val="42A61525"/>
    <w:rsid w:val="42BC2E2F"/>
    <w:rsid w:val="42E4524A"/>
    <w:rsid w:val="42ED60D4"/>
    <w:rsid w:val="43126776"/>
    <w:rsid w:val="43137E8F"/>
    <w:rsid w:val="43397DE9"/>
    <w:rsid w:val="43C57DBB"/>
    <w:rsid w:val="43FF6C9B"/>
    <w:rsid w:val="440918BF"/>
    <w:rsid w:val="44176C40"/>
    <w:rsid w:val="44334DD9"/>
    <w:rsid w:val="443416F4"/>
    <w:rsid w:val="44624C49"/>
    <w:rsid w:val="446908C9"/>
    <w:rsid w:val="446E0B5A"/>
    <w:rsid w:val="447943E7"/>
    <w:rsid w:val="44852CCE"/>
    <w:rsid w:val="448A687F"/>
    <w:rsid w:val="44A11F28"/>
    <w:rsid w:val="44B14582"/>
    <w:rsid w:val="44B41D30"/>
    <w:rsid w:val="44BF3856"/>
    <w:rsid w:val="44C37CDE"/>
    <w:rsid w:val="44C479BF"/>
    <w:rsid w:val="44D00654"/>
    <w:rsid w:val="44D91E82"/>
    <w:rsid w:val="44E66F99"/>
    <w:rsid w:val="44F54447"/>
    <w:rsid w:val="45192C6B"/>
    <w:rsid w:val="451C3BF0"/>
    <w:rsid w:val="45252960"/>
    <w:rsid w:val="45261A5D"/>
    <w:rsid w:val="452F1464"/>
    <w:rsid w:val="454C693D"/>
    <w:rsid w:val="455622FC"/>
    <w:rsid w:val="459270B2"/>
    <w:rsid w:val="45A602D1"/>
    <w:rsid w:val="45A61BBD"/>
    <w:rsid w:val="45E26ECE"/>
    <w:rsid w:val="45EA0CC0"/>
    <w:rsid w:val="45EB6DBA"/>
    <w:rsid w:val="45F57156"/>
    <w:rsid w:val="460744D3"/>
    <w:rsid w:val="46084AF2"/>
    <w:rsid w:val="461079FC"/>
    <w:rsid w:val="463047C1"/>
    <w:rsid w:val="46507866"/>
    <w:rsid w:val="465A1DC0"/>
    <w:rsid w:val="465D1FFE"/>
    <w:rsid w:val="466F1AF5"/>
    <w:rsid w:val="46763F15"/>
    <w:rsid w:val="46A3045A"/>
    <w:rsid w:val="46A94314"/>
    <w:rsid w:val="46D21A4A"/>
    <w:rsid w:val="47064A15"/>
    <w:rsid w:val="47620B70"/>
    <w:rsid w:val="47687CA3"/>
    <w:rsid w:val="4774202F"/>
    <w:rsid w:val="47D01B77"/>
    <w:rsid w:val="47E70CD5"/>
    <w:rsid w:val="47F051A6"/>
    <w:rsid w:val="47F51D10"/>
    <w:rsid w:val="481C4831"/>
    <w:rsid w:val="48274AEC"/>
    <w:rsid w:val="48344520"/>
    <w:rsid w:val="48405A16"/>
    <w:rsid w:val="48410F19"/>
    <w:rsid w:val="48481E35"/>
    <w:rsid w:val="485559BC"/>
    <w:rsid w:val="48921B76"/>
    <w:rsid w:val="489C38B5"/>
    <w:rsid w:val="48D6720F"/>
    <w:rsid w:val="48E64688"/>
    <w:rsid w:val="48F92C46"/>
    <w:rsid w:val="49073B7A"/>
    <w:rsid w:val="490D7966"/>
    <w:rsid w:val="49154775"/>
    <w:rsid w:val="49647D77"/>
    <w:rsid w:val="496660DB"/>
    <w:rsid w:val="49785290"/>
    <w:rsid w:val="49796A18"/>
    <w:rsid w:val="498A6676"/>
    <w:rsid w:val="498A6AD8"/>
    <w:rsid w:val="498B1946"/>
    <w:rsid w:val="498D4320"/>
    <w:rsid w:val="499275C2"/>
    <w:rsid w:val="499E41D1"/>
    <w:rsid w:val="49B05850"/>
    <w:rsid w:val="49BB4AD7"/>
    <w:rsid w:val="49C70EAD"/>
    <w:rsid w:val="49CF6AE4"/>
    <w:rsid w:val="49E96808"/>
    <w:rsid w:val="49F805EB"/>
    <w:rsid w:val="49FE46F2"/>
    <w:rsid w:val="4A061AFF"/>
    <w:rsid w:val="4A171940"/>
    <w:rsid w:val="4A200D2B"/>
    <w:rsid w:val="4A235542"/>
    <w:rsid w:val="4A267E35"/>
    <w:rsid w:val="4A285F6A"/>
    <w:rsid w:val="4A367339"/>
    <w:rsid w:val="4A3A645F"/>
    <w:rsid w:val="4A4E737E"/>
    <w:rsid w:val="4A566AF7"/>
    <w:rsid w:val="4A602363"/>
    <w:rsid w:val="4A664D4B"/>
    <w:rsid w:val="4A702023"/>
    <w:rsid w:val="4A743162"/>
    <w:rsid w:val="4AE07264"/>
    <w:rsid w:val="4AF57209"/>
    <w:rsid w:val="4B05554D"/>
    <w:rsid w:val="4B0E2331"/>
    <w:rsid w:val="4B126756"/>
    <w:rsid w:val="4B1B7449"/>
    <w:rsid w:val="4B54013D"/>
    <w:rsid w:val="4B5E5853"/>
    <w:rsid w:val="4B6338E3"/>
    <w:rsid w:val="4B814DB8"/>
    <w:rsid w:val="4B9A1F15"/>
    <w:rsid w:val="4BB17D56"/>
    <w:rsid w:val="4BB772C7"/>
    <w:rsid w:val="4BE1161D"/>
    <w:rsid w:val="4BE82B8F"/>
    <w:rsid w:val="4BF3134B"/>
    <w:rsid w:val="4C0515C4"/>
    <w:rsid w:val="4C074476"/>
    <w:rsid w:val="4C1D4993"/>
    <w:rsid w:val="4C3B4185"/>
    <w:rsid w:val="4C3C5B7B"/>
    <w:rsid w:val="4C523C1F"/>
    <w:rsid w:val="4C5F19D6"/>
    <w:rsid w:val="4C6B47EC"/>
    <w:rsid w:val="4C813BD9"/>
    <w:rsid w:val="4C9C7BF1"/>
    <w:rsid w:val="4CC22C7C"/>
    <w:rsid w:val="4CC7368B"/>
    <w:rsid w:val="4CC74B97"/>
    <w:rsid w:val="4CC90409"/>
    <w:rsid w:val="4CDF0715"/>
    <w:rsid w:val="4CE15069"/>
    <w:rsid w:val="4CF40625"/>
    <w:rsid w:val="4CFA6659"/>
    <w:rsid w:val="4D0912F2"/>
    <w:rsid w:val="4D131782"/>
    <w:rsid w:val="4D39745F"/>
    <w:rsid w:val="4D585C9F"/>
    <w:rsid w:val="4D5F057C"/>
    <w:rsid w:val="4D606513"/>
    <w:rsid w:val="4D74728E"/>
    <w:rsid w:val="4D817BB7"/>
    <w:rsid w:val="4D860AD4"/>
    <w:rsid w:val="4D977DB6"/>
    <w:rsid w:val="4DB53509"/>
    <w:rsid w:val="4DBB0C96"/>
    <w:rsid w:val="4DD32205"/>
    <w:rsid w:val="4DDB6E33"/>
    <w:rsid w:val="4DDC3013"/>
    <w:rsid w:val="4DE07BD1"/>
    <w:rsid w:val="4DE41F1D"/>
    <w:rsid w:val="4DE63C33"/>
    <w:rsid w:val="4DE962E2"/>
    <w:rsid w:val="4DF85277"/>
    <w:rsid w:val="4E152629"/>
    <w:rsid w:val="4E1857AC"/>
    <w:rsid w:val="4E4F4430"/>
    <w:rsid w:val="4E5E7CD8"/>
    <w:rsid w:val="4E8B1C92"/>
    <w:rsid w:val="4EA9509B"/>
    <w:rsid w:val="4ECC2001"/>
    <w:rsid w:val="4EE7694C"/>
    <w:rsid w:val="4F122F12"/>
    <w:rsid w:val="4F135D52"/>
    <w:rsid w:val="4F1F6120"/>
    <w:rsid w:val="4F383D90"/>
    <w:rsid w:val="4F391107"/>
    <w:rsid w:val="4F451C82"/>
    <w:rsid w:val="4F4824F5"/>
    <w:rsid w:val="4F763691"/>
    <w:rsid w:val="4FC122E5"/>
    <w:rsid w:val="4FCB7D11"/>
    <w:rsid w:val="4FD41305"/>
    <w:rsid w:val="4FDC6CDB"/>
    <w:rsid w:val="4FE0099B"/>
    <w:rsid w:val="4FF260E2"/>
    <w:rsid w:val="4FFA6FC7"/>
    <w:rsid w:val="50071B5B"/>
    <w:rsid w:val="502D65EE"/>
    <w:rsid w:val="505C7F65"/>
    <w:rsid w:val="50602399"/>
    <w:rsid w:val="506917F9"/>
    <w:rsid w:val="506E164D"/>
    <w:rsid w:val="508C0AB4"/>
    <w:rsid w:val="50C81F06"/>
    <w:rsid w:val="50D024A2"/>
    <w:rsid w:val="50DA4FC8"/>
    <w:rsid w:val="50DD17B8"/>
    <w:rsid w:val="50E517A3"/>
    <w:rsid w:val="50E86A91"/>
    <w:rsid w:val="50ED2F8D"/>
    <w:rsid w:val="50F22414"/>
    <w:rsid w:val="51137A93"/>
    <w:rsid w:val="511604C0"/>
    <w:rsid w:val="51180B8E"/>
    <w:rsid w:val="512222AC"/>
    <w:rsid w:val="51241F2C"/>
    <w:rsid w:val="51521776"/>
    <w:rsid w:val="515258A5"/>
    <w:rsid w:val="516156AA"/>
    <w:rsid w:val="51636184"/>
    <w:rsid w:val="516C3346"/>
    <w:rsid w:val="51813034"/>
    <w:rsid w:val="519114AF"/>
    <w:rsid w:val="51937FE1"/>
    <w:rsid w:val="519537FA"/>
    <w:rsid w:val="51955C12"/>
    <w:rsid w:val="51A70D3B"/>
    <w:rsid w:val="51CA735E"/>
    <w:rsid w:val="51D13349"/>
    <w:rsid w:val="51DB373C"/>
    <w:rsid w:val="51DE0ACD"/>
    <w:rsid w:val="51DE4BDE"/>
    <w:rsid w:val="51F0257F"/>
    <w:rsid w:val="52133D87"/>
    <w:rsid w:val="522D01E0"/>
    <w:rsid w:val="5246163C"/>
    <w:rsid w:val="524F1A19"/>
    <w:rsid w:val="52607735"/>
    <w:rsid w:val="526608F0"/>
    <w:rsid w:val="526D7804"/>
    <w:rsid w:val="52A9580D"/>
    <w:rsid w:val="52B14588"/>
    <w:rsid w:val="52B82CF8"/>
    <w:rsid w:val="52EB1898"/>
    <w:rsid w:val="52EF4CB5"/>
    <w:rsid w:val="52F862ED"/>
    <w:rsid w:val="53083AF6"/>
    <w:rsid w:val="53113CD7"/>
    <w:rsid w:val="53124FDB"/>
    <w:rsid w:val="531279DE"/>
    <w:rsid w:val="5315749A"/>
    <w:rsid w:val="531F2FEB"/>
    <w:rsid w:val="53465916"/>
    <w:rsid w:val="53511713"/>
    <w:rsid w:val="535D6353"/>
    <w:rsid w:val="537C3385"/>
    <w:rsid w:val="53874CC3"/>
    <w:rsid w:val="53963F2F"/>
    <w:rsid w:val="53A8533F"/>
    <w:rsid w:val="53B278ED"/>
    <w:rsid w:val="53B62265"/>
    <w:rsid w:val="53C62500"/>
    <w:rsid w:val="53FA411D"/>
    <w:rsid w:val="540920AA"/>
    <w:rsid w:val="54432E96"/>
    <w:rsid w:val="545276CF"/>
    <w:rsid w:val="5478328C"/>
    <w:rsid w:val="54824E31"/>
    <w:rsid w:val="54851639"/>
    <w:rsid w:val="548A5AC1"/>
    <w:rsid w:val="549153E9"/>
    <w:rsid w:val="54C2149E"/>
    <w:rsid w:val="54D055CB"/>
    <w:rsid w:val="54E02C4C"/>
    <w:rsid w:val="54EA42A5"/>
    <w:rsid w:val="54F241EB"/>
    <w:rsid w:val="54FC2E0E"/>
    <w:rsid w:val="54FC6BCD"/>
    <w:rsid w:val="55017BFD"/>
    <w:rsid w:val="5526593F"/>
    <w:rsid w:val="55375EDD"/>
    <w:rsid w:val="55713E92"/>
    <w:rsid w:val="55901FFA"/>
    <w:rsid w:val="559F419F"/>
    <w:rsid w:val="55A52421"/>
    <w:rsid w:val="55A95F18"/>
    <w:rsid w:val="55DE3D48"/>
    <w:rsid w:val="56072AEE"/>
    <w:rsid w:val="5612773D"/>
    <w:rsid w:val="5649005B"/>
    <w:rsid w:val="564E3947"/>
    <w:rsid w:val="5650277A"/>
    <w:rsid w:val="567355E1"/>
    <w:rsid w:val="568B3321"/>
    <w:rsid w:val="56982E14"/>
    <w:rsid w:val="56B0714F"/>
    <w:rsid w:val="56B90B7D"/>
    <w:rsid w:val="56BD255D"/>
    <w:rsid w:val="56CC254C"/>
    <w:rsid w:val="56E83021"/>
    <w:rsid w:val="56EB781D"/>
    <w:rsid w:val="56FC7AC4"/>
    <w:rsid w:val="57012E24"/>
    <w:rsid w:val="575C38A2"/>
    <w:rsid w:val="57875362"/>
    <w:rsid w:val="57AD795B"/>
    <w:rsid w:val="57B3345D"/>
    <w:rsid w:val="57DD0436"/>
    <w:rsid w:val="57F443DF"/>
    <w:rsid w:val="58013AEE"/>
    <w:rsid w:val="58051FA4"/>
    <w:rsid w:val="580E2E04"/>
    <w:rsid w:val="58143AE6"/>
    <w:rsid w:val="58160210"/>
    <w:rsid w:val="582D36B9"/>
    <w:rsid w:val="58343043"/>
    <w:rsid w:val="583639BE"/>
    <w:rsid w:val="58414717"/>
    <w:rsid w:val="58461A08"/>
    <w:rsid w:val="584645E3"/>
    <w:rsid w:val="585B2053"/>
    <w:rsid w:val="586F2680"/>
    <w:rsid w:val="58722B28"/>
    <w:rsid w:val="58820BC4"/>
    <w:rsid w:val="58927757"/>
    <w:rsid w:val="58AA09D9"/>
    <w:rsid w:val="58B42698"/>
    <w:rsid w:val="58B65B9B"/>
    <w:rsid w:val="58C13F2C"/>
    <w:rsid w:val="58E96042"/>
    <w:rsid w:val="58EE10B5"/>
    <w:rsid w:val="58F35122"/>
    <w:rsid w:val="590F13E3"/>
    <w:rsid w:val="591A57FB"/>
    <w:rsid w:val="5923074E"/>
    <w:rsid w:val="592F4560"/>
    <w:rsid w:val="594614CC"/>
    <w:rsid w:val="59512E0B"/>
    <w:rsid w:val="59604430"/>
    <w:rsid w:val="59853459"/>
    <w:rsid w:val="598577AF"/>
    <w:rsid w:val="59866F08"/>
    <w:rsid w:val="59961079"/>
    <w:rsid w:val="59AB1D26"/>
    <w:rsid w:val="59C56FAA"/>
    <w:rsid w:val="59D45105"/>
    <w:rsid w:val="59E4694B"/>
    <w:rsid w:val="59F0543D"/>
    <w:rsid w:val="5A006B8B"/>
    <w:rsid w:val="5A314E97"/>
    <w:rsid w:val="5A3A4711"/>
    <w:rsid w:val="5A632B52"/>
    <w:rsid w:val="5AC43E66"/>
    <w:rsid w:val="5AC61609"/>
    <w:rsid w:val="5ACA1F93"/>
    <w:rsid w:val="5AD56DE2"/>
    <w:rsid w:val="5AE25C1E"/>
    <w:rsid w:val="5AFA5478"/>
    <w:rsid w:val="5B0753A1"/>
    <w:rsid w:val="5B0A570E"/>
    <w:rsid w:val="5B0B62AC"/>
    <w:rsid w:val="5B1907BC"/>
    <w:rsid w:val="5B6231FB"/>
    <w:rsid w:val="5B7007EA"/>
    <w:rsid w:val="5B771AA0"/>
    <w:rsid w:val="5B7D432C"/>
    <w:rsid w:val="5B9104C7"/>
    <w:rsid w:val="5B950752"/>
    <w:rsid w:val="5BA57168"/>
    <w:rsid w:val="5BBD04EA"/>
    <w:rsid w:val="5BBE59AB"/>
    <w:rsid w:val="5BD538EB"/>
    <w:rsid w:val="5BE5132F"/>
    <w:rsid w:val="5C535746"/>
    <w:rsid w:val="5C685063"/>
    <w:rsid w:val="5C8E4351"/>
    <w:rsid w:val="5C983278"/>
    <w:rsid w:val="5C9B7403"/>
    <w:rsid w:val="5CB247B7"/>
    <w:rsid w:val="5CC608C4"/>
    <w:rsid w:val="5CD42BC2"/>
    <w:rsid w:val="5CE73B76"/>
    <w:rsid w:val="5D254161"/>
    <w:rsid w:val="5D353EDB"/>
    <w:rsid w:val="5D4B1845"/>
    <w:rsid w:val="5D4C659F"/>
    <w:rsid w:val="5D6361C4"/>
    <w:rsid w:val="5D6A35D0"/>
    <w:rsid w:val="5D7B70EE"/>
    <w:rsid w:val="5D826A79"/>
    <w:rsid w:val="5D86767D"/>
    <w:rsid w:val="5D8A15D3"/>
    <w:rsid w:val="5D9A56C3"/>
    <w:rsid w:val="5DAF0841"/>
    <w:rsid w:val="5DB81151"/>
    <w:rsid w:val="5DB82D7B"/>
    <w:rsid w:val="5DB92914"/>
    <w:rsid w:val="5DBF0ADC"/>
    <w:rsid w:val="5DCE4679"/>
    <w:rsid w:val="5DE7421F"/>
    <w:rsid w:val="5E1E4379"/>
    <w:rsid w:val="5E3C614B"/>
    <w:rsid w:val="5E4B3F43"/>
    <w:rsid w:val="5E52770F"/>
    <w:rsid w:val="5E5879D5"/>
    <w:rsid w:val="5E762809"/>
    <w:rsid w:val="5E7A29A0"/>
    <w:rsid w:val="5E85179E"/>
    <w:rsid w:val="5EB400EF"/>
    <w:rsid w:val="5EBC76FA"/>
    <w:rsid w:val="5EE56A44"/>
    <w:rsid w:val="5EEA4BE6"/>
    <w:rsid w:val="5F2E3404"/>
    <w:rsid w:val="5F37339F"/>
    <w:rsid w:val="5F4867C6"/>
    <w:rsid w:val="5F53437C"/>
    <w:rsid w:val="5F5501D5"/>
    <w:rsid w:val="5F561AAD"/>
    <w:rsid w:val="5F5E4D05"/>
    <w:rsid w:val="5F6A7505"/>
    <w:rsid w:val="5F75046E"/>
    <w:rsid w:val="5FA131F0"/>
    <w:rsid w:val="5FA72B48"/>
    <w:rsid w:val="5FD849CF"/>
    <w:rsid w:val="5FEF615B"/>
    <w:rsid w:val="601E6D8A"/>
    <w:rsid w:val="6020190A"/>
    <w:rsid w:val="60255B64"/>
    <w:rsid w:val="603514E5"/>
    <w:rsid w:val="603A3D28"/>
    <w:rsid w:val="60457581"/>
    <w:rsid w:val="60495F87"/>
    <w:rsid w:val="604A5C07"/>
    <w:rsid w:val="604D2A72"/>
    <w:rsid w:val="605E48A8"/>
    <w:rsid w:val="60B76E62"/>
    <w:rsid w:val="60C223CE"/>
    <w:rsid w:val="60CF0C8C"/>
    <w:rsid w:val="60F361EE"/>
    <w:rsid w:val="610B4408"/>
    <w:rsid w:val="610D3079"/>
    <w:rsid w:val="611A2A5C"/>
    <w:rsid w:val="611C17E3"/>
    <w:rsid w:val="612A0AF8"/>
    <w:rsid w:val="613D6494"/>
    <w:rsid w:val="613F7A65"/>
    <w:rsid w:val="615E3A2D"/>
    <w:rsid w:val="618A2FF0"/>
    <w:rsid w:val="6191090D"/>
    <w:rsid w:val="619E5234"/>
    <w:rsid w:val="61B3476B"/>
    <w:rsid w:val="61CE5D83"/>
    <w:rsid w:val="62090166"/>
    <w:rsid w:val="620A5BE8"/>
    <w:rsid w:val="620B6332"/>
    <w:rsid w:val="621E6303"/>
    <w:rsid w:val="62525FDC"/>
    <w:rsid w:val="62753EC8"/>
    <w:rsid w:val="628132A8"/>
    <w:rsid w:val="6289000B"/>
    <w:rsid w:val="62B55A8C"/>
    <w:rsid w:val="62DB04BF"/>
    <w:rsid w:val="63195DA5"/>
    <w:rsid w:val="634F4940"/>
    <w:rsid w:val="6359330B"/>
    <w:rsid w:val="637B2C0A"/>
    <w:rsid w:val="63B05F18"/>
    <w:rsid w:val="63BD0501"/>
    <w:rsid w:val="63BF6533"/>
    <w:rsid w:val="63D27C69"/>
    <w:rsid w:val="63DA25E0"/>
    <w:rsid w:val="63DF6A68"/>
    <w:rsid w:val="63E8113D"/>
    <w:rsid w:val="63EA7C0F"/>
    <w:rsid w:val="63F0603D"/>
    <w:rsid w:val="640C70CD"/>
    <w:rsid w:val="64234FE8"/>
    <w:rsid w:val="643D1A0F"/>
    <w:rsid w:val="64642544"/>
    <w:rsid w:val="6468739F"/>
    <w:rsid w:val="64777EE0"/>
    <w:rsid w:val="64AE2139"/>
    <w:rsid w:val="64BB664B"/>
    <w:rsid w:val="64BF2774"/>
    <w:rsid w:val="64CE3CFE"/>
    <w:rsid w:val="64D339CD"/>
    <w:rsid w:val="65187A69"/>
    <w:rsid w:val="651E5A1B"/>
    <w:rsid w:val="653447F5"/>
    <w:rsid w:val="65640230"/>
    <w:rsid w:val="656B4B89"/>
    <w:rsid w:val="65877FE4"/>
    <w:rsid w:val="65F67457"/>
    <w:rsid w:val="66082BF5"/>
    <w:rsid w:val="660D37F9"/>
    <w:rsid w:val="66174B69"/>
    <w:rsid w:val="66332182"/>
    <w:rsid w:val="663E7AB5"/>
    <w:rsid w:val="664E6208"/>
    <w:rsid w:val="667679A5"/>
    <w:rsid w:val="668A0C1E"/>
    <w:rsid w:val="669074A9"/>
    <w:rsid w:val="66A463E4"/>
    <w:rsid w:val="66B849EE"/>
    <w:rsid w:val="66BA01B2"/>
    <w:rsid w:val="66C00DA0"/>
    <w:rsid w:val="66E04E56"/>
    <w:rsid w:val="66E64CB8"/>
    <w:rsid w:val="6710056C"/>
    <w:rsid w:val="67125B26"/>
    <w:rsid w:val="672346B2"/>
    <w:rsid w:val="67355964"/>
    <w:rsid w:val="674C6A27"/>
    <w:rsid w:val="6764762E"/>
    <w:rsid w:val="677243C5"/>
    <w:rsid w:val="67A9464D"/>
    <w:rsid w:val="67B44CAC"/>
    <w:rsid w:val="67C563CE"/>
    <w:rsid w:val="67CA6B5A"/>
    <w:rsid w:val="67E13A76"/>
    <w:rsid w:val="67F30197"/>
    <w:rsid w:val="681B566D"/>
    <w:rsid w:val="6834667B"/>
    <w:rsid w:val="68380B62"/>
    <w:rsid w:val="685811C0"/>
    <w:rsid w:val="686C5771"/>
    <w:rsid w:val="68860830"/>
    <w:rsid w:val="689D350D"/>
    <w:rsid w:val="68A747C2"/>
    <w:rsid w:val="68AC3A52"/>
    <w:rsid w:val="68B0184E"/>
    <w:rsid w:val="68C45E27"/>
    <w:rsid w:val="68D430AB"/>
    <w:rsid w:val="68E777AA"/>
    <w:rsid w:val="6913427C"/>
    <w:rsid w:val="69164A76"/>
    <w:rsid w:val="691C697F"/>
    <w:rsid w:val="69546826"/>
    <w:rsid w:val="695A3776"/>
    <w:rsid w:val="695F42AB"/>
    <w:rsid w:val="69787099"/>
    <w:rsid w:val="698C4FC9"/>
    <w:rsid w:val="698D52E4"/>
    <w:rsid w:val="698D7F38"/>
    <w:rsid w:val="69A072CD"/>
    <w:rsid w:val="69AC4F69"/>
    <w:rsid w:val="69BF0EFD"/>
    <w:rsid w:val="6A146A32"/>
    <w:rsid w:val="6A4D0376"/>
    <w:rsid w:val="6A4F1A86"/>
    <w:rsid w:val="6A63209A"/>
    <w:rsid w:val="6A6C42F5"/>
    <w:rsid w:val="6A8739D3"/>
    <w:rsid w:val="6AAD1694"/>
    <w:rsid w:val="6AB841A2"/>
    <w:rsid w:val="6B054784"/>
    <w:rsid w:val="6B0B157E"/>
    <w:rsid w:val="6B202AB4"/>
    <w:rsid w:val="6B2A44E1"/>
    <w:rsid w:val="6B7B7763"/>
    <w:rsid w:val="6B8A7D7E"/>
    <w:rsid w:val="6BC27CCC"/>
    <w:rsid w:val="6BE0375B"/>
    <w:rsid w:val="6C2B055A"/>
    <w:rsid w:val="6C4F6842"/>
    <w:rsid w:val="6C5F665C"/>
    <w:rsid w:val="6C674C31"/>
    <w:rsid w:val="6C6B706C"/>
    <w:rsid w:val="6C7531FE"/>
    <w:rsid w:val="6C89204B"/>
    <w:rsid w:val="6C9A59BC"/>
    <w:rsid w:val="6C9F4042"/>
    <w:rsid w:val="6CA24FC7"/>
    <w:rsid w:val="6CB66EE8"/>
    <w:rsid w:val="6CB8716B"/>
    <w:rsid w:val="6CC21BDC"/>
    <w:rsid w:val="6CEE48AF"/>
    <w:rsid w:val="6CEF48C0"/>
    <w:rsid w:val="6CF53EF4"/>
    <w:rsid w:val="6CF70478"/>
    <w:rsid w:val="6D4D2F85"/>
    <w:rsid w:val="6D516F5A"/>
    <w:rsid w:val="6D520B9A"/>
    <w:rsid w:val="6D602DBE"/>
    <w:rsid w:val="6D6C7F13"/>
    <w:rsid w:val="6D8A1210"/>
    <w:rsid w:val="6D950475"/>
    <w:rsid w:val="6D9E66E1"/>
    <w:rsid w:val="6DB55CA7"/>
    <w:rsid w:val="6DBC08B7"/>
    <w:rsid w:val="6DC55625"/>
    <w:rsid w:val="6DE457FA"/>
    <w:rsid w:val="6DFB323E"/>
    <w:rsid w:val="6E03300A"/>
    <w:rsid w:val="6E045EA9"/>
    <w:rsid w:val="6E0C57CD"/>
    <w:rsid w:val="6E0E551E"/>
    <w:rsid w:val="6E0F3F39"/>
    <w:rsid w:val="6E3C25B5"/>
    <w:rsid w:val="6E3E7F64"/>
    <w:rsid w:val="6E62731F"/>
    <w:rsid w:val="6E6F0A3A"/>
    <w:rsid w:val="6E744EC2"/>
    <w:rsid w:val="6E942999"/>
    <w:rsid w:val="6EA50F15"/>
    <w:rsid w:val="6EA864CA"/>
    <w:rsid w:val="6EB92134"/>
    <w:rsid w:val="6EBE1E3F"/>
    <w:rsid w:val="6EC17AC9"/>
    <w:rsid w:val="6EC459E3"/>
    <w:rsid w:val="6EC539C8"/>
    <w:rsid w:val="6ED060A0"/>
    <w:rsid w:val="6EE032CF"/>
    <w:rsid w:val="6F096A3B"/>
    <w:rsid w:val="6F223D61"/>
    <w:rsid w:val="6F437B19"/>
    <w:rsid w:val="6F5A00A6"/>
    <w:rsid w:val="6F784737"/>
    <w:rsid w:val="6F866004"/>
    <w:rsid w:val="6F8C57B4"/>
    <w:rsid w:val="6F914B05"/>
    <w:rsid w:val="6FA234BB"/>
    <w:rsid w:val="6FA333B6"/>
    <w:rsid w:val="6FB25D4A"/>
    <w:rsid w:val="6FF77F94"/>
    <w:rsid w:val="6FFA23E7"/>
    <w:rsid w:val="70012973"/>
    <w:rsid w:val="7017252C"/>
    <w:rsid w:val="701852C6"/>
    <w:rsid w:val="701B5237"/>
    <w:rsid w:val="70466442"/>
    <w:rsid w:val="70504597"/>
    <w:rsid w:val="705F5088"/>
    <w:rsid w:val="708945F9"/>
    <w:rsid w:val="708954AD"/>
    <w:rsid w:val="708F42B8"/>
    <w:rsid w:val="70943FC3"/>
    <w:rsid w:val="70974F48"/>
    <w:rsid w:val="709A1394"/>
    <w:rsid w:val="70A27299"/>
    <w:rsid w:val="70B914D0"/>
    <w:rsid w:val="70C00850"/>
    <w:rsid w:val="70C2380D"/>
    <w:rsid w:val="70C32083"/>
    <w:rsid w:val="70C345EE"/>
    <w:rsid w:val="70CF74E9"/>
    <w:rsid w:val="70ED7D57"/>
    <w:rsid w:val="71125059"/>
    <w:rsid w:val="712573AC"/>
    <w:rsid w:val="71266AC9"/>
    <w:rsid w:val="71376738"/>
    <w:rsid w:val="713E0290"/>
    <w:rsid w:val="71431EA2"/>
    <w:rsid w:val="714B246D"/>
    <w:rsid w:val="714D72A9"/>
    <w:rsid w:val="71526A85"/>
    <w:rsid w:val="716E27BF"/>
    <w:rsid w:val="7179553A"/>
    <w:rsid w:val="717D46A1"/>
    <w:rsid w:val="717F5901"/>
    <w:rsid w:val="718C6759"/>
    <w:rsid w:val="71943B66"/>
    <w:rsid w:val="719D0BF2"/>
    <w:rsid w:val="71BE49AA"/>
    <w:rsid w:val="71C92D3B"/>
    <w:rsid w:val="71CA0E33"/>
    <w:rsid w:val="71DC3F5A"/>
    <w:rsid w:val="71E4391E"/>
    <w:rsid w:val="71EE6C3A"/>
    <w:rsid w:val="71F92D1B"/>
    <w:rsid w:val="71FE13C1"/>
    <w:rsid w:val="725A4828"/>
    <w:rsid w:val="72665276"/>
    <w:rsid w:val="726A28C4"/>
    <w:rsid w:val="727453D2"/>
    <w:rsid w:val="727566D7"/>
    <w:rsid w:val="72771BDA"/>
    <w:rsid w:val="7289687A"/>
    <w:rsid w:val="728C751D"/>
    <w:rsid w:val="72904D02"/>
    <w:rsid w:val="729C0B15"/>
    <w:rsid w:val="72D83010"/>
    <w:rsid w:val="72E26EF7"/>
    <w:rsid w:val="72F8550B"/>
    <w:rsid w:val="732B2982"/>
    <w:rsid w:val="73320886"/>
    <w:rsid w:val="733E500B"/>
    <w:rsid w:val="73411F1A"/>
    <w:rsid w:val="7362371C"/>
    <w:rsid w:val="73690269"/>
    <w:rsid w:val="736949E6"/>
    <w:rsid w:val="736F3422"/>
    <w:rsid w:val="73790B40"/>
    <w:rsid w:val="73C43DFB"/>
    <w:rsid w:val="73CB6DEA"/>
    <w:rsid w:val="73D16993"/>
    <w:rsid w:val="73DF2529"/>
    <w:rsid w:val="73E368AE"/>
    <w:rsid w:val="73E36E56"/>
    <w:rsid w:val="740C41EF"/>
    <w:rsid w:val="743431B5"/>
    <w:rsid w:val="74364139"/>
    <w:rsid w:val="7443214A"/>
    <w:rsid w:val="746F1DBB"/>
    <w:rsid w:val="74715218"/>
    <w:rsid w:val="74884070"/>
    <w:rsid w:val="74A0585D"/>
    <w:rsid w:val="74A61F3F"/>
    <w:rsid w:val="74B3476A"/>
    <w:rsid w:val="74BC2958"/>
    <w:rsid w:val="74C723A3"/>
    <w:rsid w:val="74CC462D"/>
    <w:rsid w:val="74D931CB"/>
    <w:rsid w:val="74F80974"/>
    <w:rsid w:val="751402A4"/>
    <w:rsid w:val="751D5331"/>
    <w:rsid w:val="75200B84"/>
    <w:rsid w:val="752F68D0"/>
    <w:rsid w:val="75337AAE"/>
    <w:rsid w:val="75515461"/>
    <w:rsid w:val="75650928"/>
    <w:rsid w:val="7571063E"/>
    <w:rsid w:val="75714DBB"/>
    <w:rsid w:val="75767924"/>
    <w:rsid w:val="758B5965"/>
    <w:rsid w:val="75B514D0"/>
    <w:rsid w:val="75BC1437"/>
    <w:rsid w:val="75CF5154"/>
    <w:rsid w:val="75D5338F"/>
    <w:rsid w:val="75FD0222"/>
    <w:rsid w:val="760011A7"/>
    <w:rsid w:val="76170DCC"/>
    <w:rsid w:val="765F3E44"/>
    <w:rsid w:val="767D70DE"/>
    <w:rsid w:val="76807037"/>
    <w:rsid w:val="76925063"/>
    <w:rsid w:val="76A742FA"/>
    <w:rsid w:val="76B61BF0"/>
    <w:rsid w:val="76CC75F6"/>
    <w:rsid w:val="76CE5DC8"/>
    <w:rsid w:val="76D36F81"/>
    <w:rsid w:val="76DE68BB"/>
    <w:rsid w:val="76E50C26"/>
    <w:rsid w:val="76FD7C4F"/>
    <w:rsid w:val="7701016A"/>
    <w:rsid w:val="771F5D7B"/>
    <w:rsid w:val="77226D00"/>
    <w:rsid w:val="773D03F2"/>
    <w:rsid w:val="773D3342"/>
    <w:rsid w:val="77472D69"/>
    <w:rsid w:val="77485FD7"/>
    <w:rsid w:val="774A183B"/>
    <w:rsid w:val="77534FD9"/>
    <w:rsid w:val="77544AFB"/>
    <w:rsid w:val="77582A5D"/>
    <w:rsid w:val="7769629D"/>
    <w:rsid w:val="7795301C"/>
    <w:rsid w:val="77BB2730"/>
    <w:rsid w:val="77BF3706"/>
    <w:rsid w:val="77C71C4A"/>
    <w:rsid w:val="77D13620"/>
    <w:rsid w:val="77DF61B9"/>
    <w:rsid w:val="77EB74D2"/>
    <w:rsid w:val="77EC3700"/>
    <w:rsid w:val="77ED48E0"/>
    <w:rsid w:val="77FB3399"/>
    <w:rsid w:val="77FE5BC6"/>
    <w:rsid w:val="78023DEF"/>
    <w:rsid w:val="785F1F8A"/>
    <w:rsid w:val="786157D8"/>
    <w:rsid w:val="78695A54"/>
    <w:rsid w:val="788159C2"/>
    <w:rsid w:val="788A42DE"/>
    <w:rsid w:val="78952465"/>
    <w:rsid w:val="789B436E"/>
    <w:rsid w:val="78AF300E"/>
    <w:rsid w:val="78B10E33"/>
    <w:rsid w:val="78ED3E28"/>
    <w:rsid w:val="78FD2FE2"/>
    <w:rsid w:val="790C316F"/>
    <w:rsid w:val="790D3EBB"/>
    <w:rsid w:val="792A003C"/>
    <w:rsid w:val="792E5292"/>
    <w:rsid w:val="7936053E"/>
    <w:rsid w:val="79472F1E"/>
    <w:rsid w:val="794A7D09"/>
    <w:rsid w:val="79664D3B"/>
    <w:rsid w:val="797C567E"/>
    <w:rsid w:val="797F537C"/>
    <w:rsid w:val="798E267C"/>
    <w:rsid w:val="79C222BA"/>
    <w:rsid w:val="79CB512B"/>
    <w:rsid w:val="79D66165"/>
    <w:rsid w:val="79E46F3A"/>
    <w:rsid w:val="79E55C28"/>
    <w:rsid w:val="79F727D8"/>
    <w:rsid w:val="79F80A27"/>
    <w:rsid w:val="7A1B455D"/>
    <w:rsid w:val="7A304404"/>
    <w:rsid w:val="7A5223BA"/>
    <w:rsid w:val="7A5468EA"/>
    <w:rsid w:val="7A771E7A"/>
    <w:rsid w:val="7A882894"/>
    <w:rsid w:val="7A982B2F"/>
    <w:rsid w:val="7AA5202C"/>
    <w:rsid w:val="7AD0694D"/>
    <w:rsid w:val="7AED003A"/>
    <w:rsid w:val="7AF976D0"/>
    <w:rsid w:val="7AFA7A1D"/>
    <w:rsid w:val="7B047C5F"/>
    <w:rsid w:val="7B060CA1"/>
    <w:rsid w:val="7B135CFC"/>
    <w:rsid w:val="7B353CB2"/>
    <w:rsid w:val="7B5C1346"/>
    <w:rsid w:val="7B735D97"/>
    <w:rsid w:val="7B767510"/>
    <w:rsid w:val="7B9839A3"/>
    <w:rsid w:val="7BAB5ACF"/>
    <w:rsid w:val="7BAE163C"/>
    <w:rsid w:val="7BBA2F93"/>
    <w:rsid w:val="7BDA78A7"/>
    <w:rsid w:val="7BFA4763"/>
    <w:rsid w:val="7BFA5C0B"/>
    <w:rsid w:val="7C0515B2"/>
    <w:rsid w:val="7C2E46D3"/>
    <w:rsid w:val="7C5656A2"/>
    <w:rsid w:val="7C5B0211"/>
    <w:rsid w:val="7C7855C3"/>
    <w:rsid w:val="7C786D43"/>
    <w:rsid w:val="7C846E57"/>
    <w:rsid w:val="7C8C3EAE"/>
    <w:rsid w:val="7C975552"/>
    <w:rsid w:val="7CA52C0F"/>
    <w:rsid w:val="7CA54CA4"/>
    <w:rsid w:val="7CB16F7E"/>
    <w:rsid w:val="7CF2748B"/>
    <w:rsid w:val="7CFE6F13"/>
    <w:rsid w:val="7D002024"/>
    <w:rsid w:val="7D0A03B5"/>
    <w:rsid w:val="7D1022BE"/>
    <w:rsid w:val="7D36397B"/>
    <w:rsid w:val="7D383C25"/>
    <w:rsid w:val="7D4E6942"/>
    <w:rsid w:val="7D630A43"/>
    <w:rsid w:val="7D647D98"/>
    <w:rsid w:val="7D7B196D"/>
    <w:rsid w:val="7D7F211A"/>
    <w:rsid w:val="7D841048"/>
    <w:rsid w:val="7D963A25"/>
    <w:rsid w:val="7DBA18F1"/>
    <w:rsid w:val="7DC44B96"/>
    <w:rsid w:val="7DCD3733"/>
    <w:rsid w:val="7DFB4285"/>
    <w:rsid w:val="7E071551"/>
    <w:rsid w:val="7E2E63EC"/>
    <w:rsid w:val="7E3E16AB"/>
    <w:rsid w:val="7E416FA7"/>
    <w:rsid w:val="7E4472F3"/>
    <w:rsid w:val="7E4A54BE"/>
    <w:rsid w:val="7E580057"/>
    <w:rsid w:val="7E5E116B"/>
    <w:rsid w:val="7E5E415E"/>
    <w:rsid w:val="7E6802F1"/>
    <w:rsid w:val="7E753060"/>
    <w:rsid w:val="7E797B14"/>
    <w:rsid w:val="7E992A68"/>
    <w:rsid w:val="7EA47CF8"/>
    <w:rsid w:val="7EB219E2"/>
    <w:rsid w:val="7EBC1CF4"/>
    <w:rsid w:val="7EC27F8B"/>
    <w:rsid w:val="7ED27BE4"/>
    <w:rsid w:val="7ED7736B"/>
    <w:rsid w:val="7F146E82"/>
    <w:rsid w:val="7F2B002F"/>
    <w:rsid w:val="7F3E7050"/>
    <w:rsid w:val="7F806B31"/>
    <w:rsid w:val="7F8D4850"/>
    <w:rsid w:val="7F990663"/>
    <w:rsid w:val="7F9E75F2"/>
    <w:rsid w:val="7FAE2EED"/>
    <w:rsid w:val="7FB078C3"/>
    <w:rsid w:val="7FCE4590"/>
    <w:rsid w:val="7FEF6E73"/>
    <w:rsid w:val="7FFF1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semiHidden="0" w:name="index heading"/>
    <w:lsdException w:qFormat="1" w:unhideWhenUsed="0" w:uiPriority="0" w:semiHidden="0" w:name="caption"/>
    <w:lsdException w:qFormat="1" w:unhideWhenUsed="0" w:uiPriority="0" w:name="table of figures"/>
    <w:lsdException w:qFormat="1" w:uiPriority="99" w:semiHidden="0" w:name="envelope address"/>
    <w:lsdException w:qFormat="1" w:uiPriority="99" w:semiHidden="0" w:name="envelope return"/>
    <w:lsdException w:qFormat="1" w:unhideWhenUsed="0" w:uiPriority="0" w:name="footnote reference"/>
    <w:lsdException w:qFormat="1" w:uiPriority="99" w:semiHidden="0" w:name="annotation reference"/>
    <w:lsdException w:qFormat="1" w:uiPriority="99" w:semiHidden="0" w:name="line number"/>
    <w:lsdException w:qFormat="1" w:unhideWhenUsed="0" w:uiPriority="0" w:name="page number"/>
    <w:lsdException w:qFormat="1" w:uiPriority="99" w:semiHidden="0"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semiHidden="0" w:name="Normal Table"/>
    <w:lsdException w:qFormat="1"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qFormat="1" w:uiPriority="99" w:semiHidden="0" w:name="Table Columns 1"/>
    <w:lsdException w:qFormat="1" w:uiPriority="99" w:semiHidden="0" w:name="Table Columns 2"/>
    <w:lsdException w:qFormat="1" w:uiPriority="99" w:semiHidden="0" w:name="Table Columns 3"/>
    <w:lsdException w:qFormat="1" w:uiPriority="99" w:semiHidden="0" w:name="Table Columns 4"/>
    <w:lsdException w:qFormat="1" w:uiPriority="99" w:semiHidden="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qFormat="1" w:uiPriority="99" w:semiHidden="0" w:name="Table 3D effects 1"/>
    <w:lsdException w:qFormat="1" w:uiPriority="99" w:semiHidden="0" w:name="Table 3D effects 2"/>
    <w:lsdException w:qFormat="1" w:uiPriority="99" w:semiHidden="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iPriority="99" w:semiHidden="0" w:name="Balloon Text"/>
    <w:lsdException w:qFormat="1" w:unhideWhenUsed="0" w:uiPriority="59" w:semiHidden="0" w:name="Table Grid"/>
    <w:lsdException w:qFormat="1" w:uiPriority="99" w:semiHidden="0" w:name="Table Theme"/>
    <w:lsdException w:qFormat="1" w:uiPriority="60" w:semiHidden="0" w:name="Light Shading"/>
    <w:lsdException w:qFormat="1" w:uiPriority="61" w:semiHidden="0" w:name="Light List"/>
    <w:lsdException w:qFormat="1" w:uiPriority="62" w:semiHidden="0" w:name="Light Grid"/>
    <w:lsdException w:qFormat="1" w:uiPriority="63" w:semiHidden="0" w:name="Medium Shading 1"/>
    <w:lsdException w:qFormat="1" w:uiPriority="64" w:semiHidden="0" w:name="Medium Shading 2"/>
    <w:lsdException w:qFormat="1" w:uiPriority="65" w:semiHidden="0" w:name="Medium List 1"/>
    <w:lsdException w:qFormat="1" w:uiPriority="66" w:semiHidden="0" w:name="Medium List 2"/>
    <w:lsdException w:qFormat="1" w:uiPriority="67" w:semiHidden="0" w:name="Medium Grid 1"/>
    <w:lsdException w:qFormat="1" w:uiPriority="68" w:semiHidden="0" w:name="Medium Grid 2"/>
    <w:lsdException w:qFormat="1" w:uiPriority="69" w:semiHidden="0" w:name="Medium Grid 3"/>
    <w:lsdException w:qFormat="1" w:uiPriority="70" w:semiHidden="0" w:name="Dark List"/>
    <w:lsdException w:qFormat="1" w:uiPriority="71" w:semiHidden="0" w:name="Colorful Shading"/>
    <w:lsdException w:qFormat="1" w:uiPriority="72" w:semiHidden="0" w:name="Colorful List"/>
    <w:lsdException w:qFormat="1" w:uiPriority="73" w:semiHidden="0" w:name="Colorful Grid"/>
    <w:lsdException w:qFormat="1" w:uiPriority="60" w:semiHidden="0" w:name="Light Shading Accent 1"/>
    <w:lsdException w:qFormat="1" w:uiPriority="61" w:semiHidden="0" w:name="Light List Accent 1"/>
    <w:lsdException w:qFormat="1" w:uiPriority="62" w:semiHidden="0" w:name="Light Grid Accent 1"/>
    <w:lsdException w:qFormat="1" w:uiPriority="63" w:semiHidden="0" w:name="Medium Shading 1 Accent 1"/>
    <w:lsdException w:qFormat="1" w:uiPriority="64" w:semiHidden="0" w:name="Medium Shading 2 Accent 1"/>
    <w:lsdException w:qFormat="1" w:uiPriority="65" w:semiHidden="0" w:name="Medium List 1 Accent 1"/>
    <w:lsdException w:qFormat="1" w:uiPriority="66" w:semiHidden="0" w:name="Medium List 2 Accent 1"/>
    <w:lsdException w:qFormat="1" w:uiPriority="67" w:semiHidden="0" w:name="Medium Grid 1 Accent 1"/>
    <w:lsdException w:qFormat="1" w:uiPriority="68" w:semiHidden="0" w:name="Medium Grid 2 Accent 1"/>
    <w:lsdException w:qFormat="1" w:uiPriority="69" w:semiHidden="0" w:name="Medium Grid 3 Accent 1"/>
    <w:lsdException w:qFormat="1" w:uiPriority="70" w:semiHidden="0" w:name="Dark List Accent 1"/>
    <w:lsdException w:qFormat="1" w:uiPriority="71" w:semiHidden="0" w:name="Colorful Shading Accent 1"/>
    <w:lsdException w:qFormat="1" w:uiPriority="72" w:semiHidden="0" w:name="Colorful List Accent 1"/>
    <w:lsdException w:qFormat="1" w:uiPriority="73" w:semiHidden="0" w:name="Colorful Grid Accent 1"/>
    <w:lsdException w:qFormat="1" w:uiPriority="60" w:semiHidden="0" w:name="Light Shading Accent 2"/>
    <w:lsdException w:qFormat="1" w:uiPriority="61" w:semiHidden="0" w:name="Light List Accent 2"/>
    <w:lsdException w:qFormat="1" w:uiPriority="62" w:semiHidden="0" w:name="Light Grid Accent 2"/>
    <w:lsdException w:qFormat="1" w:uiPriority="63" w:semiHidden="0" w:name="Medium Shading 1 Accent 2"/>
    <w:lsdException w:qFormat="1" w:uiPriority="64" w:semiHidden="0" w:name="Medium Shading 2 Accent 2"/>
    <w:lsdException w:qFormat="1" w:uiPriority="65" w:semiHidden="0" w:name="Medium List 1 Accent 2"/>
    <w:lsdException w:qFormat="1" w:uiPriority="66" w:semiHidden="0" w:name="Medium List 2 Accent 2"/>
    <w:lsdException w:qFormat="1" w:uiPriority="67" w:semiHidden="0" w:name="Medium Grid 1 Accent 2"/>
    <w:lsdException w:qFormat="1" w:uiPriority="68" w:semiHidden="0" w:name="Medium Grid 2 Accent 2"/>
    <w:lsdException w:qFormat="1" w:uiPriority="69" w:semiHidden="0" w:name="Medium Grid 3 Accent 2"/>
    <w:lsdException w:qFormat="1" w:uiPriority="70" w:semiHidden="0" w:name="Dark List Accent 2"/>
    <w:lsdException w:qFormat="1" w:uiPriority="71" w:semiHidden="0" w:name="Colorful Shading Accent 2"/>
    <w:lsdException w:qFormat="1" w:uiPriority="72" w:semiHidden="0" w:name="Colorful List Accent 2"/>
    <w:lsdException w:qFormat="1" w:uiPriority="73" w:semiHidden="0" w:name="Colorful Grid Accent 2"/>
    <w:lsdException w:qFormat="1" w:uiPriority="60" w:semiHidden="0" w:name="Light Shading Accent 3"/>
    <w:lsdException w:qFormat="1" w:uiPriority="61" w:semiHidden="0" w:name="Light List Accent 3"/>
    <w:lsdException w:qFormat="1" w:uiPriority="62" w:semiHidden="0" w:name="Light Grid Accent 3"/>
    <w:lsdException w:qFormat="1" w:uiPriority="63" w:semiHidden="0" w:name="Medium Shading 1 Accent 3"/>
    <w:lsdException w:qFormat="1" w:uiPriority="64" w:semiHidden="0" w:name="Medium Shading 2 Accent 3"/>
    <w:lsdException w:qFormat="1" w:uiPriority="65" w:semiHidden="0" w:name="Medium List 1 Accent 3"/>
    <w:lsdException w:qFormat="1" w:uiPriority="66" w:semiHidden="0" w:name="Medium List 2 Accent 3"/>
    <w:lsdException w:qFormat="1" w:uiPriority="67" w:semiHidden="0" w:name="Medium Grid 1 Accent 3"/>
    <w:lsdException w:qFormat="1" w:uiPriority="68" w:semiHidden="0" w:name="Medium Grid 2 Accent 3"/>
    <w:lsdException w:qFormat="1" w:uiPriority="69" w:semiHidden="0" w:name="Medium Grid 3 Accent 3"/>
    <w:lsdException w:qFormat="1" w:uiPriority="70" w:semiHidden="0" w:name="Dark List Accent 3"/>
    <w:lsdException w:qFormat="1" w:uiPriority="71" w:semiHidden="0" w:name="Colorful Shading Accent 3"/>
    <w:lsdException w:qFormat="1" w:uiPriority="72" w:semiHidden="0" w:name="Colorful List Accent 3"/>
    <w:lsdException w:qFormat="1" w:uiPriority="73" w:semiHidden="0" w:name="Colorful Grid Accent 3"/>
    <w:lsdException w:qFormat="1" w:uiPriority="60" w:semiHidden="0" w:name="Light Shading Accent 4"/>
    <w:lsdException w:qFormat="1" w:uiPriority="61" w:semiHidden="0" w:name="Light List Accent 4"/>
    <w:lsdException w:qFormat="1" w:uiPriority="62" w:semiHidden="0" w:name="Light Grid Accent 4"/>
    <w:lsdException w:qFormat="1" w:uiPriority="63" w:semiHidden="0" w:name="Medium Shading 1 Accent 4"/>
    <w:lsdException w:qFormat="1" w:uiPriority="64" w:semiHidden="0" w:name="Medium Shading 2 Accent 4"/>
    <w:lsdException w:qFormat="1" w:uiPriority="65" w:semiHidden="0" w:name="Medium List 1 Accent 4"/>
    <w:lsdException w:qFormat="1" w:uiPriority="66" w:semiHidden="0" w:name="Medium List 2 Accent 4"/>
    <w:lsdException w:qFormat="1" w:uiPriority="67" w:semiHidden="0" w:name="Medium Grid 1 Accent 4"/>
    <w:lsdException w:qFormat="1" w:uiPriority="68" w:semiHidden="0" w:name="Medium Grid 2 Accent 4"/>
    <w:lsdException w:qFormat="1" w:uiPriority="69" w:semiHidden="0" w:name="Medium Grid 3 Accent 4"/>
    <w:lsdException w:qFormat="1" w:uiPriority="70" w:semiHidden="0" w:name="Dark List Accent 4"/>
    <w:lsdException w:qFormat="1" w:uiPriority="71" w:semiHidden="0" w:name="Colorful Shading Accent 4"/>
    <w:lsdException w:qFormat="1" w:uiPriority="72" w:semiHidden="0" w:name="Colorful List Accent 4"/>
    <w:lsdException w:qFormat="1" w:uiPriority="73" w:semiHidden="0" w:name="Colorful Grid Accent 4"/>
    <w:lsdException w:qFormat="1" w:uiPriority="60" w:semiHidden="0" w:name="Light Shading Accent 5"/>
    <w:lsdException w:qFormat="1" w:uiPriority="61" w:semiHidden="0" w:name="Light List Accent 5"/>
    <w:lsdException w:qFormat="1" w:uiPriority="62" w:semiHidden="0" w:name="Light Grid Accent 5"/>
    <w:lsdException w:qFormat="1" w:uiPriority="63" w:semiHidden="0" w:name="Medium Shading 1 Accent 5"/>
    <w:lsdException w:qFormat="1" w:uiPriority="64" w:semiHidden="0" w:name="Medium Shading 2 Accent 5"/>
    <w:lsdException w:qFormat="1" w:uiPriority="65" w:semiHidden="0" w:name="Medium List 1 Accent 5"/>
    <w:lsdException w:qFormat="1" w:uiPriority="66" w:semiHidden="0" w:name="Medium List 2 Accent 5"/>
    <w:lsdException w:qFormat="1" w:uiPriority="67" w:semiHidden="0" w:name="Medium Grid 1 Accent 5"/>
    <w:lsdException w:qFormat="1" w:uiPriority="68" w:semiHidden="0" w:name="Medium Grid 2 Accent 5"/>
    <w:lsdException w:qFormat="1" w:uiPriority="69" w:semiHidden="0" w:name="Medium Grid 3 Accent 5"/>
    <w:lsdException w:qFormat="1" w:uiPriority="70" w:semiHidden="0" w:name="Dark List Accent 5"/>
    <w:lsdException w:qFormat="1" w:uiPriority="71" w:semiHidden="0" w:name="Colorful Shading Accent 5"/>
    <w:lsdException w:qFormat="1" w:uiPriority="72" w:semiHidden="0" w:name="Colorful List Accent 5"/>
    <w:lsdException w:qFormat="1" w:uiPriority="73" w:semiHidden="0" w:name="Colorful Grid Accent 5"/>
    <w:lsdException w:qFormat="1" w:uiPriority="60" w:semiHidden="0" w:name="Light Shading Accent 6"/>
    <w:lsdException w:qFormat="1" w:uiPriority="61" w:semiHidden="0" w:name="Light List Accent 6"/>
    <w:lsdException w:qFormat="1" w:uiPriority="62" w:semiHidden="0" w:name="Light Grid Accent 6"/>
    <w:lsdException w:qFormat="1" w:uiPriority="63" w:semiHidden="0" w:name="Medium Shading 1 Accent 6"/>
    <w:lsdException w:qFormat="1" w:uiPriority="64" w:semiHidden="0" w:name="Medium Shading 2 Accent 6"/>
    <w:lsdException w:qFormat="1" w:uiPriority="65" w:semiHidden="0" w:name="Medium List 1 Accent 6"/>
    <w:lsdException w:qFormat="1" w:uiPriority="66" w:semiHidden="0" w:name="Medium List 2 Accent 6"/>
    <w:lsdException w:qFormat="1" w:uiPriority="67" w:semiHidden="0" w:name="Medium Grid 1 Accent 6"/>
    <w:lsdException w:qFormat="1" w:uiPriority="68" w:semiHidden="0" w:name="Medium Grid 2 Accent 6"/>
    <w:lsdException w:qFormat="1" w:uiPriority="69" w:semiHidden="0" w:name="Medium Grid 3 Accent 6"/>
    <w:lsdException w:qFormat="1" w:uiPriority="70" w:semiHidden="0" w:name="Dark List Accent 6"/>
    <w:lsdException w:qFormat="1" w:uiPriority="71" w:semiHidden="0" w:name="Colorful Shading Accent 6"/>
    <w:lsdException w:qFormat="1" w:uiPriority="72" w:semiHidden="0" w:name="Colorful List Accent 6"/>
    <w:lsdException w:qFormat="1"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link w:val="360"/>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qFormat/>
    <w:uiPriority w:val="39"/>
    <w:pPr>
      <w:ind w:left="100" w:leftChars="100"/>
    </w:pPr>
  </w:style>
  <w:style w:type="paragraph" w:styleId="18">
    <w:name w:val="toc 2"/>
    <w:basedOn w:val="19"/>
    <w:next w:val="1"/>
    <w:qFormat/>
    <w:uiPriority w:val="39"/>
  </w:style>
  <w:style w:type="paragraph" w:styleId="19">
    <w:name w:val="toc 1"/>
    <w:basedOn w:val="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unhideWhenUsed/>
    <w:qFormat/>
    <w:uiPriority w:val="99"/>
    <w:pPr>
      <w:numPr>
        <w:ilvl w:val="0"/>
        <w:numId w:val="1"/>
      </w:numPr>
      <w:contextualSpacing/>
    </w:pPr>
  </w:style>
  <w:style w:type="paragraph" w:styleId="21">
    <w:name w:val="table of authorities"/>
    <w:basedOn w:val="1"/>
    <w:next w:val="1"/>
    <w:unhideWhenUsed/>
    <w:qFormat/>
    <w:uiPriority w:val="99"/>
    <w:pPr>
      <w:ind w:left="420" w:leftChars="200"/>
    </w:pPr>
  </w:style>
  <w:style w:type="paragraph" w:styleId="22">
    <w:name w:val="Note Heading"/>
    <w:basedOn w:val="1"/>
    <w:next w:val="1"/>
    <w:link w:val="492"/>
    <w:unhideWhenUsed/>
    <w:qFormat/>
    <w:uiPriority w:val="99"/>
    <w:pPr>
      <w:jc w:val="center"/>
    </w:pPr>
  </w:style>
  <w:style w:type="paragraph" w:styleId="23">
    <w:name w:val="List Bullet 4"/>
    <w:basedOn w:val="1"/>
    <w:unhideWhenUsed/>
    <w:qFormat/>
    <w:uiPriority w:val="99"/>
    <w:pPr>
      <w:numPr>
        <w:ilvl w:val="0"/>
        <w:numId w:val="2"/>
      </w:numPr>
      <w:contextualSpacing/>
    </w:pPr>
  </w:style>
  <w:style w:type="paragraph" w:styleId="24">
    <w:name w:val="index 8"/>
    <w:basedOn w:val="1"/>
    <w:next w:val="1"/>
    <w:unhideWhenUsed/>
    <w:qFormat/>
    <w:uiPriority w:val="99"/>
    <w:pPr>
      <w:ind w:left="1400" w:leftChars="1400"/>
    </w:pPr>
  </w:style>
  <w:style w:type="paragraph" w:styleId="25">
    <w:name w:val="E-mail Signature"/>
    <w:basedOn w:val="1"/>
    <w:link w:val="358"/>
    <w:unhideWhenUsed/>
    <w:qFormat/>
    <w:uiPriority w:val="99"/>
  </w:style>
  <w:style w:type="paragraph" w:styleId="26">
    <w:name w:val="List Number"/>
    <w:basedOn w:val="1"/>
    <w:unhideWhenUsed/>
    <w:qFormat/>
    <w:uiPriority w:val="99"/>
    <w:pPr>
      <w:numPr>
        <w:ilvl w:val="0"/>
        <w:numId w:val="3"/>
      </w:numPr>
      <w:contextualSpacing/>
    </w:pPr>
  </w:style>
  <w:style w:type="paragraph" w:styleId="27">
    <w:name w:val="Normal Indent"/>
    <w:basedOn w:val="1"/>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unhideWhenUsed/>
    <w:qFormat/>
    <w:uiPriority w:val="99"/>
    <w:pPr>
      <w:ind w:left="800" w:leftChars="800"/>
    </w:pPr>
  </w:style>
  <w:style w:type="paragraph" w:styleId="30">
    <w:name w:val="List Bullet"/>
    <w:basedOn w:val="1"/>
    <w:unhideWhenUsed/>
    <w:qFormat/>
    <w:uiPriority w:val="99"/>
    <w:pPr>
      <w:numPr>
        <w:ilvl w:val="0"/>
        <w:numId w:val="4"/>
      </w:numPr>
      <w:contextualSpacing/>
    </w:pPr>
  </w:style>
  <w:style w:type="paragraph" w:styleId="31">
    <w:name w:val="envelope address"/>
    <w:basedOn w:val="1"/>
    <w:unhideWhenUsed/>
    <w:qFormat/>
    <w:uiPriority w:val="99"/>
    <w:pPr>
      <w:framePr w:w="7920" w:h="1980" w:hRule="exact" w:hSpace="180" w:wrap="around"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unhideWhenUsed/>
    <w:qFormat/>
    <w:uiPriority w:val="99"/>
    <w:rPr>
      <w:rFonts w:ascii="Microsoft YaHei UI" w:eastAsia="Microsoft YaHei UI"/>
      <w:sz w:val="18"/>
      <w:szCs w:val="18"/>
    </w:rPr>
  </w:style>
  <w:style w:type="paragraph" w:styleId="33">
    <w:name w:val="toa heading"/>
    <w:basedOn w:val="1"/>
    <w:next w:val="1"/>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unhideWhenUsed/>
    <w:qFormat/>
    <w:uiPriority w:val="99"/>
    <w:pPr>
      <w:ind w:left="1000" w:leftChars="1000"/>
    </w:pPr>
  </w:style>
  <w:style w:type="paragraph" w:styleId="36">
    <w:name w:val="Salutation"/>
    <w:basedOn w:val="1"/>
    <w:next w:val="1"/>
    <w:link w:val="356"/>
    <w:unhideWhenUsed/>
    <w:qFormat/>
    <w:uiPriority w:val="99"/>
  </w:style>
  <w:style w:type="paragraph" w:styleId="37">
    <w:name w:val="Body Text 3"/>
    <w:basedOn w:val="1"/>
    <w:link w:val="489"/>
    <w:unhideWhenUsed/>
    <w:qFormat/>
    <w:uiPriority w:val="99"/>
    <w:pPr>
      <w:spacing w:after="120"/>
    </w:pPr>
    <w:rPr>
      <w:sz w:val="16"/>
      <w:szCs w:val="16"/>
    </w:rPr>
  </w:style>
  <w:style w:type="paragraph" w:styleId="38">
    <w:name w:val="Closing"/>
    <w:basedOn w:val="1"/>
    <w:link w:val="361"/>
    <w:unhideWhenUsed/>
    <w:qFormat/>
    <w:uiPriority w:val="99"/>
    <w:pPr>
      <w:ind w:left="100" w:leftChars="2100"/>
    </w:pPr>
  </w:style>
  <w:style w:type="paragraph" w:styleId="39">
    <w:name w:val="List Bullet 3"/>
    <w:basedOn w:val="1"/>
    <w:unhideWhenUsed/>
    <w:qFormat/>
    <w:uiPriority w:val="99"/>
    <w:pPr>
      <w:numPr>
        <w:ilvl w:val="0"/>
        <w:numId w:val="5"/>
      </w:numPr>
      <w:contextualSpacing/>
    </w:pPr>
  </w:style>
  <w:style w:type="paragraph" w:styleId="40">
    <w:name w:val="Body Text"/>
    <w:basedOn w:val="1"/>
    <w:link w:val="333"/>
    <w:unhideWhenUsed/>
    <w:qFormat/>
    <w:uiPriority w:val="99"/>
    <w:pPr>
      <w:spacing w:after="120"/>
    </w:pPr>
  </w:style>
  <w:style w:type="paragraph" w:styleId="41">
    <w:name w:val="Body Text Indent"/>
    <w:basedOn w:val="1"/>
    <w:link w:val="486"/>
    <w:unhideWhenUsed/>
    <w:qFormat/>
    <w:uiPriority w:val="99"/>
    <w:pPr>
      <w:spacing w:after="120"/>
      <w:ind w:left="420" w:leftChars="200"/>
    </w:pPr>
  </w:style>
  <w:style w:type="paragraph" w:styleId="42">
    <w:name w:val="List Number 3"/>
    <w:basedOn w:val="1"/>
    <w:unhideWhenUsed/>
    <w:qFormat/>
    <w:uiPriority w:val="99"/>
    <w:pPr>
      <w:numPr>
        <w:ilvl w:val="0"/>
        <w:numId w:val="6"/>
      </w:numPr>
      <w:contextualSpacing/>
    </w:pPr>
  </w:style>
  <w:style w:type="paragraph" w:styleId="43">
    <w:name w:val="List 2"/>
    <w:basedOn w:val="1"/>
    <w:unhideWhenUsed/>
    <w:qFormat/>
    <w:uiPriority w:val="99"/>
    <w:pPr>
      <w:ind w:left="100" w:leftChars="200" w:hanging="200" w:hangingChars="200"/>
      <w:contextualSpacing/>
    </w:pPr>
  </w:style>
  <w:style w:type="paragraph" w:styleId="44">
    <w:name w:val="List Continue"/>
    <w:basedOn w:val="1"/>
    <w:unhideWhenUsed/>
    <w:qFormat/>
    <w:uiPriority w:val="99"/>
    <w:pPr>
      <w:spacing w:after="120"/>
      <w:ind w:left="420" w:leftChars="200"/>
      <w:contextualSpacing/>
    </w:pPr>
  </w:style>
  <w:style w:type="paragraph" w:styleId="45">
    <w:name w:val="Block Text"/>
    <w:basedOn w:val="1"/>
    <w:unhideWhenUsed/>
    <w:qFormat/>
    <w:uiPriority w:val="99"/>
    <w:pPr>
      <w:spacing w:after="120"/>
      <w:ind w:left="1440" w:leftChars="700" w:right="1440" w:rightChars="700"/>
    </w:pPr>
  </w:style>
  <w:style w:type="paragraph" w:styleId="46">
    <w:name w:val="List Bullet 2"/>
    <w:basedOn w:val="1"/>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unhideWhenUsed/>
    <w:qFormat/>
    <w:uiPriority w:val="99"/>
    <w:pPr>
      <w:ind w:left="600" w:leftChars="600"/>
    </w:pPr>
  </w:style>
  <w:style w:type="paragraph" w:styleId="49">
    <w:name w:val="Plain Text"/>
    <w:basedOn w:val="1"/>
    <w:link w:val="357"/>
    <w:unhideWhenUsed/>
    <w:qFormat/>
    <w:uiPriority w:val="99"/>
    <w:rPr>
      <w:rFonts w:ascii="宋体" w:hAnsi="Courier New" w:cs="Courier New"/>
      <w:szCs w:val="21"/>
    </w:rPr>
  </w:style>
  <w:style w:type="paragraph" w:styleId="50">
    <w:name w:val="List Bullet 5"/>
    <w:basedOn w:val="1"/>
    <w:unhideWhenUsed/>
    <w:qFormat/>
    <w:uiPriority w:val="99"/>
    <w:pPr>
      <w:numPr>
        <w:ilvl w:val="0"/>
        <w:numId w:val="8"/>
      </w:numPr>
      <w:contextualSpacing/>
    </w:pPr>
  </w:style>
  <w:style w:type="paragraph" w:styleId="51">
    <w:name w:val="List Number 4"/>
    <w:basedOn w:val="1"/>
    <w:unhideWhenUsed/>
    <w:qFormat/>
    <w:uiPriority w:val="99"/>
    <w:pPr>
      <w:numPr>
        <w:ilvl w:val="0"/>
        <w:numId w:val="9"/>
      </w:numPr>
      <w:contextualSpacing/>
    </w:pPr>
  </w:style>
  <w:style w:type="paragraph" w:styleId="52">
    <w:name w:val="toc 8"/>
    <w:basedOn w:val="13"/>
    <w:next w:val="1"/>
    <w:semiHidden/>
    <w:qFormat/>
    <w:uiPriority w:val="0"/>
  </w:style>
  <w:style w:type="paragraph" w:styleId="53">
    <w:name w:val="index 3"/>
    <w:basedOn w:val="1"/>
    <w:next w:val="1"/>
    <w:unhideWhenUsed/>
    <w:qFormat/>
    <w:uiPriority w:val="99"/>
    <w:pPr>
      <w:ind w:left="400" w:leftChars="400"/>
    </w:pPr>
  </w:style>
  <w:style w:type="paragraph" w:styleId="54">
    <w:name w:val="Date"/>
    <w:basedOn w:val="1"/>
    <w:next w:val="1"/>
    <w:link w:val="420"/>
    <w:unhideWhenUsed/>
    <w:qFormat/>
    <w:uiPriority w:val="99"/>
    <w:pPr>
      <w:ind w:left="100" w:leftChars="2500"/>
    </w:pPr>
  </w:style>
  <w:style w:type="paragraph" w:styleId="55">
    <w:name w:val="Body Text Indent 2"/>
    <w:basedOn w:val="1"/>
    <w:link w:val="490"/>
    <w:unhideWhenUsed/>
    <w:qFormat/>
    <w:uiPriority w:val="99"/>
    <w:pPr>
      <w:spacing w:after="120" w:line="480" w:lineRule="auto"/>
      <w:ind w:left="420" w:leftChars="200"/>
    </w:pPr>
  </w:style>
  <w:style w:type="paragraph" w:styleId="56">
    <w:name w:val="endnote text"/>
    <w:basedOn w:val="1"/>
    <w:link w:val="473"/>
    <w:unhideWhenUsed/>
    <w:qFormat/>
    <w:uiPriority w:val="99"/>
    <w:pPr>
      <w:snapToGrid w:val="0"/>
      <w:jc w:val="left"/>
    </w:pPr>
  </w:style>
  <w:style w:type="paragraph" w:styleId="57">
    <w:name w:val="List Continue 5"/>
    <w:basedOn w:val="1"/>
    <w:unhideWhenUsed/>
    <w:qFormat/>
    <w:uiPriority w:val="99"/>
    <w:pPr>
      <w:spacing w:after="120"/>
      <w:ind w:left="2100" w:leftChars="1000"/>
      <w:contextualSpacing/>
    </w:pPr>
  </w:style>
  <w:style w:type="paragraph" w:styleId="58">
    <w:name w:val="Balloon Text"/>
    <w:basedOn w:val="1"/>
    <w:link w:val="367"/>
    <w:unhideWhenUsed/>
    <w:qFormat/>
    <w:uiPriority w:val="99"/>
    <w:rPr>
      <w:sz w:val="18"/>
      <w:szCs w:val="18"/>
    </w:rPr>
  </w:style>
  <w:style w:type="paragraph" w:styleId="59">
    <w:name w:val="footer"/>
    <w:basedOn w:val="1"/>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unhideWhenUsed/>
    <w:qFormat/>
    <w:uiPriority w:val="99"/>
    <w:pPr>
      <w:ind w:left="100" w:leftChars="2100"/>
    </w:pPr>
  </w:style>
  <w:style w:type="paragraph" w:styleId="63">
    <w:name w:val="List Continue 4"/>
    <w:basedOn w:val="1"/>
    <w:unhideWhenUsed/>
    <w:qFormat/>
    <w:uiPriority w:val="99"/>
    <w:pPr>
      <w:spacing w:after="120"/>
      <w:ind w:left="1680" w:leftChars="800"/>
      <w:contextualSpacing/>
    </w:pPr>
  </w:style>
  <w:style w:type="paragraph" w:styleId="64">
    <w:name w:val="index heading"/>
    <w:basedOn w:val="1"/>
    <w:next w:val="65"/>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unhideWhenUsed/>
    <w:qFormat/>
    <w:uiPriority w:val="99"/>
    <w:pPr>
      <w:numPr>
        <w:ilvl w:val="0"/>
        <w:numId w:val="10"/>
      </w:numPr>
      <w:contextualSpacing/>
    </w:pPr>
  </w:style>
  <w:style w:type="paragraph" w:styleId="68">
    <w:name w:val="List"/>
    <w:basedOn w:val="1"/>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unhideWhenUsed/>
    <w:qFormat/>
    <w:uiPriority w:val="99"/>
    <w:pPr>
      <w:ind w:left="100" w:leftChars="800" w:hanging="200" w:hangingChars="200"/>
      <w:contextualSpacing/>
    </w:pPr>
  </w:style>
  <w:style w:type="paragraph" w:styleId="71">
    <w:name w:val="Body Text Indent 3"/>
    <w:basedOn w:val="1"/>
    <w:link w:val="491"/>
    <w:unhideWhenUsed/>
    <w:qFormat/>
    <w:uiPriority w:val="99"/>
    <w:pPr>
      <w:spacing w:after="120"/>
      <w:ind w:left="420" w:leftChars="200"/>
    </w:pPr>
    <w:rPr>
      <w:sz w:val="16"/>
      <w:szCs w:val="16"/>
    </w:rPr>
  </w:style>
  <w:style w:type="paragraph" w:styleId="72">
    <w:name w:val="index 7"/>
    <w:basedOn w:val="1"/>
    <w:next w:val="1"/>
    <w:unhideWhenUsed/>
    <w:qFormat/>
    <w:uiPriority w:val="99"/>
    <w:pPr>
      <w:ind w:left="1200" w:leftChars="1200"/>
    </w:pPr>
  </w:style>
  <w:style w:type="paragraph" w:styleId="73">
    <w:name w:val="index 9"/>
    <w:basedOn w:val="1"/>
    <w:next w:val="1"/>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next w:val="1"/>
    <w:semiHidden/>
    <w:qFormat/>
    <w:uiPriority w:val="0"/>
  </w:style>
  <w:style w:type="paragraph" w:styleId="76">
    <w:name w:val="Body Text 2"/>
    <w:basedOn w:val="1"/>
    <w:link w:val="488"/>
    <w:unhideWhenUsed/>
    <w:qFormat/>
    <w:uiPriority w:val="99"/>
    <w:pPr>
      <w:spacing w:after="120" w:line="480" w:lineRule="auto"/>
    </w:pPr>
  </w:style>
  <w:style w:type="paragraph" w:styleId="77">
    <w:name w:val="List 4"/>
    <w:basedOn w:val="1"/>
    <w:unhideWhenUsed/>
    <w:qFormat/>
    <w:uiPriority w:val="99"/>
    <w:pPr>
      <w:ind w:left="100" w:leftChars="600" w:hanging="200" w:hangingChars="200"/>
      <w:contextualSpacing/>
    </w:pPr>
  </w:style>
  <w:style w:type="paragraph" w:styleId="78">
    <w:name w:val="List Continue 2"/>
    <w:basedOn w:val="1"/>
    <w:unhideWhenUsed/>
    <w:qFormat/>
    <w:uiPriority w:val="99"/>
    <w:pPr>
      <w:spacing w:after="120"/>
      <w:ind w:left="840" w:leftChars="400"/>
      <w:contextualSpacing/>
    </w:pPr>
  </w:style>
  <w:style w:type="paragraph" w:styleId="79">
    <w:name w:val="Message Header"/>
    <w:basedOn w:val="1"/>
    <w:link w:val="48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82">
    <w:name w:val="List Continue 3"/>
    <w:basedOn w:val="1"/>
    <w:unhideWhenUsed/>
    <w:qFormat/>
    <w:uiPriority w:val="99"/>
    <w:pPr>
      <w:spacing w:after="120"/>
      <w:ind w:left="1260" w:leftChars="600"/>
      <w:contextualSpacing/>
    </w:pPr>
  </w:style>
  <w:style w:type="paragraph" w:styleId="83">
    <w:name w:val="index 2"/>
    <w:basedOn w:val="1"/>
    <w:next w:val="1"/>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unhideWhenUsed/>
    <w:qFormat/>
    <w:uiPriority w:val="99"/>
    <w:rPr>
      <w:b/>
      <w:bCs/>
    </w:rPr>
  </w:style>
  <w:style w:type="paragraph" w:styleId="86">
    <w:name w:val="Body Text First Indent"/>
    <w:basedOn w:val="40"/>
    <w:link w:val="485"/>
    <w:unhideWhenUsed/>
    <w:qFormat/>
    <w:uiPriority w:val="99"/>
    <w:pPr>
      <w:ind w:firstLine="420" w:firstLineChars="100"/>
    </w:pPr>
  </w:style>
  <w:style w:type="paragraph" w:styleId="87">
    <w:name w:val="Body Text First Indent 2"/>
    <w:basedOn w:val="41"/>
    <w:link w:val="487"/>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258"/>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258"/>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Heading"/>
    <w:basedOn w:val="3"/>
    <w:next w:val="1"/>
    <w:unhideWhenUsed/>
    <w:qFormat/>
    <w:uiPriority w:val="39"/>
    <w:pPr>
      <w:outlineLvl w:val="9"/>
    </w:pPr>
  </w:style>
  <w:style w:type="character" w:customStyle="1" w:styleId="354">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2"/>
    <w:semiHidden/>
    <w:qFormat/>
    <w:uiPriority w:val="99"/>
    <w:rPr>
      <w:rFonts w:ascii="Courier New" w:hAnsi="Courier New" w:cs="Courier New"/>
      <w:kern w:val="2"/>
      <w:sz w:val="24"/>
      <w:szCs w:val="24"/>
    </w:rPr>
  </w:style>
  <w:style w:type="character" w:customStyle="1" w:styleId="361">
    <w:name w:val="结束语 Char"/>
    <w:basedOn w:val="231"/>
    <w:link w:val="38"/>
    <w:semiHidden/>
    <w:qFormat/>
    <w:uiPriority w:val="99"/>
    <w:rPr>
      <w:kern w:val="2"/>
      <w:sz w:val="21"/>
      <w:szCs w:val="24"/>
    </w:rPr>
  </w:style>
  <w:style w:type="paragraph" w:customStyle="1" w:styleId="362">
    <w:name w:val="List Paragraph"/>
    <w:basedOn w:val="1"/>
    <w:qFormat/>
    <w:uiPriority w:val="99"/>
    <w:pPr>
      <w:ind w:firstLine="420" w:firstLineChars="200"/>
    </w:pPr>
  </w:style>
  <w:style w:type="character" w:customStyle="1" w:styleId="363">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4">
    <w:name w:val="Intense Emphasis"/>
    <w:basedOn w:val="231"/>
    <w:qFormat/>
    <w:uiPriority w:val="21"/>
    <w:rPr>
      <w:i/>
      <w:iCs/>
      <w:color w:val="5B9BD5" w:themeColor="accent1"/>
      <w14:textFill>
        <w14:solidFill>
          <w14:schemeClr w14:val="accent1"/>
        </w14:solidFill>
      </w14:textFill>
    </w:rPr>
  </w:style>
  <w:style w:type="paragraph" w:customStyle="1"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8"/>
    <w:semiHidden/>
    <w:qFormat/>
    <w:uiPriority w:val="99"/>
    <w:rPr>
      <w:kern w:val="2"/>
      <w:sz w:val="18"/>
      <w:szCs w:val="18"/>
    </w:rPr>
  </w:style>
  <w:style w:type="character" w:customStyle="1" w:styleId="368">
    <w:name w:val="批注文字 Char"/>
    <w:basedOn w:val="231"/>
    <w:link w:val="34"/>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2"/>
    <w:semiHidden/>
    <w:qFormat/>
    <w:uiPriority w:val="99"/>
    <w:rPr>
      <w:kern w:val="2"/>
      <w:sz w:val="21"/>
      <w:szCs w:val="24"/>
    </w:rPr>
  </w:style>
  <w:style w:type="table" w:customStyle="1" w:styleId="371">
    <w:name w:val="List Table 1 Light"/>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List Table 1 Light Accent 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List Table 1 Light Accent 2"/>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List Table 1 Light Accent 3"/>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List Table 1 Light Accent 4"/>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List Table 1 Light Accent 5"/>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List Table 1 Light Accent 6"/>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List Table 7 Colorful"/>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1"/>
    <w:basedOn w:val="88"/>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2"/>
    <w:basedOn w:val="88"/>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3"/>
    <w:basedOn w:val="88"/>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4"/>
    <w:basedOn w:val="88"/>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5"/>
    <w:basedOn w:val="88"/>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List Table 7 Colorful Accent 6"/>
    <w:basedOn w:val="88"/>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semiHidden/>
    <w:qFormat/>
    <w:uiPriority w:val="99"/>
    <w:rPr>
      <w:kern w:val="2"/>
      <w:sz w:val="21"/>
      <w:szCs w:val="24"/>
    </w:rPr>
  </w:style>
  <w:style w:type="character" w:customStyle="1" w:styleId="421">
    <w:name w:val="Book Title"/>
    <w:basedOn w:val="231"/>
    <w:qFormat/>
    <w:uiPriority w:val="33"/>
    <w:rPr>
      <w:b/>
      <w:bCs/>
      <w:i/>
      <w:iCs/>
      <w:spacing w:val="5"/>
    </w:rPr>
  </w:style>
  <w:style w:type="paragraph" w:customStyle="1" w:styleId="422">
    <w:name w:val="Bibliography"/>
    <w:basedOn w:val="1"/>
    <w:next w:val="1"/>
    <w:unhideWhenUsed/>
    <w:qFormat/>
    <w:uiPriority w:val="37"/>
  </w:style>
  <w:style w:type="table" w:customStyle="1" w:styleId="423">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3">
    <w:name w:val="尾注文本 Char"/>
    <w:basedOn w:val="231"/>
    <w:link w:val="56"/>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Plain Table 2"/>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Plain Table 3"/>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Plain Table 4"/>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Plain Table 5"/>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customStyle="1"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semiHidden/>
    <w:qFormat/>
    <w:uiPriority w:val="99"/>
    <w:rPr>
      <w:kern w:val="2"/>
      <w:sz w:val="16"/>
      <w:szCs w:val="16"/>
    </w:rPr>
  </w:style>
  <w:style w:type="character" w:customStyle="1" w:styleId="490">
    <w:name w:val="正文文本缩进 2 Char"/>
    <w:basedOn w:val="231"/>
    <w:link w:val="55"/>
    <w:semiHidden/>
    <w:qFormat/>
    <w:uiPriority w:val="99"/>
    <w:rPr>
      <w:kern w:val="2"/>
      <w:sz w:val="21"/>
      <w:szCs w:val="24"/>
    </w:rPr>
  </w:style>
  <w:style w:type="character" w:customStyle="1" w:styleId="491">
    <w:name w:val="正文文本缩进 3 Char"/>
    <w:basedOn w:val="231"/>
    <w:link w:val="71"/>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Unresolved Mention"/>
    <w:basedOn w:val="231"/>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paragraph" w:customStyle="1" w:styleId="518">
    <w:name w:val="样式 标题 1 + 非加粗"/>
    <w:basedOn w:val="3"/>
    <w:qFormat/>
    <w:uiPriority w:val="0"/>
    <w:pPr>
      <w:spacing w:before="100" w:beforeLines="100" w:after="100" w:afterLines="100" w:line="240" w:lineRule="auto"/>
    </w:pPr>
    <w:rPr>
      <w:rFonts w:eastAsia="黑体"/>
      <w:b w:val="0"/>
      <w:bCs w:val="0"/>
      <w:sz w:val="21"/>
    </w:rPr>
  </w:style>
  <w:style w:type="paragraph" w:customStyle="1" w:styleId="5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0">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5E234A-6CC9-4864-A23C-152C8EA3DC5A}">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9</Pages>
  <Words>5099</Words>
  <Characters>5501</Characters>
  <Lines>1</Lines>
  <Paragraphs>1</Paragraphs>
  <TotalTime>52</TotalTime>
  <ScaleCrop>false</ScaleCrop>
  <LinksUpToDate>false</LinksUpToDate>
  <CharactersWithSpaces>5625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2021-02-06T05:44:00Z</dcterms:created>
  <dc:creator>GY</dc:creator>
  <cp:lastModifiedBy>胡吕龙</cp:lastModifiedBy>
  <cp:lastPrinted>2021-02-08T04:27:00Z</cp:lastPrinted>
  <dcterms:modified xsi:type="dcterms:W3CDTF">2026-05-06T10:05:13Z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2052-11.8.2.12085</vt:lpwstr>
  </property>
  <property fmtid="{D5CDD505-2E9C-101B-9397-08002B2CF9AE}" pid="22" name="ICV">
    <vt:lpwstr>E06FC9EE633648B399D4F60BB3328308</vt:lpwstr>
  </property>
  <property fmtid="{D5CDD505-2E9C-101B-9397-08002B2CF9AE}" pid="23" name="KSOTemplateDocerSaveRecord">
    <vt:lpwstr>eyJoZGlkIjoiMGExY2I0NDMwZTFiNzA0YjI3ZGVhZDk1ZWI5ZjNiYmQiLCJ1c2VySWQiOiI0NDU1MTEzMDUifQ==</vt:lpwstr>
  </property>
</Properties>
</file>