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/>
          <w:b/>
          <w:color w:val="auto"/>
        </w:rPr>
      </w:pPr>
      <w:bookmarkStart w:id="32" w:name="_GoBack"/>
      <w:r>
        <w:rPr>
          <w:rFonts w:ascii="黑体" w:hAnsi="黑体" w:eastAsia="黑体"/>
          <w:color w:val="auto"/>
        </w:rPr>
        <w:t>附件</w:t>
      </w:r>
      <w:r>
        <w:rPr>
          <w:rFonts w:hint="eastAsia" w:ascii="黑体" w:hAnsi="黑体" w:eastAsia="黑体"/>
          <w:color w:val="auto"/>
        </w:rPr>
        <w:t>8</w:t>
      </w:r>
    </w:p>
    <w:p>
      <w:pPr>
        <w:jc w:val="center"/>
        <w:rPr>
          <w:rFonts w:hint="eastAsia" w:ascii="黑体" w:hAnsi="黑体" w:eastAsia="黑体"/>
          <w:bCs/>
          <w:color w:val="auto"/>
          <w:sz w:val="32"/>
          <w:szCs w:val="32"/>
        </w:rPr>
      </w:pPr>
      <w:r>
        <w:rPr>
          <w:rFonts w:hint="eastAsia" w:ascii="黑体" w:hAnsi="黑体" w:eastAsia="黑体"/>
          <w:bCs/>
          <w:color w:val="auto"/>
          <w:sz w:val="32"/>
          <w:szCs w:val="32"/>
        </w:rPr>
        <w:t>编制说明</w:t>
      </w:r>
    </w:p>
    <w:p>
      <w:pPr>
        <w:pStyle w:val="11"/>
        <w:ind w:firstLine="0" w:firstLineChars="0"/>
        <w:rPr>
          <w:color w:val="auto"/>
        </w:rPr>
      </w:pPr>
    </w:p>
    <w:p>
      <w:pPr>
        <w:pStyle w:val="11"/>
        <w:ind w:firstLine="0" w:firstLineChars="0"/>
        <w:rPr>
          <w:color w:val="auto"/>
        </w:rPr>
      </w:pPr>
    </w:p>
    <w:p>
      <w:pPr>
        <w:pStyle w:val="11"/>
        <w:ind w:firstLine="0" w:firstLineChars="0"/>
        <w:rPr>
          <w:color w:val="auto"/>
        </w:rPr>
      </w:pPr>
    </w:p>
    <w:p>
      <w:pPr>
        <w:pStyle w:val="11"/>
        <w:ind w:firstLine="0" w:firstLineChars="0"/>
        <w:rPr>
          <w:color w:val="auto"/>
        </w:rPr>
      </w:pPr>
    </w:p>
    <w:p>
      <w:pPr>
        <w:pStyle w:val="11"/>
        <w:ind w:firstLine="0" w:firstLineChars="0"/>
        <w:rPr>
          <w:color w:val="auto"/>
        </w:rPr>
      </w:pPr>
    </w:p>
    <w:p>
      <w:pPr>
        <w:pStyle w:val="11"/>
        <w:ind w:firstLine="0" w:firstLineChars="0"/>
        <w:rPr>
          <w:color w:val="auto"/>
        </w:rPr>
      </w:pPr>
    </w:p>
    <w:p>
      <w:pPr>
        <w:pStyle w:val="11"/>
        <w:ind w:firstLine="0" w:firstLineChars="0"/>
        <w:rPr>
          <w:color w:val="auto"/>
        </w:rPr>
      </w:pPr>
    </w:p>
    <w:p>
      <w:pPr>
        <w:pStyle w:val="11"/>
        <w:ind w:firstLine="0" w:firstLineChars="0"/>
        <w:rPr>
          <w:color w:val="auto"/>
        </w:rPr>
      </w:pPr>
    </w:p>
    <w:p>
      <w:pPr>
        <w:pStyle w:val="11"/>
        <w:ind w:firstLine="0" w:firstLineChars="0"/>
        <w:rPr>
          <w:color w:val="auto"/>
        </w:rPr>
      </w:pPr>
    </w:p>
    <w:p>
      <w:pPr>
        <w:pStyle w:val="11"/>
        <w:ind w:firstLine="0" w:firstLineChars="0"/>
        <w:rPr>
          <w:color w:val="auto"/>
        </w:rPr>
      </w:pPr>
    </w:p>
    <w:p>
      <w:pPr>
        <w:pStyle w:val="11"/>
        <w:ind w:firstLine="0" w:firstLineChars="0"/>
        <w:jc w:val="center"/>
        <w:rPr>
          <w:rFonts w:hint="eastAsia" w:ascii="黑体" w:eastAsia="黑体"/>
          <w:color w:val="auto"/>
          <w:sz w:val="44"/>
          <w:szCs w:val="44"/>
        </w:rPr>
      </w:pPr>
      <w:r>
        <w:rPr>
          <w:rFonts w:hint="eastAsia" w:ascii="黑体" w:eastAsia="黑体"/>
          <w:color w:val="auto"/>
          <w:sz w:val="44"/>
          <w:szCs w:val="44"/>
        </w:rPr>
        <w:t>电动汽车超级充电桩非嵌入式随充随检装置</w:t>
      </w:r>
    </w:p>
    <w:p>
      <w:pPr>
        <w:pStyle w:val="11"/>
        <w:ind w:firstLine="0" w:firstLineChars="0"/>
        <w:jc w:val="center"/>
        <w:rPr>
          <w:rFonts w:ascii="黑体" w:eastAsia="黑体"/>
          <w:color w:val="auto"/>
          <w:sz w:val="44"/>
          <w:szCs w:val="44"/>
        </w:rPr>
      </w:pPr>
    </w:p>
    <w:p>
      <w:pPr>
        <w:pStyle w:val="11"/>
        <w:rPr>
          <w:color w:val="auto"/>
        </w:rPr>
      </w:pPr>
    </w:p>
    <w:p>
      <w:pPr>
        <w:pStyle w:val="11"/>
        <w:rPr>
          <w:color w:val="auto"/>
        </w:rPr>
      </w:pPr>
    </w:p>
    <w:p>
      <w:pPr>
        <w:pStyle w:val="12"/>
        <w:numPr>
          <w:ilvl w:val="0"/>
          <w:numId w:val="0"/>
        </w:numPr>
        <w:jc w:val="center"/>
        <w:rPr>
          <w:color w:val="auto"/>
          <w:sz w:val="28"/>
          <w:szCs w:val="28"/>
        </w:rPr>
      </w:pPr>
      <w:bookmarkStart w:id="0" w:name="_Toc298937368"/>
      <w:bookmarkStart w:id="1" w:name="_Toc298937333"/>
      <w:bookmarkStart w:id="2" w:name="_Toc304824981"/>
      <w:bookmarkStart w:id="3" w:name="_Toc318613715"/>
      <w:bookmarkStart w:id="4" w:name="_Toc298937473"/>
      <w:bookmarkStart w:id="5" w:name="_Toc309994571"/>
      <w:bookmarkStart w:id="6" w:name="_Toc298937560"/>
      <w:bookmarkStart w:id="7" w:name="_Toc310002657"/>
      <w:bookmarkStart w:id="8" w:name="_Toc309996019"/>
      <w:bookmarkStart w:id="9" w:name="_Toc298937620"/>
      <w:bookmarkStart w:id="10" w:name="_Toc304402675"/>
      <w:bookmarkStart w:id="11" w:name="_Toc309995410"/>
      <w:bookmarkStart w:id="12" w:name="_Toc298937430"/>
      <w:bookmarkStart w:id="13" w:name="_Toc298938794"/>
      <w:bookmarkStart w:id="14" w:name="_Toc304825093"/>
      <w:bookmarkStart w:id="15" w:name="_Toc320020914"/>
      <w:bookmarkStart w:id="16" w:name="_Toc309995492"/>
      <w:bookmarkStart w:id="17" w:name="_Toc304825020"/>
      <w:bookmarkStart w:id="18" w:name="_Toc309997060"/>
      <w:bookmarkStart w:id="19" w:name="_Toc309995598"/>
      <w:bookmarkStart w:id="20" w:name="_Toc298938646"/>
      <w:bookmarkStart w:id="21" w:name="_Toc304828086"/>
      <w:bookmarkStart w:id="22" w:name="_Toc309993200"/>
      <w:r>
        <w:rPr>
          <w:rFonts w:hint="eastAsia"/>
          <w:color w:val="auto"/>
          <w:sz w:val="28"/>
          <w:szCs w:val="28"/>
        </w:rPr>
        <w:t>编 制 说</w:t>
      </w:r>
      <w:bookmarkEnd w:id="0"/>
      <w:bookmarkEnd w:id="1"/>
      <w:r>
        <w:rPr>
          <w:rFonts w:hint="eastAsia"/>
          <w:color w:val="auto"/>
          <w:sz w:val="28"/>
          <w:szCs w:val="28"/>
        </w:rPr>
        <w:t> 明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</w:p>
    <w:p>
      <w:pPr>
        <w:pStyle w:val="11"/>
        <w:ind w:firstLine="560"/>
        <w:jc w:val="center"/>
        <w:rPr>
          <w:rFonts w:ascii="黑体" w:eastAsia="黑体"/>
          <w:color w:val="auto"/>
          <w:sz w:val="28"/>
          <w:szCs w:val="28"/>
        </w:rPr>
      </w:pPr>
    </w:p>
    <w:p>
      <w:pPr>
        <w:pStyle w:val="11"/>
        <w:ind w:firstLine="560"/>
        <w:jc w:val="center"/>
        <w:rPr>
          <w:rFonts w:ascii="黑体" w:eastAsia="黑体"/>
          <w:color w:val="auto"/>
          <w:sz w:val="28"/>
          <w:szCs w:val="28"/>
        </w:rPr>
      </w:pPr>
    </w:p>
    <w:p>
      <w:pPr>
        <w:pStyle w:val="11"/>
        <w:rPr>
          <w:color w:val="auto"/>
        </w:rPr>
        <w:sectPr>
          <w:headerReference r:id="rId5" w:type="first"/>
          <w:headerReference r:id="rId3" w:type="default"/>
          <w:headerReference r:id="rId4" w:type="even"/>
          <w:pgSz w:w="11906" w:h="16838"/>
          <w:pgMar w:top="1440" w:right="1797" w:bottom="1417" w:left="1797" w:header="1418" w:footer="1134" w:gutter="0"/>
          <w:cols w:space="720" w:num="1"/>
          <w:formProt w:val="0"/>
          <w:titlePg/>
          <w:docGrid w:type="lines" w:linePitch="312" w:charSpace="0"/>
        </w:sectPr>
      </w:pPr>
    </w:p>
    <w:p>
      <w:pPr>
        <w:pStyle w:val="13"/>
        <w:rPr>
          <w:color w:val="auto"/>
        </w:rPr>
      </w:pPr>
      <w:bookmarkStart w:id="23" w:name="_Toc309992160"/>
      <w:bookmarkStart w:id="24" w:name="_Toc513731109"/>
      <w:bookmarkStart w:id="25" w:name="_Toc513731021"/>
      <w:r>
        <w:rPr>
          <w:rFonts w:hint="eastAsia"/>
          <w:color w:val="auto"/>
        </w:rPr>
        <w:t>目次</w:t>
      </w:r>
      <w:bookmarkEnd w:id="23"/>
      <w:bookmarkEnd w:id="24"/>
      <w:bookmarkEnd w:id="25"/>
    </w:p>
    <w:p>
      <w:pPr>
        <w:pStyle w:val="6"/>
        <w:spacing w:before="78" w:after="78"/>
        <w:rPr>
          <w:rFonts w:ascii="Calibri" w:hAnsi="Calibri"/>
          <w:color w:val="auto"/>
          <w:szCs w:val="22"/>
        </w:rPr>
      </w:pPr>
      <w:r>
        <w:rPr>
          <w:rFonts w:hAnsi="宋体"/>
          <w:color w:val="auto"/>
        </w:rPr>
        <w:fldChar w:fldCharType="begin"/>
      </w:r>
      <w:r>
        <w:rPr>
          <w:rFonts w:hAnsi="宋体"/>
          <w:color w:val="auto"/>
        </w:rPr>
        <w:instrText xml:space="preserve"> </w:instrText>
      </w:r>
      <w:r>
        <w:rPr>
          <w:rFonts w:hint="eastAsia" w:hAnsi="宋体"/>
          <w:color w:val="auto"/>
        </w:rPr>
        <w:instrText xml:space="preserve">TOC \o "1-1" \h \z \u</w:instrText>
      </w:r>
      <w:r>
        <w:rPr>
          <w:rFonts w:hAnsi="宋体"/>
          <w:color w:val="auto"/>
        </w:rPr>
        <w:instrText xml:space="preserve"> </w:instrText>
      </w:r>
      <w:r>
        <w:rPr>
          <w:rFonts w:hAnsi="宋体"/>
          <w:color w:val="auto"/>
        </w:rPr>
        <w:fldChar w:fldCharType="separate"/>
      </w:r>
    </w:p>
    <w:p>
      <w:pPr>
        <w:pStyle w:val="6"/>
        <w:spacing w:before="78" w:after="78"/>
        <w:rPr>
          <w:rFonts w:ascii="Calibri" w:hAnsi="Calibri"/>
          <w:color w:val="auto"/>
          <w:szCs w:val="22"/>
        </w:rPr>
      </w:pPr>
      <w:r>
        <w:rPr>
          <w:color w:val="auto"/>
        </w:rPr>
        <w:fldChar w:fldCharType="begin"/>
      </w:r>
      <w:r>
        <w:rPr>
          <w:color w:val="auto"/>
        </w:rPr>
        <w:instrText xml:space="preserve"> HYPERLINK \l "_Toc513731110" </w:instrText>
      </w:r>
      <w:r>
        <w:rPr>
          <w:color w:val="auto"/>
        </w:rPr>
        <w:fldChar w:fldCharType="separate"/>
      </w:r>
      <w:r>
        <w:rPr>
          <w:rStyle w:val="10"/>
          <w:rFonts w:hAnsi="宋体"/>
          <w:color w:val="auto"/>
        </w:rPr>
        <w:t xml:space="preserve">1 </w:t>
      </w:r>
      <w:r>
        <w:rPr>
          <w:rStyle w:val="10"/>
          <w:rFonts w:hint="eastAsia" w:hAnsi="宋体"/>
          <w:color w:val="auto"/>
        </w:rPr>
        <w:t>编制背景</w:t>
      </w:r>
      <w:r>
        <w:rPr>
          <w:color w:val="auto"/>
        </w:rPr>
        <w:tab/>
      </w:r>
      <w:r>
        <w:rPr>
          <w:color w:val="auto"/>
        </w:rPr>
        <w:fldChar w:fldCharType="begin"/>
      </w:r>
      <w:r>
        <w:rPr>
          <w:color w:val="auto"/>
        </w:rPr>
        <w:instrText xml:space="preserve"> PAGEREF _Toc513731110 \h </w:instrText>
      </w:r>
      <w:r>
        <w:rPr>
          <w:color w:val="auto"/>
        </w:rPr>
        <w:fldChar w:fldCharType="separate"/>
      </w:r>
      <w:r>
        <w:rPr>
          <w:color w:val="auto"/>
        </w:rPr>
        <w:t>29</w:t>
      </w:r>
      <w:r>
        <w:rPr>
          <w:color w:val="auto"/>
        </w:rPr>
        <w:fldChar w:fldCharType="end"/>
      </w:r>
      <w:r>
        <w:rPr>
          <w:color w:val="auto"/>
        </w:rPr>
        <w:fldChar w:fldCharType="end"/>
      </w:r>
    </w:p>
    <w:p>
      <w:pPr>
        <w:pStyle w:val="6"/>
        <w:spacing w:before="78" w:after="78"/>
        <w:rPr>
          <w:rFonts w:ascii="Calibri" w:hAnsi="Calibri"/>
          <w:color w:val="auto"/>
          <w:szCs w:val="22"/>
        </w:rPr>
      </w:pPr>
      <w:r>
        <w:rPr>
          <w:color w:val="auto"/>
        </w:rPr>
        <w:fldChar w:fldCharType="begin"/>
      </w:r>
      <w:r>
        <w:rPr>
          <w:color w:val="auto"/>
        </w:rPr>
        <w:instrText xml:space="preserve"> HYPERLINK \l "_Toc513731111" </w:instrText>
      </w:r>
      <w:r>
        <w:rPr>
          <w:color w:val="auto"/>
        </w:rPr>
        <w:fldChar w:fldCharType="separate"/>
      </w:r>
      <w:r>
        <w:rPr>
          <w:rStyle w:val="10"/>
          <w:rFonts w:hAnsi="宋体"/>
          <w:color w:val="auto"/>
        </w:rPr>
        <w:t xml:space="preserve">2 </w:t>
      </w:r>
      <w:r>
        <w:rPr>
          <w:rStyle w:val="10"/>
          <w:rFonts w:hint="eastAsia" w:hAnsi="宋体"/>
          <w:color w:val="auto"/>
        </w:rPr>
        <w:t>编制主要原则</w:t>
      </w:r>
      <w:r>
        <w:rPr>
          <w:color w:val="auto"/>
        </w:rPr>
        <w:tab/>
      </w:r>
      <w:r>
        <w:rPr>
          <w:color w:val="auto"/>
        </w:rPr>
        <w:fldChar w:fldCharType="begin"/>
      </w:r>
      <w:r>
        <w:rPr>
          <w:color w:val="auto"/>
        </w:rPr>
        <w:instrText xml:space="preserve"> PAGEREF _Toc513731111 \h </w:instrText>
      </w:r>
      <w:r>
        <w:rPr>
          <w:color w:val="auto"/>
        </w:rPr>
        <w:fldChar w:fldCharType="separate"/>
      </w:r>
      <w:r>
        <w:rPr>
          <w:color w:val="auto"/>
        </w:rPr>
        <w:t>29</w:t>
      </w:r>
      <w:r>
        <w:rPr>
          <w:color w:val="auto"/>
        </w:rPr>
        <w:fldChar w:fldCharType="end"/>
      </w:r>
      <w:r>
        <w:rPr>
          <w:color w:val="auto"/>
        </w:rPr>
        <w:fldChar w:fldCharType="end"/>
      </w:r>
    </w:p>
    <w:p>
      <w:pPr>
        <w:pStyle w:val="6"/>
        <w:spacing w:before="78" w:after="78"/>
        <w:rPr>
          <w:rFonts w:ascii="Calibri" w:hAnsi="Calibri"/>
          <w:color w:val="auto"/>
          <w:szCs w:val="22"/>
        </w:rPr>
      </w:pPr>
      <w:r>
        <w:rPr>
          <w:color w:val="auto"/>
        </w:rPr>
        <w:fldChar w:fldCharType="begin"/>
      </w:r>
      <w:r>
        <w:rPr>
          <w:color w:val="auto"/>
        </w:rPr>
        <w:instrText xml:space="preserve"> HYPERLINK \l "_Toc513731112" </w:instrText>
      </w:r>
      <w:r>
        <w:rPr>
          <w:color w:val="auto"/>
        </w:rPr>
        <w:fldChar w:fldCharType="separate"/>
      </w:r>
      <w:r>
        <w:rPr>
          <w:rStyle w:val="10"/>
          <w:rFonts w:hAnsi="宋体"/>
          <w:color w:val="auto"/>
        </w:rPr>
        <w:t xml:space="preserve">3 </w:t>
      </w:r>
      <w:r>
        <w:rPr>
          <w:rStyle w:val="10"/>
          <w:rFonts w:hint="eastAsia" w:hAnsi="宋体"/>
          <w:color w:val="auto"/>
        </w:rPr>
        <w:t>主要工作过程</w:t>
      </w:r>
      <w:r>
        <w:rPr>
          <w:color w:val="auto"/>
        </w:rPr>
        <w:tab/>
      </w:r>
      <w:r>
        <w:rPr>
          <w:color w:val="auto"/>
        </w:rPr>
        <w:fldChar w:fldCharType="begin"/>
      </w:r>
      <w:r>
        <w:rPr>
          <w:color w:val="auto"/>
        </w:rPr>
        <w:instrText xml:space="preserve"> PAGEREF _Toc513731112 \h </w:instrText>
      </w:r>
      <w:r>
        <w:rPr>
          <w:color w:val="auto"/>
        </w:rPr>
        <w:fldChar w:fldCharType="separate"/>
      </w:r>
      <w:r>
        <w:rPr>
          <w:color w:val="auto"/>
        </w:rPr>
        <w:t>29</w:t>
      </w:r>
      <w:r>
        <w:rPr>
          <w:color w:val="auto"/>
        </w:rPr>
        <w:fldChar w:fldCharType="end"/>
      </w:r>
      <w:r>
        <w:rPr>
          <w:color w:val="auto"/>
        </w:rPr>
        <w:fldChar w:fldCharType="end"/>
      </w:r>
    </w:p>
    <w:p>
      <w:pPr>
        <w:pStyle w:val="6"/>
        <w:spacing w:before="78" w:after="78"/>
        <w:rPr>
          <w:rFonts w:ascii="Calibri" w:hAnsi="Calibri"/>
          <w:color w:val="auto"/>
          <w:szCs w:val="22"/>
        </w:rPr>
      </w:pPr>
      <w:r>
        <w:rPr>
          <w:color w:val="auto"/>
        </w:rPr>
        <w:fldChar w:fldCharType="begin"/>
      </w:r>
      <w:r>
        <w:rPr>
          <w:color w:val="auto"/>
        </w:rPr>
        <w:instrText xml:space="preserve"> HYPERLINK \l "_Toc513731113" </w:instrText>
      </w:r>
      <w:r>
        <w:rPr>
          <w:color w:val="auto"/>
        </w:rPr>
        <w:fldChar w:fldCharType="separate"/>
      </w:r>
      <w:r>
        <w:rPr>
          <w:rStyle w:val="10"/>
          <w:rFonts w:hAnsi="宋体"/>
          <w:color w:val="auto"/>
        </w:rPr>
        <w:t>4</w:t>
      </w:r>
      <w:r>
        <w:rPr>
          <w:rStyle w:val="10"/>
          <w:color w:val="auto"/>
        </w:rPr>
        <w:t xml:space="preserve"> </w:t>
      </w:r>
      <w:r>
        <w:rPr>
          <w:rStyle w:val="10"/>
          <w:rFonts w:hint="eastAsia"/>
          <w:color w:val="auto"/>
        </w:rPr>
        <w:t>标准结构和内容说明</w:t>
      </w:r>
      <w:r>
        <w:rPr>
          <w:color w:val="auto"/>
        </w:rPr>
        <w:tab/>
      </w:r>
      <w:r>
        <w:rPr>
          <w:color w:val="auto"/>
        </w:rPr>
        <w:fldChar w:fldCharType="begin"/>
      </w:r>
      <w:r>
        <w:rPr>
          <w:color w:val="auto"/>
        </w:rPr>
        <w:instrText xml:space="preserve"> PAGEREF _Toc513731113 \h </w:instrText>
      </w:r>
      <w:r>
        <w:rPr>
          <w:color w:val="auto"/>
        </w:rPr>
        <w:fldChar w:fldCharType="separate"/>
      </w:r>
      <w:r>
        <w:rPr>
          <w:color w:val="auto"/>
        </w:rPr>
        <w:t>29</w:t>
      </w:r>
      <w:r>
        <w:rPr>
          <w:color w:val="auto"/>
        </w:rPr>
        <w:fldChar w:fldCharType="end"/>
      </w:r>
      <w:r>
        <w:rPr>
          <w:color w:val="auto"/>
        </w:rPr>
        <w:fldChar w:fldCharType="end"/>
      </w:r>
    </w:p>
    <w:p>
      <w:pPr>
        <w:pStyle w:val="6"/>
        <w:spacing w:before="78" w:after="78"/>
        <w:rPr>
          <w:rFonts w:ascii="Calibri" w:hAnsi="Calibri"/>
          <w:color w:val="auto"/>
          <w:szCs w:val="22"/>
        </w:rPr>
      </w:pPr>
      <w:r>
        <w:rPr>
          <w:color w:val="auto"/>
        </w:rPr>
        <w:fldChar w:fldCharType="begin"/>
      </w:r>
      <w:r>
        <w:rPr>
          <w:color w:val="auto"/>
        </w:rPr>
        <w:instrText xml:space="preserve"> HYPERLINK \l "_Toc513731114" </w:instrText>
      </w:r>
      <w:r>
        <w:rPr>
          <w:color w:val="auto"/>
        </w:rPr>
        <w:fldChar w:fldCharType="separate"/>
      </w:r>
      <w:r>
        <w:rPr>
          <w:rStyle w:val="10"/>
          <w:rFonts w:hAnsi="宋体"/>
          <w:color w:val="auto"/>
        </w:rPr>
        <w:t>5</w:t>
      </w:r>
      <w:r>
        <w:rPr>
          <w:rStyle w:val="10"/>
          <w:rFonts w:hint="eastAsia"/>
          <w:color w:val="auto"/>
        </w:rPr>
        <w:t>相关标准对比说明</w:t>
      </w:r>
      <w:r>
        <w:rPr>
          <w:rStyle w:val="10"/>
          <w:color w:val="auto"/>
        </w:rPr>
        <w:tab/>
      </w:r>
      <w:r>
        <w:rPr>
          <w:color w:val="auto"/>
        </w:rPr>
        <w:fldChar w:fldCharType="begin"/>
      </w:r>
      <w:r>
        <w:rPr>
          <w:rStyle w:val="10"/>
          <w:color w:val="auto"/>
        </w:rPr>
        <w:instrText xml:space="preserve"> PAGEREF _Toc513731114 \h </w:instrText>
      </w:r>
      <w:r>
        <w:rPr>
          <w:color w:val="auto"/>
        </w:rPr>
        <w:fldChar w:fldCharType="separate"/>
      </w:r>
      <w:r>
        <w:rPr>
          <w:rStyle w:val="10"/>
          <w:color w:val="auto"/>
        </w:rPr>
        <w:t>30</w:t>
      </w:r>
      <w:r>
        <w:rPr>
          <w:color w:val="auto"/>
        </w:rPr>
        <w:fldChar w:fldCharType="end"/>
      </w:r>
      <w:r>
        <w:rPr>
          <w:color w:val="auto"/>
        </w:rPr>
        <w:fldChar w:fldCharType="end"/>
      </w:r>
    </w:p>
    <w:p>
      <w:pPr>
        <w:pStyle w:val="6"/>
        <w:spacing w:before="78" w:after="78"/>
        <w:rPr>
          <w:rFonts w:ascii="Calibri" w:hAnsi="Calibri"/>
          <w:color w:val="auto"/>
          <w:szCs w:val="22"/>
        </w:rPr>
      </w:pPr>
      <w:r>
        <w:rPr>
          <w:color w:val="auto"/>
        </w:rPr>
        <w:fldChar w:fldCharType="begin"/>
      </w:r>
      <w:r>
        <w:rPr>
          <w:color w:val="auto"/>
        </w:rPr>
        <w:instrText xml:space="preserve"> HYPERLINK \l "_Toc513731115" </w:instrText>
      </w:r>
      <w:r>
        <w:rPr>
          <w:color w:val="auto"/>
        </w:rPr>
        <w:fldChar w:fldCharType="separate"/>
      </w:r>
      <w:r>
        <w:rPr>
          <w:rStyle w:val="10"/>
          <w:rFonts w:hAnsi="宋体"/>
          <w:color w:val="auto"/>
        </w:rPr>
        <w:t>6</w:t>
      </w:r>
      <w:r>
        <w:rPr>
          <w:rStyle w:val="10"/>
          <w:rFonts w:hint="eastAsia" w:hAnsi="宋体"/>
          <w:color w:val="auto"/>
        </w:rPr>
        <w:t>标准实施措施说明</w:t>
      </w:r>
      <w:r>
        <w:rPr>
          <w:color w:val="auto"/>
        </w:rPr>
        <w:tab/>
      </w:r>
      <w:r>
        <w:rPr>
          <w:color w:val="auto"/>
        </w:rPr>
        <w:fldChar w:fldCharType="begin"/>
      </w:r>
      <w:r>
        <w:rPr>
          <w:color w:val="auto"/>
        </w:rPr>
        <w:instrText xml:space="preserve"> PAGEREF _Toc513731115 \h </w:instrText>
      </w:r>
      <w:r>
        <w:rPr>
          <w:color w:val="auto"/>
        </w:rPr>
        <w:fldChar w:fldCharType="separate"/>
      </w:r>
      <w:r>
        <w:rPr>
          <w:color w:val="auto"/>
        </w:rPr>
        <w:t>30</w:t>
      </w:r>
      <w:r>
        <w:rPr>
          <w:color w:val="auto"/>
        </w:rPr>
        <w:fldChar w:fldCharType="end"/>
      </w:r>
      <w:r>
        <w:rPr>
          <w:color w:val="auto"/>
        </w:rPr>
        <w:fldChar w:fldCharType="end"/>
      </w:r>
    </w:p>
    <w:p>
      <w:pPr>
        <w:pStyle w:val="11"/>
        <w:rPr>
          <w:rFonts w:hint="eastAsia" w:hAnsi="宋体"/>
          <w:color w:val="auto"/>
          <w:szCs w:val="21"/>
        </w:rPr>
      </w:pPr>
      <w:r>
        <w:rPr>
          <w:rFonts w:hAnsi="宋体"/>
          <w:color w:val="auto"/>
          <w:szCs w:val="21"/>
        </w:rPr>
        <w:fldChar w:fldCharType="end"/>
      </w:r>
    </w:p>
    <w:p>
      <w:pPr>
        <w:pStyle w:val="11"/>
        <w:rPr>
          <w:rFonts w:hint="eastAsia" w:hAnsi="宋体"/>
          <w:color w:val="auto"/>
          <w:szCs w:val="21"/>
        </w:rPr>
      </w:pPr>
    </w:p>
    <w:p>
      <w:pPr>
        <w:pStyle w:val="11"/>
        <w:rPr>
          <w:rFonts w:hint="eastAsia" w:hAnsi="宋体"/>
          <w:color w:val="auto"/>
          <w:szCs w:val="21"/>
        </w:rPr>
      </w:pPr>
    </w:p>
    <w:p>
      <w:pPr>
        <w:pStyle w:val="11"/>
        <w:rPr>
          <w:rFonts w:hint="eastAsia" w:hAnsi="宋体"/>
          <w:color w:val="auto"/>
          <w:szCs w:val="21"/>
        </w:rPr>
      </w:pPr>
    </w:p>
    <w:p>
      <w:pPr>
        <w:pStyle w:val="11"/>
        <w:rPr>
          <w:rFonts w:hint="eastAsia" w:hAnsi="宋体"/>
          <w:color w:val="auto"/>
          <w:szCs w:val="21"/>
        </w:rPr>
        <w:sectPr>
          <w:headerReference r:id="rId6" w:type="default"/>
          <w:footerReference r:id="rId7" w:type="default"/>
          <w:pgSz w:w="11906" w:h="16838"/>
          <w:pgMar w:top="567" w:right="1134" w:bottom="1134" w:left="1417" w:header="1418" w:footer="1134" w:gutter="0"/>
          <w:pgNumType w:start="28"/>
          <w:cols w:space="720" w:num="1"/>
          <w:formProt w:val="0"/>
          <w:docGrid w:type="lines" w:linePitch="312" w:charSpace="0"/>
        </w:sectPr>
      </w:pPr>
    </w:p>
    <w:p>
      <w:pPr>
        <w:pStyle w:val="15"/>
        <w:spacing w:before="312" w:after="312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bookmarkStart w:id="26" w:name="_Toc513731110"/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1 编制背景</w:t>
      </w:r>
      <w:bookmarkEnd w:id="26"/>
    </w:p>
    <w:p>
      <w:pPr>
        <w:widowControl w:val="0"/>
        <w:spacing w:after="0" w:line="360" w:lineRule="auto"/>
        <w:ind w:firstLine="640" w:firstLineChars="200"/>
        <w:jc w:val="both"/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  <w:lang w:val="en-US" w:eastAsia="zh-CN"/>
        </w:rPr>
        <w:t>本标准是</w:t>
      </w:r>
      <w:r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  <w:lang w:val="en-US" w:eastAsia="zh-CN"/>
        </w:rPr>
        <w:t>根据电机咨〔2025〕532号文</w:t>
      </w:r>
      <w:r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  <w:lang w:val="en-US" w:eastAsia="zh-CN"/>
        </w:rPr>
        <w:t>，“</w:t>
      </w:r>
      <w:r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  <w:lang w:val="en-US" w:eastAsia="zh-CN"/>
        </w:rPr>
        <w:t>中国电机工程学会关于印发中国电机工程学会2025年标准计划（第一批）的通知</w:t>
      </w:r>
      <w:r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  <w:lang w:val="en-US" w:eastAsia="zh-CN"/>
        </w:rPr>
        <w:t>”下达的制定任务，项目序号</w:t>
      </w:r>
      <w:r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  <w:lang w:val="en-US" w:eastAsia="zh-CN"/>
        </w:rPr>
        <w:t>57</w:t>
      </w:r>
      <w:r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  <w:lang w:val="en-US" w:eastAsia="zh-CN"/>
        </w:rPr>
        <w:t>对“电动汽车超级充电桩非嵌入式随充随检装置”进行制定的。</w:t>
      </w:r>
      <w:r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  <w:lang w:val="en-US" w:eastAsia="zh-CN"/>
        </w:rPr>
        <w:t>由国网湖北省电力公司武汉供电公司单位</w:t>
      </w:r>
      <w:r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  <w:lang w:val="en-US" w:eastAsia="zh-CN"/>
        </w:rPr>
        <w:t>负责起草。</w:t>
      </w:r>
    </w:p>
    <w:p>
      <w:pPr>
        <w:widowControl w:val="0"/>
        <w:spacing w:after="0" w:line="360" w:lineRule="auto"/>
        <w:ind w:firstLine="640" w:firstLineChars="200"/>
        <w:jc w:val="both"/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  <w:lang w:val="en-US" w:eastAsia="zh-CN"/>
        </w:rPr>
        <w:t>截至2025年末，我国新能源汽车保有量达4397万辆，公共充电设施达471.7万个，广泛覆盖城市商圈、交通枢纽、高速公路服务区等场景，充电桩的安全运行直接关系到公众出行安全和公共安全。当前部分公共充电设施陈旧老化、“超期服役”“带病运行”，部分超级充电桩存在功率虚标、绝缘故障等隐患，给人身安全和公共安全带来风险。本标准的实施，将规范随充随检装置的使用，实现超级充电桩“充电即检测、检测即预警”，可快速发现充电桩绝缘故障、接触不良、散热异常等潜在隐患，推动隐患早发现、早整改，有效降低充电安全事故发生率，筑牢充电安全防线。同时，规范的检测流程和精准的检测结果，可提升公众对电动汽车充电的信任度，缓解“充电焦虑”，助力新能源汽车普及，推动绿色出行发展，助力“双碳”目标实现。此外，随充随检装置的标准化的应用，可在偏远山区、临时活动现场等无市电供应场景实现便捷检测，扩大充电设施检测覆盖范围，保障各类场景下充电安全。</w:t>
      </w:r>
    </w:p>
    <w:p>
      <w:pPr>
        <w:widowControl w:val="0"/>
        <w:spacing w:after="0" w:line="360" w:lineRule="auto"/>
        <w:ind w:firstLine="640" w:firstLineChars="200"/>
        <w:jc w:val="both"/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  <w:lang w:val="en-US" w:eastAsia="zh-CN"/>
        </w:rPr>
        <w:t>破解行业乱象，引导行业有序竞争。当前随充随检装置市场缺乏统一标准，产品质量参差不齐，部分企业通过降低技术标准、缩减安全配置降低成本，形成恶性竞争，制约行业健康发展。本标准填补了非嵌入式随充随检装置专项标准的空白，与现有充电桩产品标准、计量检定规程、安全标准形成互补，构建起完整的充电设施检测标准体系，为行业发展提供清晰的技术指引。同时，统一的技术要求和检测规范，可降低行业技术沟通成本和运营成本，推动随充随检装置与超级充电桩、电动汽车电池管理系统（BMS）的高效适配，提升整个充电设施行业的规范化、智能化水平。</w:t>
      </w:r>
    </w:p>
    <w:p>
      <w:pPr>
        <w:widowControl w:val="0"/>
        <w:spacing w:after="0" w:line="360" w:lineRule="auto"/>
        <w:ind w:firstLine="640" w:firstLineChars="200"/>
        <w:jc w:val="both"/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  <w:lang w:val="en-US" w:eastAsia="zh-CN"/>
        </w:rPr>
        <w:t>标准将引导企业在检测精度、便携性、智能化、多场景适配等方面开展技术创新，如优化钣金式轻巧结构、完善内置负载和电压模拟功能、提升数据处理与分析能力、拓展上位机通讯与远程监测功能等。通过技术创新，推动随充随检装置向高效化、智能化、便携化发展，提升我国充电设施检测装备的核心竞争力，助力我国在新能源汽车充电设施领域占据国际领先地位。此外，标准的实施还将推动“在线监测与精准抽检相结合”的智慧监管模式落地，提升监管效率与精准度，完善充电设施全链条监管体系。</w:t>
      </w:r>
    </w:p>
    <w:p>
      <w:pPr>
        <w:pStyle w:val="15"/>
        <w:spacing w:before="312" w:after="312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bookmarkStart w:id="27" w:name="_Toc513731111"/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2 编制主要原则</w:t>
      </w:r>
      <w:bookmarkEnd w:id="27"/>
    </w:p>
    <w:p>
      <w:pPr>
        <w:widowControl w:val="0"/>
        <w:spacing w:after="0" w:line="360" w:lineRule="auto"/>
        <w:ind w:firstLine="640" w:firstLineChars="200"/>
        <w:jc w:val="both"/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  <w:lang w:val="en-US" w:eastAsia="zh-CN"/>
        </w:rPr>
        <w:t>本标准编制严格遵循“安全优先、科学合理”的核心原则，兼顾规范性、实用性和创新性，确保标准可落地、可推广，具体原则如下：</w:t>
      </w:r>
    </w:p>
    <w:p>
      <w:pPr>
        <w:widowControl w:val="0"/>
        <w:spacing w:after="0" w:line="360" w:lineRule="auto"/>
        <w:ind w:firstLine="640" w:firstLineChars="200"/>
        <w:jc w:val="both"/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  <w:lang w:val="en-US" w:eastAsia="zh-CN"/>
        </w:rPr>
        <w:t>超级充电桩功率高、电压大，随充随检装置的使用直接关联人身安全、设备安全和公共安全，因此本标准编制将安全作为首要原则。严格界定装置的机械安全、电气安全、电磁兼容性、环境适应性等核心安全指标，确保装置在各类使用场景下的安全性和可靠性，保障检测人员、用户的安全。</w:t>
      </w:r>
    </w:p>
    <w:p>
      <w:pPr>
        <w:widowControl w:val="0"/>
        <w:spacing w:after="0" w:line="360" w:lineRule="auto"/>
        <w:ind w:firstLine="640" w:firstLineChars="200"/>
        <w:jc w:val="both"/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  <w:lang w:val="en-US" w:eastAsia="zh-CN"/>
        </w:rPr>
        <w:t>标准编制基于当前随充随检装置的技术发展水平、产业现状和监管需求，结合大量实地调研、技术验证和数据论证，确保各项技术指标、检测方法、操作规范科学合理、切实可行。避免脱离实际的过高要求或过低标准，既兼顾现有成熟技术的应用，又不制约行业技术进步，确保标准能够有效指导产品研发、生产和检测实践。</w:t>
      </w:r>
    </w:p>
    <w:p>
      <w:pPr>
        <w:widowControl w:val="0"/>
        <w:spacing w:after="0" w:line="360" w:lineRule="auto"/>
        <w:ind w:firstLine="640" w:firstLineChars="200"/>
        <w:jc w:val="both"/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  <w:lang w:val="en-US" w:eastAsia="zh-CN"/>
        </w:rPr>
        <w:t>与我国现有电动汽车充电设施相关国家标准、行业标准及计量检定规程协调，如：GB/T 18487《电动车辆传导充电系统》系列标准</w:t>
      </w:r>
      <w:r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  <w:lang w:val="en-US" w:eastAsia="zh-CN" w:bidi="ar-SA"/>
        </w:rPr>
        <w:t>、GB/T 20234《电动汽车传导充电用连接装置》系列标准、NB/T 33008系列《电动汽车充电设备检验试验规范》系列标准</w:t>
      </w:r>
      <w:r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  <w:lang w:val="en-US" w:eastAsia="zh-CN"/>
        </w:rPr>
        <w:t>，确保本标准与现有标准协同一致。同时，兼顾不同厂家产品的通用性和互换性，推动装置与超级充电桩、电动汽车电池管理系统（BMS）的高效适配，提升整个产业的协同性。</w:t>
      </w:r>
    </w:p>
    <w:p>
      <w:pPr>
        <w:widowControl w:val="0"/>
        <w:spacing w:after="0" w:line="360" w:lineRule="auto"/>
        <w:ind w:firstLine="640" w:firstLineChars="200"/>
        <w:jc w:val="both"/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</w:rPr>
      </w:pPr>
      <w:r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  <w:lang w:val="en-US" w:eastAsia="zh-CN"/>
        </w:rPr>
        <w:t>该标准的编制符合</w:t>
      </w:r>
      <w:r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</w:rPr>
        <w:t>标准编制过程中严格遵循GB/T 1.1</w:t>
      </w:r>
      <w:r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  <w:lang w:eastAsia="zh-CN"/>
        </w:rPr>
        <w:t>—</w:t>
      </w:r>
      <w:r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</w:rPr>
        <w:t>2020《标准化工作导则 第1部分：标准化文件的结构和起草规则》的要求进行编写。</w:t>
      </w:r>
    </w:p>
    <w:p>
      <w:pPr>
        <w:pStyle w:val="15"/>
        <w:spacing w:before="312" w:after="312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bookmarkStart w:id="28" w:name="_Toc513731112"/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3 主要工作过程</w:t>
      </w:r>
      <w:bookmarkEnd w:id="28"/>
    </w:p>
    <w:p>
      <w:pPr>
        <w:pStyle w:val="16"/>
        <w:numPr>
          <w:ilvl w:val="0"/>
          <w:numId w:val="2"/>
        </w:numPr>
        <w:ind w:left="360" w:firstLine="0" w:firstLineChars="0"/>
        <w:rPr>
          <w:rFonts w:hint="eastAsia" w:ascii="仿宋_GB2312" w:hAnsi="宋体" w:eastAsia="仿宋_GB2312" w:cs="Times New Roman"/>
          <w:b/>
          <w:bCs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="Times New Roman"/>
          <w:b/>
          <w:bCs/>
          <w:color w:val="auto"/>
          <w:kern w:val="2"/>
          <w:sz w:val="32"/>
          <w:szCs w:val="32"/>
          <w:lang w:val="en-US" w:eastAsia="zh-CN" w:bidi="ar-SA"/>
        </w:rPr>
        <w:t>前期工作</w:t>
      </w:r>
    </w:p>
    <w:p>
      <w:pPr>
        <w:widowControl w:val="0"/>
        <w:spacing w:after="0" w:line="360" w:lineRule="auto"/>
        <w:ind w:firstLine="640" w:firstLineChars="200"/>
        <w:jc w:val="both"/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  <w:lang w:val="en-US" w:eastAsia="zh-CN"/>
        </w:rPr>
        <w:t xml:space="preserve">  2025年3月，国网湖北省电力有限公司武汉供电公司按照电机咨〔2025〕27号文“关于申报中国电机工程学会标准2025年第一批计划项目的通知”要求提交标准申请书和及标准草案。</w:t>
      </w:r>
    </w:p>
    <w:p>
      <w:pPr>
        <w:widowControl w:val="0"/>
        <w:spacing w:after="0" w:line="360" w:lineRule="auto"/>
        <w:ind w:firstLine="640" w:firstLineChars="200"/>
        <w:jc w:val="both"/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  <w:lang w:val="en-US" w:eastAsia="zh-CN"/>
        </w:rPr>
        <w:t>2025年4月25日项目组进行了提案汇报，2025年7月8日进行了立项汇报，经专家投票立项通过。会后项目组根据专家意见</w:t>
      </w:r>
      <w:r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</w:rPr>
        <w:t>修改标准草案稿</w:t>
      </w:r>
      <w:r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  <w:lang w:eastAsia="zh-CN"/>
        </w:rPr>
        <w:t>。</w:t>
      </w:r>
    </w:p>
    <w:p>
      <w:pPr>
        <w:pStyle w:val="16"/>
        <w:numPr>
          <w:ilvl w:val="0"/>
          <w:numId w:val="2"/>
        </w:numPr>
        <w:ind w:left="360" w:firstLine="0" w:firstLineChars="0"/>
        <w:rPr>
          <w:rFonts w:hint="default" w:ascii="仿宋_GB2312" w:hAnsi="宋体" w:eastAsia="仿宋_GB2312" w:cs="Times New Roman"/>
          <w:b/>
          <w:bCs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="Times New Roman"/>
          <w:b/>
          <w:bCs/>
          <w:color w:val="auto"/>
          <w:kern w:val="2"/>
          <w:sz w:val="32"/>
          <w:szCs w:val="32"/>
          <w:lang w:val="en-US" w:eastAsia="zh-CN" w:bidi="ar-SA"/>
        </w:rPr>
        <w:t>起草阶段</w:t>
      </w:r>
    </w:p>
    <w:p>
      <w:pPr>
        <w:widowControl w:val="0"/>
        <w:spacing w:after="0" w:line="360" w:lineRule="auto"/>
        <w:ind w:firstLine="640" w:firstLineChars="200"/>
        <w:jc w:val="both"/>
        <w:rPr>
          <w:rFonts w:ascii="仿宋_GB2312" w:hAnsi="宋体" w:eastAsia="仿宋_GB2312" w:cs="Times New Roman"/>
          <w:color w:val="auto"/>
          <w:kern w:val="2"/>
          <w:sz w:val="32"/>
          <w:szCs w:val="32"/>
        </w:rPr>
      </w:pPr>
      <w:r>
        <w:rPr>
          <w:rFonts w:ascii="仿宋_GB2312" w:hAnsi="宋体" w:eastAsia="仿宋_GB2312" w:cs="Times New Roman"/>
          <w:color w:val="auto"/>
          <w:kern w:val="2"/>
          <w:sz w:val="32"/>
          <w:szCs w:val="32"/>
        </w:rPr>
        <w:t>202</w:t>
      </w:r>
      <w:r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  <w:lang w:val="en-US" w:eastAsia="zh-CN"/>
        </w:rPr>
        <w:t>5</w:t>
      </w:r>
      <w:r>
        <w:rPr>
          <w:rFonts w:ascii="仿宋_GB2312" w:hAnsi="宋体" w:eastAsia="仿宋_GB2312" w:cs="Times New Roman"/>
          <w:color w:val="auto"/>
          <w:kern w:val="2"/>
          <w:sz w:val="32"/>
          <w:szCs w:val="32"/>
        </w:rPr>
        <w:t>年</w:t>
      </w:r>
      <w:r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  <w:lang w:val="en-US" w:eastAsia="zh-CN"/>
        </w:rPr>
        <w:t>11</w:t>
      </w:r>
      <w:r>
        <w:rPr>
          <w:rFonts w:ascii="仿宋_GB2312" w:hAnsi="宋体" w:eastAsia="仿宋_GB2312" w:cs="Times New Roman"/>
          <w:color w:val="auto"/>
          <w:kern w:val="2"/>
          <w:sz w:val="32"/>
          <w:szCs w:val="32"/>
        </w:rPr>
        <w:t>月</w:t>
      </w:r>
      <w:r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  <w:lang w:val="en-US" w:eastAsia="zh-CN"/>
        </w:rPr>
        <w:t>3</w:t>
      </w:r>
      <w:r>
        <w:rPr>
          <w:rFonts w:ascii="仿宋_GB2312" w:hAnsi="宋体" w:eastAsia="仿宋_GB2312" w:cs="Times New Roman"/>
          <w:color w:val="auto"/>
          <w:kern w:val="2"/>
          <w:sz w:val="32"/>
          <w:szCs w:val="32"/>
        </w:rPr>
        <w:t>日</w:t>
      </w:r>
      <w:r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</w:rPr>
        <w:t>召开标准</w:t>
      </w:r>
      <w:r>
        <w:rPr>
          <w:rFonts w:ascii="仿宋_GB2312" w:hAnsi="宋体" w:eastAsia="仿宋_GB2312" w:cs="Times New Roman"/>
          <w:color w:val="auto"/>
          <w:kern w:val="2"/>
          <w:sz w:val="32"/>
          <w:szCs w:val="32"/>
        </w:rPr>
        <w:t>启动会</w:t>
      </w:r>
      <w:r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</w:rPr>
        <w:t>，成立标准起草工作组，</w:t>
      </w:r>
      <w:r>
        <w:rPr>
          <w:rFonts w:hint="eastAsia" w:ascii="仿宋_GB2312" w:hAnsi="宋体" w:eastAsia="仿宋_GB2312"/>
          <w:color w:val="auto"/>
          <w:sz w:val="32"/>
          <w:szCs w:val="32"/>
        </w:rPr>
        <w:t>并对标准框架及草案进行讨论</w:t>
      </w:r>
      <w:r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</w:rPr>
        <w:t>。会后起草组根据讨论意见修改标准草案稿，并将修改过</w:t>
      </w:r>
      <w:r>
        <w:rPr>
          <w:rFonts w:ascii="仿宋_GB2312" w:hAnsi="宋体" w:eastAsia="仿宋_GB2312" w:cs="Times New Roman"/>
          <w:color w:val="auto"/>
          <w:kern w:val="2"/>
          <w:sz w:val="32"/>
          <w:szCs w:val="32"/>
        </w:rPr>
        <w:t>的标准</w:t>
      </w:r>
      <w:r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</w:rPr>
        <w:t>草案稿发送给工作组成员征求意见。</w:t>
      </w:r>
    </w:p>
    <w:p>
      <w:pPr>
        <w:widowControl w:val="0"/>
        <w:spacing w:after="0" w:line="360" w:lineRule="auto"/>
        <w:ind w:firstLine="640" w:firstLineChars="200"/>
        <w:jc w:val="both"/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</w:rPr>
      </w:pPr>
      <w:r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</w:rPr>
        <w:t>202</w:t>
      </w:r>
      <w:r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  <w:lang w:val="en-US" w:eastAsia="zh-CN"/>
        </w:rPr>
        <w:t>5</w:t>
      </w:r>
      <w:r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</w:rPr>
        <w:t>年</w:t>
      </w:r>
      <w:r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  <w:lang w:val="en-US" w:eastAsia="zh-CN"/>
        </w:rPr>
        <w:t>12</w:t>
      </w:r>
      <w:r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</w:rPr>
        <w:t>月</w:t>
      </w:r>
      <w:r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  <w:lang w:val="en-US" w:eastAsia="zh-CN"/>
        </w:rPr>
        <w:t>1</w:t>
      </w:r>
      <w:r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</w:rPr>
        <w:t>日，起草组就各成员单位对标准草案稿提出的意见和建议进行逐条讨论，形成处理意见。会后，起草组根据讨论结果对标准草案进行了修改完善，并将修改后的标准草案稿发送工作组成员复核。</w:t>
      </w:r>
    </w:p>
    <w:p>
      <w:pPr>
        <w:pStyle w:val="16"/>
        <w:numPr>
          <w:ilvl w:val="0"/>
          <w:numId w:val="2"/>
        </w:numPr>
        <w:ind w:left="360" w:firstLine="0" w:firstLineChars="0"/>
        <w:rPr>
          <w:rFonts w:hint="default" w:ascii="仿宋_GB2312" w:hAnsi="宋体" w:eastAsia="仿宋_GB2312" w:cs="Times New Roman"/>
          <w:b/>
          <w:bCs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="Times New Roman"/>
          <w:b/>
          <w:bCs/>
          <w:color w:val="auto"/>
          <w:kern w:val="2"/>
          <w:sz w:val="32"/>
          <w:szCs w:val="32"/>
          <w:lang w:val="en-US" w:eastAsia="zh-CN" w:bidi="ar-SA"/>
        </w:rPr>
        <w:t>征求意见稿形成阶段</w:t>
      </w:r>
    </w:p>
    <w:p>
      <w:pPr>
        <w:widowControl w:val="0"/>
        <w:spacing w:after="0" w:line="360" w:lineRule="auto"/>
        <w:ind w:firstLine="640" w:firstLineChars="200"/>
        <w:jc w:val="both"/>
        <w:rPr>
          <w:rFonts w:ascii="仿宋_GB2312" w:hAnsi="宋体" w:eastAsia="仿宋_GB2312" w:cs="Times New Roman"/>
          <w:color w:val="auto"/>
          <w:kern w:val="2"/>
          <w:sz w:val="32"/>
          <w:szCs w:val="32"/>
        </w:rPr>
      </w:pPr>
      <w:r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</w:rPr>
        <w:t>20</w:t>
      </w:r>
      <w:r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  <w:lang w:val="en-US" w:eastAsia="zh-CN"/>
        </w:rPr>
        <w:t>26</w:t>
      </w:r>
      <w:r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</w:rPr>
        <w:t>年</w:t>
      </w:r>
      <w:r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  <w:lang w:val="en-US" w:eastAsia="zh-CN"/>
        </w:rPr>
        <w:t>3</w:t>
      </w:r>
      <w:r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</w:rPr>
        <w:t>月</w:t>
      </w:r>
      <w:r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  <w:lang w:val="en-US" w:eastAsia="zh-CN"/>
        </w:rPr>
        <w:t>31</w:t>
      </w:r>
      <w:r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</w:rPr>
        <w:t>日，</w:t>
      </w:r>
      <w:r>
        <w:rPr>
          <w:rFonts w:ascii="仿宋_GB2312" w:hAnsi="宋体" w:eastAsia="仿宋_GB2312" w:cs="Times New Roman"/>
          <w:color w:val="auto"/>
          <w:kern w:val="2"/>
          <w:sz w:val="32"/>
          <w:szCs w:val="32"/>
        </w:rPr>
        <w:t>工作组针对</w:t>
      </w:r>
      <w:r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</w:rPr>
        <w:t>标准</w:t>
      </w:r>
      <w:r>
        <w:rPr>
          <w:rFonts w:ascii="仿宋_GB2312" w:hAnsi="宋体" w:eastAsia="仿宋_GB2312" w:cs="Times New Roman"/>
          <w:color w:val="auto"/>
          <w:kern w:val="2"/>
          <w:sz w:val="32"/>
          <w:szCs w:val="32"/>
        </w:rPr>
        <w:t>草案</w:t>
      </w:r>
      <w:r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</w:rPr>
        <w:t>稿中根据复核</w:t>
      </w:r>
      <w:r>
        <w:rPr>
          <w:rFonts w:ascii="仿宋_GB2312" w:hAnsi="宋体" w:eastAsia="仿宋_GB2312" w:cs="Times New Roman"/>
          <w:color w:val="auto"/>
          <w:kern w:val="2"/>
          <w:sz w:val="32"/>
          <w:szCs w:val="32"/>
        </w:rPr>
        <w:t>和建议所修改的内容进行针对性讨论并给出处理意见</w:t>
      </w:r>
      <w:r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</w:rPr>
        <w:t>，</w:t>
      </w:r>
      <w:r>
        <w:rPr>
          <w:rFonts w:ascii="仿宋_GB2312" w:hAnsi="宋体" w:eastAsia="仿宋_GB2312" w:cs="Times New Roman"/>
          <w:color w:val="auto"/>
          <w:kern w:val="2"/>
          <w:sz w:val="32"/>
          <w:szCs w:val="32"/>
        </w:rPr>
        <w:t>与会专家对标准技术内容进行了论证，明确了</w:t>
      </w:r>
      <w:r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</w:rPr>
        <w:t>电动汽车超级充电桩非嵌入式随充随检装置</w:t>
      </w:r>
      <w:r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  <w:lang w:val="en-US" w:eastAsia="zh-CN"/>
        </w:rPr>
        <w:t>的技术要求、测试方法</w:t>
      </w:r>
      <w:r>
        <w:rPr>
          <w:rFonts w:ascii="仿宋_GB2312" w:hAnsi="宋体" w:eastAsia="仿宋_GB2312" w:cs="Times New Roman"/>
          <w:color w:val="auto"/>
          <w:kern w:val="2"/>
          <w:sz w:val="32"/>
          <w:szCs w:val="32"/>
        </w:rPr>
        <w:t>中的关键参数和</w:t>
      </w:r>
      <w:r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  <w:lang w:val="en-US" w:eastAsia="zh-CN"/>
        </w:rPr>
        <w:t>技术指标</w:t>
      </w:r>
      <w:r>
        <w:rPr>
          <w:rFonts w:ascii="仿宋_GB2312" w:hAnsi="宋体" w:eastAsia="仿宋_GB2312" w:cs="Times New Roman"/>
          <w:color w:val="auto"/>
          <w:kern w:val="2"/>
          <w:sz w:val="32"/>
          <w:szCs w:val="32"/>
        </w:rPr>
        <w:t>。会后，起草组据此对标准文本作出最终修改，</w:t>
      </w:r>
      <w:r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</w:rPr>
        <w:t>至此</w:t>
      </w:r>
      <w:r>
        <w:rPr>
          <w:rFonts w:ascii="仿宋_GB2312" w:hAnsi="宋体" w:eastAsia="仿宋_GB2312" w:cs="Times New Roman"/>
          <w:color w:val="auto"/>
          <w:kern w:val="2"/>
          <w:sz w:val="32"/>
          <w:szCs w:val="32"/>
        </w:rPr>
        <w:t>形成本标准的征求意见稿。</w:t>
      </w:r>
    </w:p>
    <w:p>
      <w:pPr>
        <w:pStyle w:val="15"/>
        <w:spacing w:before="312" w:after="312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bookmarkStart w:id="29" w:name="_Toc513731113"/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4 标准结构和内容说明</w:t>
      </w:r>
      <w:bookmarkEnd w:id="29"/>
    </w:p>
    <w:p>
      <w:pPr>
        <w:widowControl w:val="0"/>
        <w:spacing w:after="0" w:line="360" w:lineRule="auto"/>
        <w:ind w:firstLine="640" w:firstLineChars="200"/>
        <w:jc w:val="both"/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</w:rPr>
        <w:t>本文件规定了电动汽车超级充电桩非嵌入式随充随检装置（以下简称为装置）技术要求</w:t>
      </w:r>
      <w:r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  <w:lang w:eastAsia="zh-CN"/>
        </w:rPr>
        <w:t>，</w:t>
      </w:r>
      <w:r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  <w:lang w:val="en-US" w:eastAsia="zh-CN"/>
        </w:rPr>
        <w:t>描述了相应的</w:t>
      </w:r>
      <w:r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</w:rPr>
        <w:t>试验方法</w:t>
      </w:r>
      <w:r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  <w:lang w:eastAsia="zh-CN"/>
        </w:rPr>
        <w:t>，</w:t>
      </w:r>
      <w:r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  <w:lang w:val="en-US" w:eastAsia="zh-CN"/>
        </w:rPr>
        <w:t>同时对</w:t>
      </w:r>
      <w:r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</w:rPr>
        <w:t>检验规则和标志、包装、运输、贮存</w:t>
      </w:r>
      <w:r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  <w:lang w:val="en-US" w:eastAsia="zh-CN"/>
        </w:rPr>
        <w:t>进行了规定。</w:t>
      </w:r>
    </w:p>
    <w:p>
      <w:pPr>
        <w:widowControl w:val="0"/>
        <w:spacing w:after="0" w:line="360" w:lineRule="auto"/>
        <w:ind w:firstLine="640" w:firstLineChars="200"/>
        <w:jc w:val="both"/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</w:rPr>
      </w:pPr>
      <w:r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</w:rPr>
        <w:t>本文件适用于新制造的电动汽车超级充电桩非嵌入式随充随检装置</w:t>
      </w:r>
      <w:r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  <w:lang w:val="en-US" w:eastAsia="zh-CN"/>
        </w:rPr>
        <w:t>的生产、检验等</w:t>
      </w:r>
      <w:r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</w:rPr>
        <w:t>。</w:t>
      </w:r>
    </w:p>
    <w:p>
      <w:pPr>
        <w:widowControl w:val="0"/>
        <w:spacing w:after="0" w:line="360" w:lineRule="auto"/>
        <w:ind w:firstLine="643" w:firstLineChars="200"/>
        <w:jc w:val="both"/>
        <w:rPr>
          <w:rFonts w:hint="default" w:ascii="仿宋_GB2312" w:hAnsi="宋体" w:eastAsia="仿宋_GB2312" w:cs="Times New Roman"/>
          <w:b/>
          <w:bCs/>
          <w:color w:val="auto"/>
          <w:kern w:val="2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 w:cs="Times New Roman"/>
          <w:b/>
          <w:bCs/>
          <w:color w:val="auto"/>
          <w:kern w:val="2"/>
          <w:sz w:val="32"/>
          <w:szCs w:val="32"/>
          <w:lang w:val="en-US" w:eastAsia="zh-CN"/>
        </w:rPr>
        <w:t>主要核心内容为技术要求和测试方法。</w:t>
      </w:r>
    </w:p>
    <w:p>
      <w:pPr>
        <w:widowControl w:val="0"/>
        <w:spacing w:after="0" w:line="360" w:lineRule="auto"/>
        <w:ind w:firstLine="640" w:firstLineChars="200"/>
        <w:jc w:val="both"/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</w:rPr>
      </w:pPr>
      <w:r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  <w:lang w:val="en-US" w:eastAsia="zh-CN"/>
        </w:rPr>
        <w:t>明确装置各核心技术指标，具体包括：环境条件（规定工作及拓展环境的海拔、温湿度要求）；机械要求（外壳强度、耐热阻燃、IP54防护等级及接地端子规范）；电气要求（交直流供电参数、绝缘电阻、介电强度及表面温度限值）；电磁兼容性（试验要求及各类抗扰度标准）；后续补充完善测量性能、接口等相关技术规范，确保装置安全、稳定、精准运行。</w:t>
      </w:r>
    </w:p>
    <w:p>
      <w:pPr>
        <w:widowControl w:val="0"/>
        <w:spacing w:after="0" w:line="360" w:lineRule="auto"/>
        <w:ind w:firstLine="640" w:firstLineChars="200"/>
        <w:jc w:val="both"/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  <w:lang w:val="en-US" w:eastAsia="zh-CN"/>
        </w:rPr>
        <w:t>明确装置各维度检验标准、方法及合格要求，具体包括：环境条件检验（高温、低温、耐湿热、热传输试验，明确试验依据、条件及时长）；机械要求检验（外壳静态推力、动态冲击、振动、跌落测试，防护等级、耐热阻燃、接地端子检验的具体方法）；电气要求检验（供电电源、绝缘电阻、介电强度、表面温度限值的检验依据）；电磁兼容性检验（各类抗扰度、无线电干扰抑制的试验方法）；测量性能检验（参比条件、基本误差、影响量、时钟、重复性、稳定性、显示要求的检验标准及计算方法）；接口检验（各类型接口的检验方法及合格标准）。</w:t>
      </w:r>
    </w:p>
    <w:p>
      <w:pPr>
        <w:pStyle w:val="11"/>
        <w:ind w:left="0" w:leftChars="0" w:firstLine="0" w:firstLineChars="0"/>
        <w:rPr>
          <w:rFonts w:hint="eastAsia" w:ascii="仿宋_GB2312" w:hAnsi="宋体" w:eastAsia="仿宋_GB2312" w:cs="Times New Roman"/>
          <w:b/>
          <w:bCs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="Times New Roman"/>
          <w:b/>
          <w:bCs/>
          <w:color w:val="auto"/>
          <w:kern w:val="2"/>
          <w:sz w:val="32"/>
          <w:szCs w:val="32"/>
          <w:lang w:val="en-US" w:eastAsia="zh-CN" w:bidi="ar-SA"/>
        </w:rPr>
        <w:t>主要内容的试验、验证及论述情况。</w:t>
      </w:r>
    </w:p>
    <w:p>
      <w:pPr>
        <w:widowControl w:val="0"/>
        <w:spacing w:after="0" w:line="360" w:lineRule="auto"/>
        <w:ind w:firstLine="640" w:firstLineChars="200"/>
        <w:jc w:val="both"/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  <w:lang w:val="en-US" w:eastAsia="zh-CN"/>
        </w:rPr>
        <w:t>2025年8月20日，在中石化武汉理工大学南湖校区充电站开展试验，该充电站内共有8台双枪直流240kW快速充电桩，具备试验条件，测试工作人员现场随机挑选了2台直流充电桩，开展多轮充电检测实测。</w:t>
      </w:r>
    </w:p>
    <w:p>
      <w:pPr>
        <w:keepNext w:val="0"/>
        <w:keepLines w:val="0"/>
        <w:widowControl/>
        <w:suppressLineNumbers w:val="0"/>
        <w:jc w:val="left"/>
        <w:rPr>
          <w:rFonts w:hint="default" w:eastAsia="宋体"/>
          <w:color w:val="auto"/>
          <w:lang w:eastAsia="zh-CN"/>
        </w:rPr>
      </w:pPr>
      <w:r>
        <w:rPr>
          <w:rFonts w:hint="eastAsia" w:eastAsia="宋体"/>
          <w:color w:val="auto"/>
          <w:lang w:eastAsia="zh-CN"/>
        </w:rPr>
        <w:drawing>
          <wp:inline distT="0" distB="0" distL="114300" distR="114300">
            <wp:extent cx="2562860" cy="1921510"/>
            <wp:effectExtent l="0" t="0" r="2540" b="8890"/>
            <wp:docPr id="2" name="图片 15" descr="7536a180765d3b080d17e3027145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 descr="7536a180765d3b080d17e302714549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62860" cy="19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color w:val="auto"/>
          <w:lang w:eastAsia="zh-CN"/>
        </w:rPr>
        <w:drawing>
          <wp:inline distT="0" distB="0" distL="114300" distR="114300">
            <wp:extent cx="2621915" cy="1965960"/>
            <wp:effectExtent l="0" t="0" r="6985" b="2540"/>
            <wp:docPr id="3" name="图片 13" descr="001b9b20d0b03265652fd0fa29bbb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3" descr="001b9b20d0b03265652fd0fa29bbbd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21915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color w:val="auto"/>
          <w:lang w:eastAsia="zh-CN"/>
        </w:rPr>
        <w:drawing>
          <wp:inline distT="0" distB="0" distL="114300" distR="114300">
            <wp:extent cx="2553970" cy="1915160"/>
            <wp:effectExtent l="0" t="0" r="11430" b="2540"/>
            <wp:docPr id="4" name="图片 14" descr="25fb549eb208cbba3d152132f6e07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4" descr="25fb549eb208cbba3d152132f6e079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53970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eastAsia="宋体"/>
          <w:color w:val="auto"/>
          <w:lang w:eastAsia="zh-CN"/>
        </w:rPr>
        <w:drawing>
          <wp:inline distT="0" distB="0" distL="114300" distR="114300">
            <wp:extent cx="2580005" cy="1935480"/>
            <wp:effectExtent l="0" t="0" r="10795" b="7620"/>
            <wp:docPr id="5" name="图片 60" descr="IMG_20250820_182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0" descr="IMG_20250820_18293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80005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bidi w:val="0"/>
        <w:ind w:leftChars="0"/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1）检测设备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8"/>
        <w:gridCol w:w="5794"/>
        <w:gridCol w:w="17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8" w:type="dxa"/>
            <w:noWrap w:val="0"/>
            <w:vAlign w:val="top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312"/>
              </w:tabs>
              <w:jc w:val="both"/>
              <w:rPr>
                <w:rFonts w:hint="default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序号</w:t>
            </w:r>
          </w:p>
        </w:tc>
        <w:tc>
          <w:tcPr>
            <w:tcW w:w="5794" w:type="dxa"/>
            <w:noWrap w:val="0"/>
            <w:vAlign w:val="top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312"/>
              </w:tabs>
              <w:jc w:val="both"/>
              <w:rPr>
                <w:rFonts w:hint="default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产品名称</w:t>
            </w:r>
          </w:p>
        </w:tc>
        <w:tc>
          <w:tcPr>
            <w:tcW w:w="1730" w:type="dxa"/>
            <w:noWrap w:val="0"/>
            <w:vAlign w:val="top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312"/>
              </w:tabs>
              <w:jc w:val="both"/>
              <w:rPr>
                <w:rFonts w:hint="default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8" w:type="dxa"/>
            <w:noWrap w:val="0"/>
            <w:vAlign w:val="top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312"/>
              </w:tabs>
              <w:jc w:val="both"/>
              <w:rPr>
                <w:rFonts w:hint="default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1</w:t>
            </w:r>
          </w:p>
        </w:tc>
        <w:tc>
          <w:tcPr>
            <w:tcW w:w="5794" w:type="dxa"/>
            <w:noWrap w:val="0"/>
            <w:vAlign w:val="top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312"/>
              </w:tabs>
              <w:jc w:val="both"/>
              <w:rPr>
                <w:rFonts w:hint="default"/>
                <w:color w:val="auto"/>
                <w:vertAlign w:val="baseline"/>
                <w:lang w:val="en-US" w:eastAsia="zh-CN"/>
              </w:rPr>
            </w:pPr>
            <w:r>
              <w:rPr>
                <w:rFonts w:hint="default"/>
                <w:color w:val="auto"/>
                <w:vertAlign w:val="baseline"/>
                <w:lang w:val="en-US" w:eastAsia="zh-CN"/>
              </w:rPr>
              <w:t>充电桩非嵌入式随充随检装置</w:t>
            </w:r>
          </w:p>
        </w:tc>
        <w:tc>
          <w:tcPr>
            <w:tcW w:w="1730" w:type="dxa"/>
            <w:noWrap w:val="0"/>
            <w:vAlign w:val="top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312"/>
              </w:tabs>
              <w:jc w:val="both"/>
              <w:rPr>
                <w:rFonts w:hint="default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8" w:type="dxa"/>
            <w:noWrap w:val="0"/>
            <w:vAlign w:val="top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312"/>
              </w:tabs>
              <w:jc w:val="both"/>
              <w:rPr>
                <w:rFonts w:hint="default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2</w:t>
            </w:r>
          </w:p>
        </w:tc>
        <w:tc>
          <w:tcPr>
            <w:tcW w:w="5794" w:type="dxa"/>
            <w:noWrap w:val="0"/>
            <w:vAlign w:val="top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312"/>
              </w:tabs>
              <w:jc w:val="both"/>
              <w:rPr>
                <w:rFonts w:hint="eastAsia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手机</w:t>
            </w:r>
          </w:p>
        </w:tc>
        <w:tc>
          <w:tcPr>
            <w:tcW w:w="1730" w:type="dxa"/>
            <w:noWrap w:val="0"/>
            <w:vAlign w:val="top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312"/>
              </w:tabs>
              <w:jc w:val="both"/>
              <w:rPr>
                <w:rFonts w:hint="default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8" w:type="dxa"/>
            <w:noWrap w:val="0"/>
            <w:vAlign w:val="top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312"/>
              </w:tabs>
              <w:jc w:val="both"/>
              <w:rPr>
                <w:rFonts w:hint="default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3</w:t>
            </w:r>
          </w:p>
        </w:tc>
        <w:tc>
          <w:tcPr>
            <w:tcW w:w="5794" w:type="dxa"/>
            <w:noWrap w:val="0"/>
            <w:vAlign w:val="top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312"/>
              </w:tabs>
              <w:jc w:val="both"/>
              <w:rPr>
                <w:rFonts w:hint="default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小鹏p7电动汽车</w:t>
            </w:r>
          </w:p>
        </w:tc>
        <w:tc>
          <w:tcPr>
            <w:tcW w:w="1730" w:type="dxa"/>
            <w:noWrap w:val="0"/>
            <w:vAlign w:val="top"/>
          </w:tcPr>
          <w:p>
            <w:pPr>
              <w:widowControl w:val="0"/>
              <w:numPr>
                <w:ilvl w:val="0"/>
                <w:numId w:val="0"/>
              </w:numPr>
              <w:tabs>
                <w:tab w:val="left" w:pos="312"/>
              </w:tabs>
              <w:jc w:val="both"/>
              <w:rPr>
                <w:rFonts w:hint="default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1</w:t>
            </w:r>
          </w:p>
        </w:tc>
      </w:tr>
    </w:tbl>
    <w:p>
      <w:pPr>
        <w:pStyle w:val="3"/>
        <w:numPr>
          <w:ilvl w:val="0"/>
          <w:numId w:val="0"/>
        </w:numPr>
        <w:bidi w:val="0"/>
        <w:ind w:leftChars="0"/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2）试验过程</w:t>
      </w:r>
    </w:p>
    <w:p>
      <w:pPr>
        <w:widowControl w:val="0"/>
        <w:spacing w:after="0" w:line="360" w:lineRule="auto"/>
        <w:ind w:firstLine="640" w:firstLineChars="200"/>
        <w:jc w:val="both"/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  <w:lang w:val="en-US" w:eastAsia="zh-CN"/>
        </w:rPr>
        <w:tab/>
      </w:r>
      <w:r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  <w:lang w:val="en-US" w:eastAsia="zh-CN"/>
        </w:rPr>
        <w:t>安装充电桩非嵌入式随充随检装置至电动汽车充电口，连接充电枪到随充随检装置；</w: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center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2431415" cy="1823720"/>
            <wp:effectExtent l="0" t="0" r="6985" b="5080"/>
            <wp:docPr id="7" name="图片 18" descr="IMG_20250820_182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8" descr="IMG_20250820_18283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31415" cy="182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drawing>
          <wp:inline distT="0" distB="0" distL="114300" distR="114300">
            <wp:extent cx="2399030" cy="1799590"/>
            <wp:effectExtent l="0" t="0" r="1270" b="3810"/>
            <wp:docPr id="8" name="图片 19" descr="IMG_20250820_182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9" descr="IMG_20250820_18284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drawing>
          <wp:inline distT="0" distB="0" distL="114300" distR="114300">
            <wp:extent cx="2571750" cy="1929130"/>
            <wp:effectExtent l="0" t="0" r="6350" b="1270"/>
            <wp:docPr id="9" name="图片 17" descr="5dc40d04eda59b60562b465bb82b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7" descr="5dc40d04eda59b60562b465bb82b7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9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drawing>
          <wp:inline distT="0" distB="0" distL="114300" distR="114300">
            <wp:extent cx="2573020" cy="1929765"/>
            <wp:effectExtent l="0" t="0" r="5080" b="635"/>
            <wp:docPr id="10" name="图片 20" descr="IMG_20250820_190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0" descr="IMG_20250820_19030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73020" cy="192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pacing w:after="0" w:line="360" w:lineRule="auto"/>
        <w:ind w:firstLine="640" w:firstLineChars="200"/>
        <w:jc w:val="both"/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  <w:lang w:val="en-US" w:eastAsia="zh-CN"/>
        </w:rPr>
        <w:tab/>
      </w:r>
      <w:r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  <w:lang w:val="en-US" w:eastAsia="zh-CN"/>
        </w:rPr>
        <w:t>使用手机绑定充电桩充电枪及随充随检装置编号信息，并启动充电桩充电；</w: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center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2155190" cy="1616075"/>
            <wp:effectExtent l="0" t="0" r="381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55190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drawing>
          <wp:inline distT="0" distB="0" distL="114300" distR="114300">
            <wp:extent cx="1101090" cy="1469390"/>
            <wp:effectExtent l="0" t="0" r="381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01090" cy="14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drawing>
          <wp:inline distT="0" distB="0" distL="114300" distR="114300">
            <wp:extent cx="1200785" cy="1604010"/>
            <wp:effectExtent l="0" t="0" r="5715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00785" cy="16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center"/>
        <w:rPr>
          <w:rFonts w:hint="eastAsia" w:eastAsia="宋体"/>
          <w:color w:val="auto"/>
          <w:lang w:val="en-US" w:eastAsia="zh-CN"/>
        </w:rPr>
      </w:pPr>
      <w:r>
        <w:rPr>
          <w:rFonts w:hint="eastAsia" w:eastAsia="宋体"/>
          <w:color w:val="auto"/>
          <w:lang w:val="en-US" w:eastAsia="zh-CN"/>
        </w:rPr>
        <w:drawing>
          <wp:inline distT="0" distB="0" distL="114300" distR="114300">
            <wp:extent cx="2547620" cy="1911350"/>
            <wp:effectExtent l="0" t="0" r="5080" b="6350"/>
            <wp:docPr id="15" name="图片 21" descr="IMG_20250820_182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1" descr="IMG_20250820_18290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4762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color w:val="auto"/>
          <w:lang w:val="en-US" w:eastAsia="zh-CN"/>
        </w:rPr>
        <w:drawing>
          <wp:inline distT="0" distB="0" distL="114300" distR="114300">
            <wp:extent cx="2522220" cy="1891665"/>
            <wp:effectExtent l="0" t="0" r="5080" b="635"/>
            <wp:docPr id="24" name="图片 22" descr="45209b41877d02c946a3da24df187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2" descr="45209b41877d02c946a3da24df1878a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189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bidi w:val="0"/>
        <w:ind w:leftChars="0"/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3）通讯方式</w:t>
      </w:r>
    </w:p>
    <w:p>
      <w:pPr>
        <w:widowControl w:val="0"/>
        <w:spacing w:after="0" w:line="360" w:lineRule="auto"/>
        <w:ind w:firstLine="640" w:firstLineChars="200"/>
        <w:jc w:val="both"/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  <w:lang w:val="en-US" w:eastAsia="zh-CN"/>
        </w:rPr>
        <w:tab/>
      </w:r>
      <w:r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  <w:lang w:val="en-US" w:eastAsia="zh-CN"/>
        </w:rPr>
        <w:t>随充随检装置:上行4G至充电桩质量检测管理平台；</w:t>
      </w:r>
    </w:p>
    <w:p>
      <w:pPr>
        <w:widowControl w:val="0"/>
        <w:spacing w:after="0" w:line="360" w:lineRule="auto"/>
        <w:ind w:firstLine="640" w:firstLineChars="200"/>
        <w:jc w:val="both"/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  <w:lang w:val="en-US" w:eastAsia="zh-CN"/>
        </w:rPr>
        <w:tab/>
      </w:r>
      <w:r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  <w:lang w:val="en-US" w:eastAsia="zh-CN"/>
        </w:rPr>
        <w:t>手机:电信联网通过5G至充电桩质量检测管理平台；</w:t>
      </w:r>
    </w:p>
    <w:p>
      <w:pPr>
        <w:widowControl w:val="0"/>
        <w:spacing w:after="0" w:line="360" w:lineRule="auto"/>
        <w:ind w:firstLine="640" w:firstLineChars="200"/>
        <w:jc w:val="both"/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  <w:lang w:val="en-US" w:eastAsia="zh-CN"/>
        </w:rPr>
        <w:tab/>
      </w:r>
      <w:r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  <w:lang w:val="en-US" w:eastAsia="zh-CN"/>
        </w:rPr>
        <w:t>通讯时长: 30s。</w:t>
      </w:r>
    </w:p>
    <w:p>
      <w:pPr>
        <w:pStyle w:val="3"/>
        <w:numPr>
          <w:ilvl w:val="0"/>
          <w:numId w:val="0"/>
        </w:numPr>
        <w:bidi w:val="0"/>
        <w:ind w:leftChars="0"/>
        <w:rPr>
          <w:rFonts w:hint="default" w:eastAsia="宋体"/>
          <w:color w:val="auto"/>
          <w:lang w:val="en-US" w:eastAsia="zh-CN"/>
        </w:rPr>
      </w:pPr>
      <w:r>
        <w:rPr>
          <w:rFonts w:hint="eastAsia" w:eastAsia="宋体"/>
          <w:color w:val="auto"/>
          <w:lang w:val="en-US" w:eastAsia="zh-CN"/>
        </w:rPr>
        <w:t>4）试验数据</w:t>
      </w:r>
    </w:p>
    <w:p>
      <w:pPr>
        <w:widowControl w:val="0"/>
        <w:spacing w:after="0" w:line="360" w:lineRule="auto"/>
        <w:ind w:firstLine="640" w:firstLineChars="200"/>
        <w:jc w:val="both"/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  <w:lang w:val="en-US" w:eastAsia="zh-CN"/>
        </w:rPr>
        <w:t>测试工作人员于18:04开始选择充电桩编号为4601000007547的A枪和B枪分别进行实际测试，A枪充电5.3380度，耗时6分钟，充电桩检测装置实际测量5.35214度电，通过充电桩运营单位运营平台获取上传充电电能5.33度，质量检测管理平台正常计算工作误差-0.4137，规约误差-0.4，检定结论合格，符合检定规程要求；B枪充电1.0360度，耗时1分钟，充电桩检测装置实际测量1.03704度，通过充电桩运营单位运营平台获取充电电能1.03度，质量检测管理平台正常计算工作误差-0.6789，规约误差-0.6，检定结论合格。</w: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eastAsia"/>
          <w:color w:val="auto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312"/>
        </w:tabs>
        <w:jc w:val="center"/>
        <w:rPr>
          <w:color w:val="auto"/>
        </w:rPr>
      </w:pPr>
      <w:r>
        <w:rPr>
          <w:rFonts w:hint="default"/>
          <w:color w:val="auto"/>
          <w:lang w:val="en-US" w:eastAsia="zh-CN"/>
        </w:rPr>
        <w:drawing>
          <wp:inline distT="0" distB="0" distL="114300" distR="114300">
            <wp:extent cx="1672590" cy="3837305"/>
            <wp:effectExtent l="0" t="0" r="3810" b="10795"/>
            <wp:docPr id="25" name="图片 25" descr="204ca38d1cc1cfb2309a7b9c6d901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04ca38d1cc1cfb2309a7b9c6d9012b"/>
                    <pic:cNvPicPr>
                      <a:picLocks noChangeAspect="1"/>
                    </pic:cNvPicPr>
                  </pic:nvPicPr>
                  <pic:blipFill>
                    <a:blip r:embed="rId22"/>
                    <a:srcRect l="1326" t="8163"/>
                    <a:stretch>
                      <a:fillRect/>
                    </a:stretch>
                  </pic:blipFill>
                  <pic:spPr>
                    <a:xfrm>
                      <a:off x="0" y="0"/>
                      <a:ext cx="1672590" cy="383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drawing>
          <wp:inline distT="0" distB="0" distL="114300" distR="114300">
            <wp:extent cx="1918335" cy="3323590"/>
            <wp:effectExtent l="0" t="0" r="12065" b="3810"/>
            <wp:docPr id="26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332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center"/>
        <w:rPr>
          <w:rFonts w:hint="default"/>
          <w:color w:val="auto"/>
          <w:lang w:val="en-US" w:eastAsia="zh-CN"/>
        </w:rPr>
      </w:pPr>
      <w:r>
        <w:rPr>
          <w:rFonts w:hint="default"/>
          <w:color w:val="auto"/>
          <w:lang w:val="en-US" w:eastAsia="zh-CN"/>
        </w:rPr>
        <w:drawing>
          <wp:inline distT="0" distB="0" distL="114300" distR="114300">
            <wp:extent cx="1605915" cy="3620770"/>
            <wp:effectExtent l="0" t="0" r="6985" b="11430"/>
            <wp:docPr id="27" name="图片 54" descr="5768240665d11e7eb4410fd279098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4" descr="5768240665d11e7eb4410fd279098a7"/>
                    <pic:cNvPicPr>
                      <a:picLocks noChangeAspect="1"/>
                    </pic:cNvPicPr>
                  </pic:nvPicPr>
                  <pic:blipFill>
                    <a:blip r:embed="rId24"/>
                    <a:srcRect l="-233" t="8243"/>
                    <a:stretch>
                      <a:fillRect/>
                    </a:stretch>
                  </pic:blipFill>
                  <pic:spPr>
                    <a:xfrm>
                      <a:off x="0" y="0"/>
                      <a:ext cx="1605915" cy="362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drawing>
          <wp:inline distT="0" distB="0" distL="114300" distR="114300">
            <wp:extent cx="2076450" cy="3622040"/>
            <wp:effectExtent l="0" t="0" r="6350" b="10160"/>
            <wp:docPr id="28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362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/>
          <w:color w:val="auto"/>
          <w:lang w:val="en-US" w:eastAsia="zh-CN"/>
        </w:rPr>
      </w:pPr>
      <w:r>
        <w:rPr>
          <w:rFonts w:hint="default"/>
          <w:color w:val="auto"/>
          <w:lang w:val="en-US" w:eastAsia="zh-CN"/>
        </w:rPr>
        <w:drawing>
          <wp:inline distT="0" distB="0" distL="114300" distR="114300">
            <wp:extent cx="2599690" cy="1950720"/>
            <wp:effectExtent l="0" t="0" r="3810" b="5080"/>
            <wp:docPr id="29" name="图片 70" descr="IMG_20250820_180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0" descr="IMG_20250820_18095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9969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color w:val="auto"/>
          <w:lang w:val="en-US" w:eastAsia="zh-CN"/>
        </w:rPr>
        <w:drawing>
          <wp:inline distT="0" distB="0" distL="114300" distR="114300">
            <wp:extent cx="2551430" cy="1913890"/>
            <wp:effectExtent l="0" t="0" r="1270" b="3810"/>
            <wp:docPr id="30" name="图片 76" descr="IMG_20250820_180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6" descr="IMG_20250820_18094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51430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/>
          <w:color w:val="auto"/>
          <w:lang w:val="en-US" w:eastAsia="zh-CN"/>
        </w:rPr>
      </w:pPr>
      <w:r>
        <w:rPr>
          <w:rFonts w:hint="default"/>
          <w:color w:val="auto"/>
          <w:lang w:val="en-US" w:eastAsia="zh-CN"/>
        </w:rPr>
        <w:drawing>
          <wp:inline distT="0" distB="0" distL="114300" distR="114300">
            <wp:extent cx="2540635" cy="1905635"/>
            <wp:effectExtent l="0" t="0" r="12065" b="12065"/>
            <wp:docPr id="31" name="图片 77" descr="IMG_20250820_181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7" descr="IMG_20250820_1814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40635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color w:val="auto"/>
          <w:lang w:val="en-US" w:eastAsia="zh-CN"/>
        </w:rPr>
        <w:drawing>
          <wp:inline distT="0" distB="0" distL="114300" distR="114300">
            <wp:extent cx="2626995" cy="1970405"/>
            <wp:effectExtent l="0" t="0" r="1905" b="10795"/>
            <wp:docPr id="32" name="图片 78" descr="IMG_20250820_181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78" descr="IMG_20250820_18155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pacing w:after="0" w:line="360" w:lineRule="auto"/>
        <w:ind w:firstLine="640" w:firstLineChars="200"/>
        <w:jc w:val="both"/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  <w:lang w:val="en-US" w:eastAsia="zh-CN"/>
        </w:rPr>
        <w:t>测试工作人员在18:28随机挑选46010000075465直流充电桩进行测试，对B枪充电2.02度，耗时3分钟，充电桩检测装置实际测量2.02471度电，通过充电桩运营单位运营平台获取充电2.02度，质量检测管理平台计算工作误差-0.2326，规约误差-0.2，检定结论合格；对A枪充电1.0260度，耗时2分钟，充电桩检测装置实际测量1.03066度电，通过充电桩运营单位运营平台获取充电1.02度电，质量检测管理平台计算工作误差-1.0343，规约误差-1.0，检定结论合格。</w:t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both"/>
        <w:rPr>
          <w:rFonts w:hint="default" w:eastAsia="宋体"/>
          <w:color w:val="auto"/>
          <w:lang w:val="en-US" w:eastAsia="zh-CN"/>
        </w:rPr>
      </w:pPr>
      <w:r>
        <w:rPr>
          <w:rFonts w:hint="default"/>
          <w:color w:val="auto"/>
          <w:lang w:val="en-US" w:eastAsia="zh-CN"/>
        </w:rPr>
        <w:drawing>
          <wp:inline distT="0" distB="0" distL="114300" distR="114300">
            <wp:extent cx="2545080" cy="1908810"/>
            <wp:effectExtent l="0" t="0" r="7620" b="8890"/>
            <wp:docPr id="33" name="图片 86" descr="24a300c01161c176f8f31c4af7a98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86" descr="24a300c01161c176f8f31c4af7a980f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190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color w:val="auto"/>
          <w:lang w:val="en-US" w:eastAsia="zh-CN"/>
        </w:rPr>
        <w:drawing>
          <wp:inline distT="0" distB="0" distL="114300" distR="114300">
            <wp:extent cx="2558415" cy="1918970"/>
            <wp:effectExtent l="0" t="0" r="6985" b="11430"/>
            <wp:docPr id="34" name="图片 85" descr="IMG_20250820_183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85" descr="IMG_20250820_18311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58415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center"/>
        <w:rPr>
          <w:rFonts w:hint="eastAsia" w:eastAsia="宋体"/>
          <w:color w:val="auto"/>
          <w:lang w:val="en-US" w:eastAsia="zh-CN"/>
        </w:rPr>
      </w:pPr>
      <w:r>
        <w:rPr>
          <w:rFonts w:hint="eastAsia" w:eastAsia="宋体"/>
          <w:color w:val="auto"/>
          <w:lang w:val="en-US" w:eastAsia="zh-CN"/>
        </w:rPr>
        <w:drawing>
          <wp:inline distT="0" distB="0" distL="114300" distR="114300">
            <wp:extent cx="1774190" cy="4187190"/>
            <wp:effectExtent l="0" t="0" r="3810" b="3810"/>
            <wp:docPr id="35" name="图片 43" descr="54f29d3a92ea17a1fa68e6318ef5f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43" descr="54f29d3a92ea17a1fa68e6318ef5fc6"/>
                    <pic:cNvPicPr>
                      <a:picLocks noChangeAspect="1"/>
                    </pic:cNvPicPr>
                  </pic:nvPicPr>
                  <pic:blipFill>
                    <a:blip r:embed="rId32"/>
                    <a:srcRect t="4190"/>
                    <a:stretch>
                      <a:fillRect/>
                    </a:stretch>
                  </pic:blipFill>
                  <pic:spPr>
                    <a:xfrm>
                      <a:off x="0" y="0"/>
                      <a:ext cx="1774190" cy="418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drawing>
          <wp:inline distT="0" distB="0" distL="114300" distR="114300">
            <wp:extent cx="2096135" cy="3659505"/>
            <wp:effectExtent l="0" t="0" r="12065" b="10795"/>
            <wp:docPr id="36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6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96135" cy="365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center"/>
        <w:rPr>
          <w:rFonts w:hint="eastAsia" w:eastAsia="宋体"/>
          <w:color w:val="auto"/>
          <w:lang w:val="en-US" w:eastAsia="zh-CN"/>
        </w:rPr>
      </w:pPr>
      <w:r>
        <w:rPr>
          <w:rFonts w:hint="eastAsia" w:eastAsia="宋体"/>
          <w:color w:val="auto"/>
          <w:lang w:val="en-US" w:eastAsia="zh-CN"/>
        </w:rPr>
        <w:drawing>
          <wp:inline distT="0" distB="0" distL="114300" distR="114300">
            <wp:extent cx="1748790" cy="4116705"/>
            <wp:effectExtent l="0" t="0" r="3810" b="10795"/>
            <wp:docPr id="37" name="图片 45" descr="6b59909649a430d602ab3a465b48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5" descr="6b59909649a430d602ab3a465b48334"/>
                    <pic:cNvPicPr>
                      <a:picLocks noChangeAspect="1"/>
                    </pic:cNvPicPr>
                  </pic:nvPicPr>
                  <pic:blipFill>
                    <a:blip r:embed="rId34"/>
                    <a:srcRect t="4437"/>
                    <a:stretch>
                      <a:fillRect/>
                    </a:stretch>
                  </pic:blipFill>
                  <pic:spPr>
                    <a:xfrm>
                      <a:off x="0" y="0"/>
                      <a:ext cx="1748790" cy="411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drawing>
          <wp:inline distT="0" distB="0" distL="114300" distR="114300">
            <wp:extent cx="2320925" cy="4048760"/>
            <wp:effectExtent l="0" t="0" r="3175" b="2540"/>
            <wp:docPr id="38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6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320925" cy="404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312"/>
        </w:tabs>
        <w:jc w:val="center"/>
        <w:rPr>
          <w:rFonts w:hint="eastAsia" w:eastAsia="宋体"/>
          <w:color w:val="auto"/>
          <w:lang w:val="en-US" w:eastAsia="zh-CN"/>
        </w:rPr>
      </w:pPr>
    </w:p>
    <w:p>
      <w:pPr>
        <w:pStyle w:val="15"/>
        <w:spacing w:before="312" w:after="312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bookmarkStart w:id="30" w:name="_Toc513731114"/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5相关标准对比说明</w:t>
      </w:r>
      <w:bookmarkEnd w:id="30"/>
    </w:p>
    <w:p>
      <w:pPr>
        <w:pStyle w:val="11"/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  <w:lang w:val="en-US" w:eastAsia="zh-CN" w:bidi="ar-SA"/>
        </w:rPr>
        <w:t>国内已出台多项充电桩相关标准，核心包括</w:t>
      </w:r>
      <w:r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  <w:lang w:val="en-US" w:eastAsia="zh-CN"/>
        </w:rPr>
        <w:t>GB/T 18487《电动车辆传导充电系统》系列标准</w:t>
      </w:r>
      <w:r>
        <w:rPr>
          <w:rFonts w:hint="eastAsia" w:ascii="仿宋_GB2312" w:hAnsi="宋体" w:eastAsia="仿宋_GB2312" w:cs="Times New Roman"/>
          <w:color w:val="auto"/>
          <w:kern w:val="2"/>
          <w:sz w:val="32"/>
          <w:szCs w:val="32"/>
          <w:lang w:val="en-US" w:eastAsia="zh-CN" w:bidi="ar-SA"/>
        </w:rPr>
        <w:t>、GB/T 20234《电动汽车传导充电用连接装置》系列标准、NB/T 33008系列《电动汽车充电设备检验试验规范》系列标准，涵盖非车载充电机、交流充电桩的型式试验）。可作为随充随检装置相关指标的参考依据，但均未针对非嵌入式随充随检装置的“随充即检”特性、便携性、现场适配性等核心需求制定专项标准，存在明显的行业标准空白。</w:t>
      </w:r>
    </w:p>
    <w:p>
      <w:pPr>
        <w:pStyle w:val="11"/>
        <w:rPr>
          <w:rFonts w:hint="default" w:ascii="仿宋_GB2312" w:hAnsi="宋体" w:eastAsia="仿宋_GB2312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仿宋_GB2312" w:hAnsi="宋体" w:eastAsia="仿宋_GB2312" w:cs="Times New Roman"/>
          <w:color w:val="auto"/>
          <w:kern w:val="2"/>
          <w:sz w:val="32"/>
          <w:szCs w:val="32"/>
          <w:lang w:val="en-US" w:eastAsia="zh-CN" w:bidi="ar-SA"/>
        </w:rPr>
        <w:t>申报标准以GB/T 18487系列、GB/T 20234系列、NB/T 33008系列等充电桩专项标准为基础，针对其未覆盖的“非嵌入式随充随检”场景，补充装置的便携性、现场检测流程、多场景适配性等专项技术要求，同时明确装置的检测指标、检验方法需与充电桩专项标准的技术要求对应一致，确保随充随检装置的检测结果能够有效匹配充电桩的验收、运维标准，形成“充电桩本体标准—充电设备检验标准—随充随检装置标准”的完整协同体系，完善充电设施全生命周期检测标准链条。</w:t>
      </w:r>
    </w:p>
    <w:p>
      <w:pPr>
        <w:pStyle w:val="15"/>
        <w:spacing w:before="312" w:after="312"/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</w:pPr>
      <w:bookmarkStart w:id="31" w:name="_Toc513731115"/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6标准实施措施说明</w:t>
      </w:r>
      <w:bookmarkEnd w:id="31"/>
    </w:p>
    <w:p>
      <w:pPr>
        <w:pStyle w:val="1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2" w:after="312"/>
        <w:ind w:firstLine="640" w:firstLineChars="200"/>
        <w:textAlignment w:val="auto"/>
        <w:rPr>
          <w:rFonts w:hint="default" w:ascii="仿宋_GB2312" w:hAnsi="宋体" w:eastAsia="仿宋_GB2312" w:cs="Times New Roman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仿宋_GB2312" w:hAnsi="宋体" w:eastAsia="仿宋_GB2312" w:cs="Times New Roman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组建由行业主管部门、科研院所、龙头企业、检测机构组成的专业宣贯团队，借鉴充电桩相关标准推广经验，编制通俗易懂的标准解读手册、实操指南及培训课件，重点解读标准核心条款、技术要求、检验方法及实施要点，破解推广过程中的认知难题。采用“分层分类+多元形式”开展宣贯：针对行业主管部门、监管机构，开展政策适配宣贯，明确标准执行要求及监管重点；针对生产企业，开展技术实操培训，指导企业完成产品升级、生产线改造，确保产品符合标准要求；针对检测机构、运营单位，开展应用培训，提升标准落地执行能力；针对行业从业者，通过行业研讨会、线上直播、线下实操演练、专题讲座等形式，扩大宣贯覆盖面。同时，依托行业协会、主流媒体、行业平台，发布标准解读、实施案例</w:t>
      </w:r>
      <w:r>
        <w:rPr>
          <w:rFonts w:hint="eastAsia" w:ascii="仿宋_GB2312" w:hAnsi="宋体" w:eastAsia="仿宋_GB2312" w:cs="Times New Roman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。</w:t>
      </w:r>
    </w:p>
    <w:p>
      <w:pPr>
        <w:pStyle w:val="15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2" w:after="312"/>
        <w:ind w:firstLine="640" w:firstLineChars="200"/>
        <w:textAlignment w:val="auto"/>
        <w:rPr>
          <w:rFonts w:hint="eastAsia" w:ascii="仿宋_GB2312" w:hAnsi="宋体" w:eastAsia="仿宋_GB2312" w:cs="Times New Roman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sectPr>
          <w:pgSz w:w="11906" w:h="16838"/>
          <w:pgMar w:top="1440" w:right="1797" w:bottom="1418" w:left="1797" w:header="851" w:footer="992" w:gutter="0"/>
          <w:cols w:space="720" w:num="1"/>
          <w:docGrid w:type="lines" w:linePitch="312" w:charSpace="0"/>
        </w:sectPr>
      </w:pPr>
    </w:p>
    <w:p>
      <w:pPr>
        <w:rPr>
          <w:color w:val="auto"/>
        </w:rPr>
      </w:pPr>
    </w:p>
    <w:bookmarkEnd w:id="32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wordWrap w:val="0"/>
    </w:pPr>
    <w:r>
      <w:rPr>
        <w:rFonts w:hint="eastAsia"/>
      </w:rPr>
      <w:t>T</w:t>
    </w:r>
    <w:r>
      <w:t>/</w:t>
    </w:r>
    <w:r>
      <w:rPr>
        <w:rFonts w:hint="eastAsia"/>
      </w:rPr>
      <w:t>CSEE</w:t>
    </w:r>
    <w:r>
      <w:rPr>
        <w:rFonts w:hint="eastAsia" w:hAnsi="黑体"/>
      </w:rPr>
      <w:t xml:space="preserve"> XXXX-YYYY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spacing w:before="120" w:after="120"/>
      <w:jc w:val="both"/>
    </w:pPr>
    <w:r>
      <w:t>Q/</w:t>
    </w:r>
    <w:r>
      <w:rPr>
        <w:rFonts w:hint="eastAsia"/>
      </w:rPr>
      <w:t>GDW</w:t>
    </w:r>
    <w:r>
      <w:rPr>
        <w:rFonts w:hint="eastAsia" w:hAnsi="宋体"/>
      </w:rPr>
      <w:t xml:space="preserve"> </w:t>
    </w:r>
    <w:r>
      <w:rPr>
        <w:rFonts w:hint="eastAsia" w:hAnsi="黑体"/>
      </w:rPr>
      <w:t>XX-XXX</w:t>
    </w:r>
    <w:r>
      <w:rPr>
        <w:rFonts w:hAnsi="黑体"/>
      </w:rPr>
      <w:t>—</w:t>
    </w:r>
    <w:r>
      <w:rPr>
        <w:rFonts w:hint="eastAsia" w:hAnsi="黑体"/>
      </w:rPr>
      <w:t>2012-1XXXX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wordWrap w:val="0"/>
    </w:pPr>
    <w:r>
      <w:rPr>
        <w:rFonts w:hint="eastAsia"/>
      </w:rPr>
      <w:t>T</w:t>
    </w:r>
    <w:r>
      <w:t>/</w:t>
    </w:r>
    <w:r>
      <w:rPr>
        <w:rFonts w:hint="eastAsia"/>
      </w:rPr>
      <w:t>CSEE</w:t>
    </w:r>
    <w:r>
      <w:rPr>
        <w:rFonts w:hint="eastAsia" w:hAnsi="黑体"/>
      </w:rPr>
      <w:t xml:space="preserve"> XXXX-YYYY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wordWrap w:val="0"/>
      <w:spacing w:before="120" w:after="12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6A4C5D1"/>
    <w:multiLevelType w:val="singleLevel"/>
    <w:tmpl w:val="86A4C5D1"/>
    <w:lvl w:ilvl="0" w:tentative="0">
      <w:start w:val="1"/>
      <w:numFmt w:val="decimal"/>
      <w:suff w:val="nothing"/>
      <w:lvlText w:val="%1）"/>
      <w:lvlJc w:val="left"/>
    </w:lvl>
  </w:abstractNum>
  <w:abstractNum w:abstractNumId="1">
    <w:nsid w:val="1FC91163"/>
    <w:multiLevelType w:val="multilevel"/>
    <w:tmpl w:val="1FC91163"/>
    <w:lvl w:ilvl="0" w:tentative="0">
      <w:start w:val="1"/>
      <w:numFmt w:val="decimal"/>
      <w:pStyle w:val="12"/>
      <w:suff w:val="nothing"/>
      <w:lvlText w:val="%1　"/>
      <w:lvlJc w:val="left"/>
      <w:pPr>
        <w:ind w:left="426" w:firstLine="0"/>
      </w:pPr>
      <w:rPr>
        <w:rFonts w:hint="eastAsia" w:ascii="黑体" w:hAnsi="Times New Roman" w:eastAsia="黑体"/>
        <w:b w:val="0"/>
        <w:i w:val="0"/>
        <w:sz w:val="21"/>
        <w:szCs w:val="21"/>
      </w:rPr>
    </w:lvl>
    <w:lvl w:ilvl="1" w:tentative="0">
      <w:start w:val="1"/>
      <w:numFmt w:val="decimal"/>
      <w:suff w:val="nothing"/>
      <w:lvlText w:val="%1.%2　"/>
      <w:lvlJc w:val="left"/>
      <w:pPr>
        <w:ind w:left="142" w:firstLine="0"/>
      </w:pPr>
      <w:rPr>
        <w:rFonts w:hint="eastAsia" w:ascii="黑体" w:hAnsi="Times New Roman" w:eastAsia="黑体" w:cs="Times New Roman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1"/>
        <w:szCs w:val="21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2" w:tentative="0">
      <w:start w:val="1"/>
      <w:numFmt w:val="decimal"/>
      <w:suff w:val="nothing"/>
      <w:lvlText w:val="%1.%2.%3　"/>
      <w:lvlJc w:val="left"/>
      <w:pPr>
        <w:ind w:left="568" w:firstLine="0"/>
      </w:pPr>
      <w:rPr>
        <w:rFonts w:hint="eastAsia" w:ascii="黑体" w:hAnsi="Times New Roman" w:eastAsia="黑体"/>
        <w:b w:val="0"/>
        <w:i w:val="0"/>
        <w:sz w:val="21"/>
      </w:rPr>
    </w:lvl>
    <w:lvl w:ilvl="3" w:tentative="0">
      <w:start w:val="1"/>
      <w:numFmt w:val="decimal"/>
      <w:suff w:val="nothing"/>
      <w:lvlText w:val="%1.%2.%3.%4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4" w:tentative="0">
      <w:start w:val="1"/>
      <w:numFmt w:val="decimal"/>
      <w:suff w:val="nothing"/>
      <w:lvlText w:val="%1.%2.%3.%4.%5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5" w:tentative="0">
      <w:start w:val="1"/>
      <w:numFmt w:val="decimal"/>
      <w:suff w:val="nothing"/>
      <w:lvlText w:val="%1.%2.%3.%4.%5.%6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6" w:tentative="0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9D384B"/>
    <w:rsid w:val="1B9D384B"/>
    <w:rsid w:val="20746DF0"/>
    <w:rsid w:val="4D1A6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bCs/>
      <w:kern w:val="44"/>
      <w:sz w:val="44"/>
      <w:szCs w:val="44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9">
    <w:name w:val="Default Paragraph Font"/>
    <w:semiHidden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5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oc 1"/>
    <w:basedOn w:val="1"/>
    <w:next w:val="1"/>
    <w:qFormat/>
    <w:uiPriority w:val="39"/>
    <w:pPr>
      <w:tabs>
        <w:tab w:val="right" w:leader="dot" w:pos="9241"/>
      </w:tabs>
      <w:spacing w:before="25" w:beforeLines="25" w:after="25" w:afterLines="25"/>
      <w:jc w:val="left"/>
    </w:pPr>
    <w:rPr>
      <w:rFonts w:ascii="宋体" w:hAnsi="Times New Roman"/>
      <w:szCs w:val="21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Hyperlink"/>
    <w:qFormat/>
    <w:uiPriority w:val="99"/>
    <w:rPr>
      <w:rFonts w:cs="Times New Roman"/>
      <w:color w:val="0563C1"/>
      <w:u w:val="single"/>
    </w:rPr>
  </w:style>
  <w:style w:type="paragraph" w:customStyle="1" w:styleId="11">
    <w:name w:val="段"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12">
    <w:name w:val="章标题"/>
    <w:next w:val="11"/>
    <w:qFormat/>
    <w:uiPriority w:val="0"/>
    <w:pPr>
      <w:numPr>
        <w:ilvl w:val="0"/>
        <w:numId w:val="1"/>
      </w:numPr>
      <w:spacing w:before="312" w:beforeLines="100" w:after="312" w:afterLines="100"/>
      <w:jc w:val="both"/>
      <w:outlineLvl w:val="1"/>
    </w:pPr>
    <w:rPr>
      <w:rFonts w:ascii="黑体" w:hAnsi="Times New Roman" w:eastAsia="黑体" w:cs="Times New Roman"/>
      <w:sz w:val="21"/>
      <w:lang w:val="en-US" w:eastAsia="zh-CN" w:bidi="ar-SA"/>
    </w:rPr>
  </w:style>
  <w:style w:type="paragraph" w:customStyle="1" w:styleId="13">
    <w:name w:val="目次、标准名称标题"/>
    <w:basedOn w:val="14"/>
    <w:next w:val="11"/>
    <w:qFormat/>
    <w:uiPriority w:val="0"/>
    <w:pPr>
      <w:keepNext/>
      <w:pageBreakBefore/>
      <w:spacing w:line="460" w:lineRule="exact"/>
    </w:pPr>
  </w:style>
  <w:style w:type="paragraph" w:customStyle="1" w:styleId="14">
    <w:name w:val="前言、引言标题"/>
    <w:next w:val="1"/>
    <w:qFormat/>
    <w:uiPriority w:val="0"/>
    <w:pPr>
      <w:shd w:val="clear" w:color="FFFFFF" w:fill="FFFFFF"/>
      <w:spacing w:before="640" w:after="560"/>
      <w:jc w:val="center"/>
      <w:outlineLvl w:val="0"/>
    </w:pPr>
    <w:rPr>
      <w:rFonts w:ascii="黑体" w:hAnsi="Times New Roman" w:eastAsia="黑体" w:cs="Times New Roman"/>
      <w:sz w:val="32"/>
      <w:lang w:val="en-US" w:eastAsia="zh-CN" w:bidi="ar-SA"/>
    </w:rPr>
  </w:style>
  <w:style w:type="paragraph" w:customStyle="1" w:styleId="15">
    <w:name w:val="样式 标题 1 + 非加粗"/>
    <w:basedOn w:val="2"/>
    <w:qFormat/>
    <w:uiPriority w:val="0"/>
    <w:pPr>
      <w:spacing w:before="100" w:beforeLines="100" w:after="100" w:afterLines="100" w:line="240" w:lineRule="auto"/>
    </w:pPr>
    <w:rPr>
      <w:rFonts w:eastAsia="黑体"/>
      <w:b w:val="0"/>
      <w:bCs w:val="0"/>
      <w:sz w:val="21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paragraph" w:customStyle="1" w:styleId="17">
    <w:name w:val="标准书眉_奇数页"/>
    <w:next w:val="1"/>
    <w:qFormat/>
    <w:uiPriority w:val="0"/>
    <w:pPr>
      <w:tabs>
        <w:tab w:val="center" w:pos="4154"/>
        <w:tab w:val="right" w:pos="8306"/>
      </w:tabs>
      <w:spacing w:after="220"/>
      <w:jc w:val="right"/>
    </w:pPr>
    <w:rPr>
      <w:rFonts w:ascii="黑体" w:hAnsi="Times New Roman" w:eastAsia="黑体" w:cs="Times New Roman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8" Type="http://schemas.openxmlformats.org/officeDocument/2006/relationships/theme" Target="theme/theme1.xml"/><Relationship Id="rId7" Type="http://schemas.openxmlformats.org/officeDocument/2006/relationships/footer" Target="footer1.xml"/><Relationship Id="rId6" Type="http://schemas.openxmlformats.org/officeDocument/2006/relationships/header" Target="header4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image" Target="media/image27.png"/><Relationship Id="rId34" Type="http://schemas.openxmlformats.org/officeDocument/2006/relationships/image" Target="media/image26.jpeg"/><Relationship Id="rId33" Type="http://schemas.openxmlformats.org/officeDocument/2006/relationships/image" Target="media/image25.png"/><Relationship Id="rId32" Type="http://schemas.openxmlformats.org/officeDocument/2006/relationships/image" Target="media/image24.jpeg"/><Relationship Id="rId31" Type="http://schemas.openxmlformats.org/officeDocument/2006/relationships/image" Target="media/image23.jpeg"/><Relationship Id="rId30" Type="http://schemas.openxmlformats.org/officeDocument/2006/relationships/image" Target="media/image22.jpeg"/><Relationship Id="rId3" Type="http://schemas.openxmlformats.org/officeDocument/2006/relationships/header" Target="header1.xml"/><Relationship Id="rId29" Type="http://schemas.openxmlformats.org/officeDocument/2006/relationships/image" Target="media/image21.jpeg"/><Relationship Id="rId28" Type="http://schemas.openxmlformats.org/officeDocument/2006/relationships/image" Target="media/image20.jpeg"/><Relationship Id="rId27" Type="http://schemas.openxmlformats.org/officeDocument/2006/relationships/image" Target="media/image19.jpeg"/><Relationship Id="rId26" Type="http://schemas.openxmlformats.org/officeDocument/2006/relationships/image" Target="media/image18.jpeg"/><Relationship Id="rId25" Type="http://schemas.openxmlformats.org/officeDocument/2006/relationships/image" Target="media/image17.png"/><Relationship Id="rId24" Type="http://schemas.openxmlformats.org/officeDocument/2006/relationships/image" Target="media/image16.jpeg"/><Relationship Id="rId23" Type="http://schemas.openxmlformats.org/officeDocument/2006/relationships/image" Target="media/image15.png"/><Relationship Id="rId22" Type="http://schemas.openxmlformats.org/officeDocument/2006/relationships/image" Target="media/image14.jpeg"/><Relationship Id="rId21" Type="http://schemas.openxmlformats.org/officeDocument/2006/relationships/image" Target="media/image13.jpeg"/><Relationship Id="rId20" Type="http://schemas.openxmlformats.org/officeDocument/2006/relationships/image" Target="media/image12.jpe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jpeg"/><Relationship Id="rId15" Type="http://schemas.openxmlformats.org/officeDocument/2006/relationships/image" Target="media/image7.jpeg"/><Relationship Id="rId14" Type="http://schemas.openxmlformats.org/officeDocument/2006/relationships/image" Target="media/image6.jpeg"/><Relationship Id="rId13" Type="http://schemas.openxmlformats.org/officeDocument/2006/relationships/image" Target="media/image5.jpeg"/><Relationship Id="rId12" Type="http://schemas.openxmlformats.org/officeDocument/2006/relationships/image" Target="media/image4.jpeg"/><Relationship Id="rId11" Type="http://schemas.openxmlformats.org/officeDocument/2006/relationships/image" Target="media/image3.jpe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2026-04-07T06:20:00Z</dcterms:created>
  <dc:creator>全</dc:creator>
  <cp:lastModifiedBy>全</cp:lastModifiedBy>
  <dcterms:modified xsi:type="dcterms:W3CDTF">2026-04-10T08:57:07Z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DAFA2B5C13A440F49A77B53737DF9FF5</vt:lpwstr>
  </property>
</Properties>
</file>