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77AC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497C8730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15C6952A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14C05DD2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112E6E5C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5952C8F4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5702E065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6F17345D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5D184452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2A40DF5A">
      <w:pPr>
        <w:pStyle w:val="17"/>
        <w:ind w:firstLine="0" w:firstLineChars="0"/>
        <w:rPr>
          <w:rFonts w:hint="default" w:ascii="Times New Roman" w:hAnsi="Times New Roman" w:cs="Times New Roman"/>
        </w:rPr>
      </w:pPr>
    </w:p>
    <w:p w14:paraId="58D47D00">
      <w:pPr>
        <w:jc w:val="center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火力发电厂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差动变压器式位移传感器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检测技术导则</w:t>
      </w:r>
    </w:p>
    <w:p w14:paraId="2340743D">
      <w:pPr>
        <w:pStyle w:val="17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0BF8CAFF">
      <w:pPr>
        <w:pStyle w:val="17"/>
        <w:rPr>
          <w:rFonts w:hint="default" w:ascii="Times New Roman" w:hAnsi="Times New Roman" w:cs="Times New Roman"/>
        </w:rPr>
      </w:pPr>
    </w:p>
    <w:p w14:paraId="373600B5">
      <w:pPr>
        <w:pStyle w:val="17"/>
        <w:rPr>
          <w:rFonts w:hint="default" w:ascii="Times New Roman" w:hAnsi="Times New Roman" w:cs="Times New Roman"/>
        </w:rPr>
      </w:pPr>
    </w:p>
    <w:p w14:paraId="360193BA">
      <w:pPr>
        <w:pStyle w:val="19"/>
        <w:spacing w:before="312" w:after="312"/>
        <w:ind w:left="0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Toc298937333"/>
      <w:bookmarkStart w:id="1" w:name="_Toc298937368"/>
      <w:bookmarkStart w:id="2" w:name="_Toc309994571"/>
      <w:bookmarkStart w:id="3" w:name="_Toc298937473"/>
      <w:bookmarkStart w:id="4" w:name="_Toc318613715"/>
      <w:bookmarkStart w:id="5" w:name="_Toc309996019"/>
      <w:bookmarkStart w:id="6" w:name="_Toc304825093"/>
      <w:bookmarkStart w:id="7" w:name="_Toc304825020"/>
      <w:bookmarkStart w:id="8" w:name="_Toc320020914"/>
      <w:bookmarkStart w:id="9" w:name="_Toc298937620"/>
      <w:bookmarkStart w:id="10" w:name="_Toc309993200"/>
      <w:bookmarkStart w:id="11" w:name="_Toc310002657"/>
      <w:bookmarkStart w:id="12" w:name="_Toc309995598"/>
      <w:bookmarkStart w:id="13" w:name="_Toc304828086"/>
      <w:bookmarkStart w:id="14" w:name="_Toc309997060"/>
      <w:bookmarkStart w:id="15" w:name="_Toc298938646"/>
      <w:bookmarkStart w:id="16" w:name="_Toc304402675"/>
      <w:bookmarkStart w:id="17" w:name="_Toc298937560"/>
      <w:bookmarkStart w:id="18" w:name="_Toc304824981"/>
      <w:bookmarkStart w:id="19" w:name="_Toc298938794"/>
      <w:bookmarkStart w:id="20" w:name="_Toc298937430"/>
      <w:bookmarkStart w:id="21" w:name="_Toc309995492"/>
      <w:bookmarkStart w:id="22" w:name="_Toc309995410"/>
      <w:r>
        <w:rPr>
          <w:rFonts w:hint="default" w:ascii="Times New Roman" w:hAnsi="Times New Roman" w:cs="Times New Roman"/>
          <w:sz w:val="28"/>
          <w:szCs w:val="28"/>
        </w:rPr>
        <w:t>编</w:t>
      </w:r>
      <w:r>
        <w:rPr>
          <w:rFonts w:hint="default" w:ascii="Times New Roman" w:hAnsi="Times New Roman" w:eastAsia="MS Mincho" w:cs="Times New Roman"/>
          <w:sz w:val="28"/>
          <w:szCs w:val="28"/>
        </w:rPr>
        <w:t> </w:t>
      </w:r>
      <w:r>
        <w:rPr>
          <w:rFonts w:hint="default" w:ascii="Times New Roman" w:hAnsi="Times New Roman" w:cs="Times New Roman"/>
          <w:sz w:val="28"/>
          <w:szCs w:val="28"/>
        </w:rPr>
        <w:t>制</w:t>
      </w:r>
      <w:r>
        <w:rPr>
          <w:rFonts w:hint="default" w:ascii="Times New Roman" w:hAnsi="Times New Roman" w:eastAsia="MS Mincho" w:cs="Times New Roman"/>
          <w:sz w:val="28"/>
          <w:szCs w:val="28"/>
        </w:rPr>
        <w:t> </w:t>
      </w:r>
      <w:r>
        <w:rPr>
          <w:rFonts w:hint="default" w:ascii="Times New Roman" w:hAnsi="Times New Roman" w:cs="Times New Roman"/>
          <w:sz w:val="28"/>
          <w:szCs w:val="28"/>
        </w:rPr>
        <w:t>说</w:t>
      </w:r>
      <w:bookmarkEnd w:id="0"/>
      <w:bookmarkEnd w:id="1"/>
      <w:r>
        <w:rPr>
          <w:rFonts w:hint="default" w:ascii="Times New Roman" w:hAnsi="Times New Roman" w:eastAsia="MS Mincho" w:cs="Times New Roman"/>
          <w:sz w:val="28"/>
          <w:szCs w:val="28"/>
        </w:rPr>
        <w:t> </w:t>
      </w:r>
      <w:r>
        <w:rPr>
          <w:rFonts w:hint="default" w:ascii="Times New Roman" w:hAnsi="Times New Roman" w:cs="Times New Roman"/>
          <w:sz w:val="28"/>
          <w:szCs w:val="28"/>
        </w:rPr>
        <w:t>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12D5FE1">
      <w:pPr>
        <w:pStyle w:val="17"/>
        <w:ind w:firstLine="56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3E50765C">
      <w:pPr>
        <w:pStyle w:val="17"/>
        <w:ind w:firstLine="56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4C3F06AB">
      <w:pPr>
        <w:pStyle w:val="17"/>
        <w:rPr>
          <w:rFonts w:hint="default" w:ascii="Times New Roman" w:hAnsi="Times New Roman" w:cs="Times New Roma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567" w:right="1134" w:bottom="1134" w:left="1417" w:header="1418" w:footer="1134" w:gutter="0"/>
          <w:cols w:space="720" w:num="1"/>
          <w:formProt w:val="0"/>
          <w:docGrid w:type="lines" w:linePitch="312" w:charSpace="0"/>
        </w:sectPr>
      </w:pPr>
    </w:p>
    <w:p w14:paraId="0A0465B7">
      <w:pPr>
        <w:pStyle w:val="21"/>
        <w:rPr>
          <w:rFonts w:hint="default" w:ascii="Times New Roman" w:hAnsi="Times New Roman" w:cs="Times New Roman"/>
        </w:rPr>
      </w:pPr>
      <w:bookmarkStart w:id="23" w:name="_Toc309992160"/>
      <w:bookmarkStart w:id="24" w:name="_Toc21993"/>
      <w:bookmarkStart w:id="25" w:name="_Toc513731109"/>
      <w:bookmarkStart w:id="26" w:name="_Toc513731021"/>
      <w:bookmarkStart w:id="27" w:name="_Toc116655769"/>
      <w:r>
        <w:rPr>
          <w:rFonts w:hint="default" w:ascii="Times New Roman" w:hAnsi="Times New Roman" w:cs="Times New Roman"/>
        </w:rPr>
        <w:t>目次</w:t>
      </w:r>
      <w:bookmarkEnd w:id="23"/>
      <w:bookmarkEnd w:id="24"/>
      <w:bookmarkEnd w:id="25"/>
      <w:bookmarkEnd w:id="26"/>
      <w:bookmarkEnd w:id="27"/>
    </w:p>
    <w:p w14:paraId="4EF04FA5">
      <w:pPr>
        <w:pStyle w:val="5"/>
        <w:tabs>
          <w:tab w:val="right" w:leader="dot" w:pos="9355"/>
          <w:tab w:val="clear" w:pos="9241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TOC \o "1-1" \h \z \u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\l _Toc7138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1 编制背景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_Toc7138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367D7BFD">
      <w:pPr>
        <w:pStyle w:val="5"/>
        <w:tabs>
          <w:tab w:val="right" w:leader="dot" w:pos="9355"/>
          <w:tab w:val="clear" w:pos="9241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\l _Toc25846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2 编制主要原则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_Toc25846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3795CA88">
      <w:pPr>
        <w:pStyle w:val="5"/>
        <w:tabs>
          <w:tab w:val="right" w:leader="dot" w:pos="9355"/>
          <w:tab w:val="clear" w:pos="9241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\l _Toc6450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3 主要工作过程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_Toc6450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29AD38BF">
      <w:pPr>
        <w:pStyle w:val="5"/>
        <w:tabs>
          <w:tab w:val="right" w:leader="dot" w:pos="9355"/>
          <w:tab w:val="clear" w:pos="9241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\l _Toc27845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4</w:t>
      </w:r>
      <w:r>
        <w:rPr>
          <w:rFonts w:hint="default" w:ascii="Times New Roman" w:hAnsi="Times New Roman" w:cs="Times New Roman"/>
        </w:rPr>
        <w:t xml:space="preserve"> 标准结构和内容说明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_Toc27845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7F57D05A">
      <w:pPr>
        <w:pStyle w:val="5"/>
        <w:tabs>
          <w:tab w:val="right" w:leader="dot" w:pos="9355"/>
          <w:tab w:val="clear" w:pos="9241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\l _Toc1317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5相关</w:t>
      </w:r>
      <w:r>
        <w:rPr>
          <w:rFonts w:hint="default" w:ascii="Times New Roman" w:hAnsi="Times New Roman" w:cs="Times New Roman"/>
        </w:rPr>
        <w:t>标准对比说明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_Toc1317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220F4FA8">
      <w:pPr>
        <w:pStyle w:val="5"/>
        <w:tabs>
          <w:tab w:val="right" w:leader="dot" w:pos="9355"/>
          <w:tab w:val="clear" w:pos="9241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fldChar w:fldCharType="begin"/>
      </w:r>
      <w:r>
        <w:rPr>
          <w:rFonts w:hint="default" w:ascii="Times New Roman" w:hAnsi="Times New Roman" w:cs="Times New Roman"/>
          <w:szCs w:val="21"/>
        </w:rPr>
        <w:instrText xml:space="preserve"> HYPERLINK \l _Toc5871 </w:instrText>
      </w:r>
      <w:r>
        <w:rPr>
          <w:rFonts w:hint="default" w:ascii="Times New Roman" w:hAnsi="Times New Roman" w:cs="Times New Roman"/>
          <w:szCs w:val="21"/>
        </w:rPr>
        <w:fldChar w:fldCharType="separate"/>
      </w:r>
      <w:r>
        <w:rPr>
          <w:rFonts w:hint="default" w:ascii="Times New Roman" w:hAnsi="Times New Roman" w:cs="Times New Roman"/>
          <w:szCs w:val="21"/>
        </w:rPr>
        <w:t>6标准实施措施说明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_Toc5871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Cs w:val="21"/>
        </w:rPr>
        <w:fldChar w:fldCharType="end"/>
      </w:r>
    </w:p>
    <w:p w14:paraId="4CB68D4E">
      <w:pPr>
        <w:pStyle w:val="17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fldChar w:fldCharType="end"/>
      </w:r>
    </w:p>
    <w:p w14:paraId="7DD2D98A">
      <w:pPr>
        <w:pStyle w:val="17"/>
        <w:rPr>
          <w:rFonts w:hint="default" w:ascii="Times New Roman" w:hAnsi="Times New Roman" w:cs="Times New Roman"/>
          <w:szCs w:val="21"/>
        </w:rPr>
      </w:pPr>
    </w:p>
    <w:p w14:paraId="41D4D044">
      <w:pPr>
        <w:pStyle w:val="17"/>
        <w:rPr>
          <w:rFonts w:hint="default" w:ascii="Times New Roman" w:hAnsi="Times New Roman" w:cs="Times New Roman"/>
          <w:szCs w:val="21"/>
        </w:rPr>
      </w:pPr>
    </w:p>
    <w:p w14:paraId="7F980B53">
      <w:pPr>
        <w:pStyle w:val="17"/>
        <w:rPr>
          <w:rFonts w:hint="default" w:ascii="Times New Roman" w:hAnsi="Times New Roman" w:cs="Times New Roman"/>
          <w:szCs w:val="21"/>
        </w:rPr>
      </w:pPr>
    </w:p>
    <w:p w14:paraId="38D22F17">
      <w:pPr>
        <w:pStyle w:val="17"/>
        <w:rPr>
          <w:rFonts w:hint="default" w:ascii="Times New Roman" w:hAnsi="Times New Roman" w:cs="Times New Roman"/>
          <w:szCs w:val="21"/>
        </w:rPr>
        <w:sectPr>
          <w:headerReference r:id="rId6" w:type="default"/>
          <w:footerReference r:id="rId7" w:type="default"/>
          <w:pgSz w:w="11906" w:h="16838"/>
          <w:pgMar w:top="567" w:right="1134" w:bottom="1134" w:left="1417" w:header="1418" w:footer="1134" w:gutter="0"/>
          <w:pgNumType w:start="28"/>
          <w:cols w:space="720" w:num="1"/>
          <w:formProt w:val="0"/>
          <w:docGrid w:type="lines" w:linePitch="312" w:charSpace="0"/>
        </w:sectPr>
      </w:pPr>
    </w:p>
    <w:p w14:paraId="70008B25">
      <w:pPr>
        <w:pStyle w:val="20"/>
        <w:spacing w:before="312" w:after="312"/>
        <w:rPr>
          <w:rFonts w:hint="default" w:ascii="Times New Roman" w:hAnsi="Times New Roman" w:cs="Times New Roman"/>
          <w:sz w:val="24"/>
          <w:szCs w:val="24"/>
        </w:rPr>
      </w:pPr>
      <w:bookmarkStart w:id="28" w:name="_Toc7138"/>
      <w:r>
        <w:rPr>
          <w:rFonts w:hint="default" w:ascii="Times New Roman" w:hAnsi="Times New Roman" w:cs="Times New Roman"/>
          <w:sz w:val="24"/>
          <w:szCs w:val="24"/>
        </w:rPr>
        <w:t>1 编制背景</w:t>
      </w:r>
      <w:bookmarkEnd w:id="28"/>
    </w:p>
    <w:p w14:paraId="0030737E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本标准是根据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电咨询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[202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cs="Times New Roman"/>
          <w:sz w:val="24"/>
          <w:szCs w:val="24"/>
        </w:rPr>
        <w:t>号，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中国电机工程学会关于印发“中国电机工程学会20223年标准计划（第</w:t>
      </w:r>
      <w:r>
        <w:rPr>
          <w:rFonts w:hint="eastAsia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批）”的通知</w:t>
      </w:r>
      <w:r>
        <w:rPr>
          <w:rFonts w:hint="default" w:ascii="Times New Roman" w:hAnsi="Times New Roman" w:cs="Times New Roman"/>
          <w:sz w:val="24"/>
          <w:szCs w:val="24"/>
        </w:rPr>
        <w:t>下达的制定任务，项目序号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对</w:t>
      </w:r>
      <w:r>
        <w:rPr>
          <w:rFonts w:hint="eastAsia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火力发电厂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差动变压器式位移传感器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检测技术导则</w:t>
      </w:r>
      <w:r>
        <w:rPr>
          <w:rFonts w:hint="eastAsia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进行制定的。</w:t>
      </w:r>
    </w:p>
    <w:p w14:paraId="37FA65D0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汽轮机缸体热膨胀的测量是确保汽轮机安全运行的重要环节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汽轮机在高温高压环境下工作，其缸体会因受热而发生热膨胀。缸体热膨胀通常采用线性可变差动变压器（LVDT）式位移传感器，LVDT传感器监测量值的准确性直接影响发电机组的正常运行，对其进行准确有效的检定和校准则显得尤为重要，保证其计量性能准确可靠，从而保障汽轮发电机组的安全经济运行。</w:t>
      </w:r>
    </w:p>
    <w:p w14:paraId="42B4908E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目前，针对汽轮机监视仪表系统（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TSI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）中热膨胀传感器的检测，主要参考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JJG 644-2003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《振动位移传感器》检定规程。由于该类传感器在电力行业应用中有其特殊性，该检定规程中规定的某些检定项目和检定方法，与电力行业要求不相适应，一些关键性的技术指标及检测项目未提及，这样会对传感器的计量性能做出误判，直接影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TSI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测量参数的准确性。故需要制定专门针对该类型传感器的检测标准，确保在电力行业内对该类型传感器能得到有效、合理的溯源。</w:t>
      </w:r>
    </w:p>
    <w:p w14:paraId="5BADF7C2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本标准结合电力行业实际情况，参考现有国家检定规程，结合各类型传感器说明书，而制定的一套适用于电力行业该类型传感器的行之有效的检测标准。该标准的制定，确保了电力行业TSI系统监测量值的准确可靠，从而保障了机组的安全经济运行。</w:t>
      </w:r>
    </w:p>
    <w:p w14:paraId="69EBF796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参加本标准制定工作的主要单位有：西安热工研究院有限公司，江苏方天电力技术有限公司、中国计量大学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华电电力科学研究院有限公司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华能营口热电有限责任公司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华能内蒙古东部能源有限公司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国家能源集团哈密煤电公司花园电厂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华能铜川照金煤电有限公司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华能沁北发电有限责任公司</w:t>
      </w:r>
      <w:r>
        <w:rPr>
          <w:rFonts w:hint="eastAsia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HYPERLINK "https://www.so.com/link?m=woOT2ArgtASEtbgPQ1EfeIXPAlCswrgqI+ipM47/yBm3ciIFv2g2yci/509tBw7oz6CR6IExHkhhYoG/1keYkTyi1OrJQTM9svTCYUy5tykZcMCugtb61oveh4Yhr3U9UHmf4tbGCBV8LqmV1" \t "https://www.so.com/_blank" 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上海驰捷电子有限公司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691170BF">
      <w:pPr>
        <w:pStyle w:val="20"/>
        <w:spacing w:before="312" w:after="312"/>
        <w:rPr>
          <w:rFonts w:hint="default" w:ascii="Times New Roman" w:hAnsi="Times New Roman" w:cs="Times New Roman"/>
          <w:sz w:val="24"/>
          <w:szCs w:val="24"/>
        </w:rPr>
      </w:pPr>
      <w:bookmarkStart w:id="29" w:name="_Toc25846"/>
      <w:r>
        <w:rPr>
          <w:rFonts w:hint="default" w:ascii="Times New Roman" w:hAnsi="Times New Roman" w:cs="Times New Roman"/>
          <w:sz w:val="24"/>
          <w:szCs w:val="24"/>
        </w:rPr>
        <w:t>2 编制主要原则</w:t>
      </w:r>
      <w:bookmarkEnd w:id="29"/>
    </w:p>
    <w:p w14:paraId="25FF01E5">
      <w:pPr>
        <w:pStyle w:val="23"/>
        <w:spacing w:beforeLines="50" w:afterLines="50" w:line="360" w:lineRule="auto"/>
        <w:rPr>
          <w:rFonts w:hint="eastAsia" w:asci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2.1 严格按照GB/T1.1-2020《标准化工作到则》</w:t>
      </w:r>
      <w:r>
        <w:rPr>
          <w:rFonts w:hint="eastAsia" w:ascii="Times New Roman" w:eastAsia="宋体" w:cs="Times New Roman"/>
          <w:b w:val="0"/>
          <w:bCs w:val="0"/>
          <w:sz w:val="24"/>
          <w:szCs w:val="24"/>
          <w:lang w:eastAsia="zh-CN"/>
        </w:rPr>
        <w:t>；</w:t>
      </w:r>
    </w:p>
    <w:p w14:paraId="6E628BA2">
      <w:pPr>
        <w:pStyle w:val="23"/>
        <w:spacing w:beforeLines="50" w:afterLines="50"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2.2 </w:t>
      </w:r>
      <w:r>
        <w:rPr>
          <w:rFonts w:hint="default" w:ascii="Times New Roman" w:hAnsi="Times New Roman" w:eastAsia="宋体" w:cs="Times New Roman"/>
          <w:sz w:val="24"/>
          <w:szCs w:val="24"/>
        </w:rPr>
        <w:t>参考国内外产品的技术手册，进口的包括本特利、艾默生、VM等，国内的包括</w:t>
      </w:r>
      <w:r>
        <w:rPr>
          <w:rFonts w:hint="eastAsia" w:ascii="Times New Roman" w:eastAsia="宋体" w:cs="Times New Roman"/>
          <w:sz w:val="24"/>
          <w:szCs w:val="24"/>
          <w:lang w:val="en-US" w:eastAsia="zh-CN"/>
        </w:rPr>
        <w:t>西安热工院、上海安偌、上海驰捷和</w:t>
      </w:r>
      <w:r>
        <w:rPr>
          <w:rFonts w:hint="default" w:ascii="Times New Roman" w:hAnsi="Times New Roman" w:eastAsia="宋体" w:cs="Times New Roman"/>
          <w:sz w:val="24"/>
          <w:szCs w:val="24"/>
        </w:rPr>
        <w:t>江阴三电等；</w:t>
      </w:r>
    </w:p>
    <w:p w14:paraId="0CDA6C34">
      <w:pPr>
        <w:pStyle w:val="23"/>
        <w:spacing w:beforeLines="50" w:afterLines="50" w:line="360" w:lineRule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2.3 </w:t>
      </w:r>
      <w:r>
        <w:rPr>
          <w:rFonts w:hint="default" w:ascii="Times New Roman" w:hAnsi="Times New Roman" w:eastAsia="宋体" w:cs="Times New Roman"/>
          <w:sz w:val="24"/>
          <w:szCs w:val="24"/>
        </w:rPr>
        <w:t>根据起草小组现场检测数据和经验</w:t>
      </w:r>
      <w:r>
        <w:rPr>
          <w:rFonts w:hint="eastAsia" w:ascii="Times New Roman" w:eastAsia="宋体" w:cs="Times New Roman"/>
          <w:sz w:val="24"/>
          <w:szCs w:val="24"/>
          <w:lang w:eastAsia="zh-CN"/>
        </w:rPr>
        <w:t>。</w:t>
      </w:r>
    </w:p>
    <w:p w14:paraId="1CD9108C">
      <w:pPr>
        <w:pStyle w:val="20"/>
        <w:spacing w:before="312" w:after="312"/>
        <w:rPr>
          <w:rFonts w:hint="default" w:ascii="Times New Roman" w:hAnsi="Times New Roman" w:cs="Times New Roman"/>
          <w:sz w:val="24"/>
          <w:szCs w:val="24"/>
        </w:rPr>
      </w:pPr>
      <w:bookmarkStart w:id="30" w:name="_Toc6450"/>
      <w:r>
        <w:rPr>
          <w:rFonts w:hint="default" w:ascii="Times New Roman" w:hAnsi="Times New Roman" w:cs="Times New Roman"/>
          <w:sz w:val="24"/>
          <w:szCs w:val="24"/>
        </w:rPr>
        <w:t>3 主要工作过程</w:t>
      </w:r>
      <w:bookmarkEnd w:id="30"/>
    </w:p>
    <w:p w14:paraId="018010A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（1）202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月-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月：完成标准初稿，汇总实验验证数据。</w:t>
      </w:r>
    </w:p>
    <w:p w14:paraId="5FF1C96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-5月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：起草小组组织业内专家对标准初稿进行审查，修改后形成</w:t>
      </w:r>
      <w:r>
        <w:rPr>
          <w:rFonts w:hint="eastAsia" w:cs="Times New Roman"/>
          <w:sz w:val="24"/>
          <w:szCs w:val="24"/>
          <w:lang w:val="en-US" w:eastAsia="zh-CN"/>
        </w:rPr>
        <w:t>征求意见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稿。</w:t>
      </w:r>
    </w:p>
    <w:p w14:paraId="3A95EA20">
      <w:pPr>
        <w:pStyle w:val="20"/>
        <w:spacing w:before="312" w:after="312"/>
        <w:rPr>
          <w:rFonts w:hint="default" w:ascii="Times New Roman" w:hAnsi="Times New Roman" w:cs="Times New Roman"/>
          <w:sz w:val="24"/>
          <w:szCs w:val="24"/>
        </w:rPr>
      </w:pPr>
      <w:bookmarkStart w:id="31" w:name="_Toc27845"/>
      <w:r>
        <w:rPr>
          <w:rFonts w:hint="default" w:ascii="Times New Roman" w:hAnsi="Times New Roman" w:cs="Times New Roman"/>
          <w:sz w:val="24"/>
          <w:szCs w:val="24"/>
        </w:rPr>
        <w:t>4 标准结构和内容说明</w:t>
      </w:r>
      <w:bookmarkEnd w:id="31"/>
    </w:p>
    <w:p w14:paraId="74F5E45C">
      <w:pPr>
        <w:pStyle w:val="22"/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标准立项前期，起草小组实验室已经积累了大量性能检测数据，基本涵盖市面上常见的进口和国产仪表，为标准的起草奠定了基础。</w:t>
      </w:r>
    </w:p>
    <w:p w14:paraId="4A2DDD64">
      <w:pPr>
        <w:pStyle w:val="22"/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本标准结构如下：</w:t>
      </w:r>
    </w:p>
    <w:p w14:paraId="5018EF6A">
      <w:pPr>
        <w:pStyle w:val="17"/>
        <w:spacing w:line="360" w:lineRule="auto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范围</w:t>
      </w:r>
    </w:p>
    <w:p w14:paraId="3B08BCB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规范性引用文件</w:t>
      </w:r>
    </w:p>
    <w:p w14:paraId="20BCF88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概述</w:t>
      </w:r>
    </w:p>
    <w:p w14:paraId="7F05333D">
      <w:pPr>
        <w:spacing w:line="360" w:lineRule="auto"/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"_Toc116642789"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4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通用技术要求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14:paraId="6430537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"_Toc116642791"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5</w:t>
      </w:r>
      <w:r>
        <w:rPr>
          <w:rStyle w:val="12"/>
          <w:rFonts w:hint="eastAsia" w:cs="Times New Roman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t>检测条件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14:paraId="0678F1D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"_Toc116642794"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6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检测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项目和方法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14:paraId="2455F3C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检测结果</w:t>
      </w:r>
    </w:p>
    <w:p w14:paraId="687FE57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检测周期</w:t>
      </w:r>
    </w:p>
    <w:p w14:paraId="238B4602">
      <w:pPr>
        <w:pStyle w:val="20"/>
        <w:spacing w:before="312" w:after="312"/>
        <w:rPr>
          <w:rFonts w:hint="default" w:ascii="Times New Roman" w:hAnsi="Times New Roman" w:cs="Times New Roman"/>
          <w:sz w:val="24"/>
          <w:szCs w:val="24"/>
        </w:rPr>
      </w:pPr>
      <w:bookmarkStart w:id="32" w:name="_Toc1317"/>
      <w:r>
        <w:rPr>
          <w:rFonts w:hint="default" w:ascii="Times New Roman" w:hAnsi="Times New Roman" w:cs="Times New Roman"/>
          <w:sz w:val="24"/>
          <w:szCs w:val="24"/>
        </w:rPr>
        <w:t>5相关标准对比说明</w:t>
      </w:r>
      <w:bookmarkEnd w:id="32"/>
    </w:p>
    <w:p w14:paraId="5A208974">
      <w:pPr>
        <w:spacing w:line="360" w:lineRule="auto"/>
        <w:ind w:firstLine="480" w:firstLineChars="200"/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  <w:r>
        <w:rPr>
          <w:rStyle w:val="12"/>
          <w:rFonts w:hint="eastAsia" w:cs="Times New Roman"/>
          <w:color w:val="auto"/>
          <w:sz w:val="24"/>
          <w:szCs w:val="24"/>
          <w:u w:val="none"/>
          <w:lang w:val="en-US" w:eastAsia="zh-CN"/>
        </w:rPr>
        <w:t>现行标准为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instrText xml:space="preserve"> HYPERLINK "https://www.so.com/link?m=bJDO8s8DCGQ4aQZhoxA9Pio5Z8Gd4+Fan+nkd0qFvxnhezDQav1Z3VmVrMzRq5cd/4ojwXTpEk23tn588qLrO0FN7R2bBmAWnmzCn+p0QFOmvNVbN2P0irfprXKhSNx0pl997rCevtis=" \t "https://www.so.com/_blank" </w:instrTex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GB/T 28857</w:t>
      </w:r>
      <w:r>
        <w:rPr>
          <w:rStyle w:val="12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差动变压器式位移传感器</w:t>
      </w:r>
      <w:r>
        <w:rPr>
          <w:rStyle w:val="12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，该标准对</w:t>
      </w:r>
      <w:r>
        <w:rPr>
          <w:rStyle w:val="12"/>
          <w:rFonts w:hint="eastAsia" w:cs="Times New Roman"/>
          <w:color w:val="auto"/>
          <w:sz w:val="24"/>
          <w:szCs w:val="24"/>
          <w:u w:val="none"/>
          <w:lang w:val="en-US" w:eastAsia="zh-CN"/>
        </w:rPr>
        <w:t>传感器的要求不全面，实际应用上该类型传感器分类复杂，检测项目也有区分，本标准同时规定了标准检测仪器等要求</w:t>
      </w:r>
      <w:bookmarkStart w:id="34" w:name="_GoBack"/>
      <w:bookmarkEnd w:id="34"/>
      <w:r>
        <w:rPr>
          <w:rStyle w:val="12"/>
          <w:rFonts w:hint="eastAsia" w:cs="Times New Roman"/>
          <w:color w:val="auto"/>
          <w:sz w:val="24"/>
          <w:szCs w:val="24"/>
          <w:u w:val="none"/>
          <w:lang w:val="en-US" w:eastAsia="zh-CN"/>
        </w:rPr>
        <w:t>，对该类型传感器的检测提供技术依据</w:t>
      </w:r>
      <w:r>
        <w:rPr>
          <w:rStyle w:val="12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。</w:t>
      </w:r>
    </w:p>
    <w:p w14:paraId="6EC6A158">
      <w:pPr>
        <w:pStyle w:val="20"/>
        <w:spacing w:before="312" w:after="312"/>
        <w:rPr>
          <w:rFonts w:hint="default" w:ascii="Times New Roman" w:hAnsi="Times New Roman" w:cs="Times New Roman"/>
          <w:sz w:val="24"/>
          <w:szCs w:val="24"/>
        </w:rPr>
      </w:pPr>
      <w:bookmarkStart w:id="33" w:name="_Toc5871"/>
      <w:r>
        <w:rPr>
          <w:rFonts w:hint="default" w:ascii="Times New Roman" w:hAnsi="Times New Roman" w:cs="Times New Roman"/>
          <w:sz w:val="24"/>
          <w:szCs w:val="24"/>
        </w:rPr>
        <w:t>6标准实施措施说明</w:t>
      </w:r>
      <w:bookmarkEnd w:id="33"/>
    </w:p>
    <w:p w14:paraId="0539F187">
      <w:pPr>
        <w:spacing w:line="360" w:lineRule="auto"/>
        <w:ind w:firstLine="480" w:firstLineChars="200"/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本标准颁布后，可在电力行业进行宣贯和使用。</w:t>
      </w:r>
    </w:p>
    <w:p w14:paraId="30CD1AD7">
      <w:pPr>
        <w:spacing w:line="360" w:lineRule="auto"/>
        <w:ind w:firstLine="480" w:firstLineChars="200"/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在华能企业内部及电力行业举办宣贯会。</w:t>
      </w:r>
    </w:p>
    <w:p w14:paraId="564B410A">
      <w:pPr>
        <w:spacing w:line="360" w:lineRule="auto"/>
        <w:ind w:firstLine="480" w:firstLineChars="200"/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在华能集团公司热工技术监督年会进行宣贯。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FD38">
    <w:pPr>
      <w:pStyle w:val="2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704800"/>
      <w:docPartObj>
        <w:docPartGallery w:val="autotext"/>
      </w:docPartObj>
    </w:sdtPr>
    <w:sdtContent>
      <w:p w14:paraId="21B54BEC">
        <w:pPr>
          <w:pStyle w:val="3"/>
          <w:jc w:val="center"/>
        </w:pPr>
      </w:p>
    </w:sdtContent>
  </w:sdt>
  <w:p w14:paraId="5AD93D0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D0EC1">
    <w:pPr>
      <w:pStyle w:val="18"/>
      <w:wordWrap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286E">
    <w:pPr>
      <w:pStyle w:val="18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int="eastAsia" w:hAnsi="宋体"/>
      </w:rPr>
      <w:t xml:space="preserve"> </w:t>
    </w:r>
    <w:r>
      <w:rPr>
        <w:rFonts w:hint="eastAsia" w:hAnsi="黑体"/>
      </w:rPr>
      <w:t>XX-XXX</w:t>
    </w:r>
    <w:r>
      <w:rPr>
        <w:rFonts w:hAnsi="黑体"/>
      </w:rPr>
      <w:t>—</w:t>
    </w:r>
    <w:r>
      <w:rPr>
        <w:rFonts w:hint="eastAsia" w:hAnsi="黑体"/>
      </w:rPr>
      <w:t>2012-1XXXX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0F35">
    <w:pPr>
      <w:pStyle w:val="18"/>
      <w:wordWrap w:val="0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zU5NzhkMjJiMDY4YTNlYWQ2ZThiYTYzYzk4NWQifQ=="/>
  </w:docVars>
  <w:rsids>
    <w:rsidRoot w:val="001C4E63"/>
    <w:rsid w:val="0018499B"/>
    <w:rsid w:val="001C4E63"/>
    <w:rsid w:val="001D13BE"/>
    <w:rsid w:val="00603469"/>
    <w:rsid w:val="00720E56"/>
    <w:rsid w:val="00770099"/>
    <w:rsid w:val="009E6ED7"/>
    <w:rsid w:val="00B5291C"/>
    <w:rsid w:val="00BD003B"/>
    <w:rsid w:val="00BD4D3B"/>
    <w:rsid w:val="00BF5329"/>
    <w:rsid w:val="00CE2157"/>
    <w:rsid w:val="00DD5944"/>
    <w:rsid w:val="00EE2A48"/>
    <w:rsid w:val="0CB13D41"/>
    <w:rsid w:val="0D0B5C22"/>
    <w:rsid w:val="17ED4186"/>
    <w:rsid w:val="18962766"/>
    <w:rsid w:val="22F9340A"/>
    <w:rsid w:val="2D3A4BC3"/>
    <w:rsid w:val="315745F4"/>
    <w:rsid w:val="334B0376"/>
    <w:rsid w:val="34054F98"/>
    <w:rsid w:val="347E55D3"/>
    <w:rsid w:val="3D521043"/>
    <w:rsid w:val="3FC73FDC"/>
    <w:rsid w:val="43777240"/>
    <w:rsid w:val="4CC44A4F"/>
    <w:rsid w:val="51D255F8"/>
    <w:rsid w:val="6251635C"/>
    <w:rsid w:val="67FB059A"/>
    <w:rsid w:val="6E582086"/>
    <w:rsid w:val="708813D9"/>
    <w:rsid w:val="797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qFormat/>
    <w:uiPriority w:val="0"/>
    <w:rPr>
      <w:rFonts w:ascii="Times New Roman" w:hAnsi="Times New Roman" w:eastAsia="宋体"/>
      <w:sz w:val="18"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标题 Char"/>
    <w:basedOn w:val="9"/>
    <w:link w:val="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7">
    <w:name w:val="段"/>
    <w:link w:val="2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9">
    <w:name w:val="章标题"/>
    <w:next w:val="17"/>
    <w:qFormat/>
    <w:uiPriority w:val="0"/>
    <w:pPr>
      <w:spacing w:beforeLines="100" w:afterLines="100"/>
      <w:ind w:left="4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0">
    <w:name w:val="样式 标题 1 + 非加粗"/>
    <w:basedOn w:val="2"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21">
    <w:name w:val="目次、标准名称标题"/>
    <w:basedOn w:val="1"/>
    <w:next w:val="1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附录章标题"/>
    <w:next w:val="17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25">
    <w:name w:val="段 Char"/>
    <w:link w:val="17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6052-FB22-4248-8CBA-25CFA0292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1250</Words>
  <Characters>1317</Characters>
  <Lines>14</Lines>
  <Paragraphs>4</Paragraphs>
  <TotalTime>11</TotalTime>
  <ScaleCrop>false</ScaleCrop>
  <LinksUpToDate>false</LinksUpToDate>
  <CharactersWithSpaces>1342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2022-10-14T06:48:00Z</dcterms:created>
  <dc:creator>韦宣</dc:creator>
  <cp:lastModifiedBy>二</cp:lastModifiedBy>
  <dcterms:modified xsi:type="dcterms:W3CDTF">2026-05-19T02:41:44Z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7245F905DFF0410891153F2AE266DE65_13</vt:lpwstr>
  </property>
  <property fmtid="{D5CDD505-2E9C-101B-9397-08002B2CF9AE}" pid="4" name="KSOTemplateDocerSaveRecord">
    <vt:lpwstr>eyJoZGlkIjoiZTM1MmM1NTdmNmYxODRhY2E5MjlkYjZlYzRjN2IyMzIiLCJ1c2VySWQiOiIyNTMxMTA2NTUifQ==</vt:lpwstr>
  </property>
</Properties>
</file>