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31A7C" w14:textId="77777777" w:rsidR="00563220" w:rsidRDefault="00563220">
      <w:pPr>
        <w:pStyle w:val="ab"/>
        <w:ind w:firstLineChars="0" w:firstLine="0"/>
      </w:pPr>
    </w:p>
    <w:p w14:paraId="752BC742" w14:textId="77777777" w:rsidR="00563220" w:rsidRDefault="00563220">
      <w:pPr>
        <w:pStyle w:val="ab"/>
        <w:ind w:firstLineChars="0" w:firstLine="0"/>
      </w:pPr>
    </w:p>
    <w:p w14:paraId="2B88225E" w14:textId="77777777" w:rsidR="00563220" w:rsidRDefault="00563220">
      <w:pPr>
        <w:pStyle w:val="ab"/>
        <w:ind w:firstLineChars="0" w:firstLine="0"/>
      </w:pPr>
    </w:p>
    <w:p w14:paraId="209B3F80" w14:textId="77777777" w:rsidR="00563220" w:rsidRDefault="00563220">
      <w:pPr>
        <w:pStyle w:val="ab"/>
        <w:ind w:firstLineChars="0" w:firstLine="0"/>
      </w:pPr>
    </w:p>
    <w:p w14:paraId="7EDFD2AF" w14:textId="77777777" w:rsidR="00563220" w:rsidRDefault="00563220">
      <w:pPr>
        <w:pStyle w:val="ab"/>
        <w:ind w:firstLineChars="0" w:firstLine="0"/>
      </w:pPr>
    </w:p>
    <w:p w14:paraId="6BA284D3" w14:textId="77777777" w:rsidR="00563220" w:rsidRDefault="00563220">
      <w:pPr>
        <w:pStyle w:val="ab"/>
        <w:ind w:firstLineChars="0" w:firstLine="0"/>
      </w:pPr>
    </w:p>
    <w:p w14:paraId="54CE793A" w14:textId="77777777" w:rsidR="00563220" w:rsidRDefault="00563220">
      <w:pPr>
        <w:pStyle w:val="ab"/>
        <w:ind w:firstLineChars="0" w:firstLine="0"/>
      </w:pPr>
    </w:p>
    <w:p w14:paraId="100D998A" w14:textId="77777777" w:rsidR="00563220" w:rsidRDefault="00563220">
      <w:pPr>
        <w:pStyle w:val="ab"/>
        <w:ind w:firstLineChars="0" w:firstLine="0"/>
      </w:pPr>
    </w:p>
    <w:p w14:paraId="74C7F316" w14:textId="77777777" w:rsidR="00563220" w:rsidRDefault="00563220">
      <w:pPr>
        <w:pStyle w:val="ab"/>
        <w:ind w:firstLineChars="0" w:firstLine="0"/>
      </w:pPr>
    </w:p>
    <w:p w14:paraId="35C5766C" w14:textId="77777777" w:rsidR="00563220" w:rsidRDefault="00563220">
      <w:pPr>
        <w:pStyle w:val="ab"/>
        <w:ind w:firstLineChars="0" w:firstLine="0"/>
      </w:pPr>
    </w:p>
    <w:p w14:paraId="735CE892" w14:textId="77777777" w:rsidR="00563220" w:rsidRDefault="00BF4BDA">
      <w:pPr>
        <w:pStyle w:val="ab"/>
        <w:ind w:firstLineChars="0" w:firstLine="0"/>
        <w:jc w:val="center"/>
        <w:rPr>
          <w:rFonts w:ascii="黑体" w:eastAsia="黑体"/>
          <w:sz w:val="44"/>
          <w:szCs w:val="44"/>
        </w:rPr>
      </w:pPr>
      <w:r>
        <w:rPr>
          <w:rFonts w:ascii="黑体" w:eastAsia="黑体" w:hint="eastAsia"/>
          <w:sz w:val="44"/>
          <w:szCs w:val="44"/>
        </w:rPr>
        <w:t>光伏电站太阳能板巡检清洁一体化设备技术要求</w:t>
      </w:r>
    </w:p>
    <w:p w14:paraId="4E5312FD" w14:textId="77777777" w:rsidR="00563220" w:rsidRDefault="00563220">
      <w:pPr>
        <w:pStyle w:val="ab"/>
      </w:pPr>
    </w:p>
    <w:p w14:paraId="640C47C1" w14:textId="77777777" w:rsidR="00563220" w:rsidRDefault="00563220">
      <w:pPr>
        <w:pStyle w:val="ab"/>
      </w:pPr>
    </w:p>
    <w:p w14:paraId="46299AC5" w14:textId="77777777" w:rsidR="00563220" w:rsidRDefault="00BF4BDA">
      <w:pPr>
        <w:pStyle w:val="ab"/>
        <w:ind w:firstLineChars="0" w:firstLine="0"/>
        <w:jc w:val="center"/>
        <w:rPr>
          <w:rFonts w:ascii="黑体" w:eastAsia="黑体"/>
          <w:sz w:val="44"/>
          <w:szCs w:val="44"/>
        </w:rPr>
      </w:pPr>
      <w:bookmarkStart w:id="0" w:name="_Toc298937333"/>
      <w:bookmarkStart w:id="1" w:name="_Toc298937368"/>
      <w:bookmarkStart w:id="2" w:name="_Toc304402675"/>
      <w:bookmarkStart w:id="3" w:name="_Toc309994571"/>
      <w:bookmarkStart w:id="4" w:name="_Toc298937430"/>
      <w:bookmarkStart w:id="5" w:name="_Toc309996019"/>
      <w:bookmarkStart w:id="6" w:name="_Toc318613715"/>
      <w:bookmarkStart w:id="7" w:name="_Toc298938794"/>
      <w:bookmarkStart w:id="8" w:name="_Toc309995410"/>
      <w:bookmarkStart w:id="9" w:name="_Toc304824981"/>
      <w:bookmarkStart w:id="10" w:name="_Toc298937473"/>
      <w:bookmarkStart w:id="11" w:name="_Toc309995598"/>
      <w:bookmarkStart w:id="12" w:name="_Toc304825093"/>
      <w:bookmarkStart w:id="13" w:name="_Toc309995492"/>
      <w:bookmarkStart w:id="14" w:name="_Toc298938646"/>
      <w:bookmarkStart w:id="15" w:name="_Toc310002657"/>
      <w:bookmarkStart w:id="16" w:name="_Toc309997060"/>
      <w:bookmarkStart w:id="17" w:name="_Toc304825020"/>
      <w:bookmarkStart w:id="18" w:name="_Toc298937620"/>
      <w:bookmarkStart w:id="19" w:name="_Toc304828086"/>
      <w:bookmarkStart w:id="20" w:name="_Toc309993200"/>
      <w:bookmarkStart w:id="21" w:name="_Toc320020914"/>
      <w:bookmarkStart w:id="22" w:name="_Toc298937560"/>
      <w:r>
        <w:rPr>
          <w:rFonts w:ascii="黑体" w:eastAsia="黑体" w:hint="eastAsia"/>
          <w:sz w:val="44"/>
          <w:szCs w:val="44"/>
        </w:rPr>
        <w:t>编 </w:t>
      </w:r>
      <w:r>
        <w:rPr>
          <w:rFonts w:ascii="黑体" w:eastAsia="黑体" w:hAnsi="黑体" w:cs="黑体" w:hint="eastAsia"/>
          <w:sz w:val="44"/>
          <w:szCs w:val="44"/>
        </w:rPr>
        <w:t>制</w:t>
      </w:r>
      <w:r>
        <w:rPr>
          <w:rFonts w:ascii="黑体" w:eastAsia="黑体" w:hint="eastAsia"/>
          <w:sz w:val="44"/>
          <w:szCs w:val="44"/>
        </w:rPr>
        <w:t> </w:t>
      </w:r>
      <w:r>
        <w:rPr>
          <w:rFonts w:ascii="黑体" w:eastAsia="黑体" w:hAnsi="黑体" w:cs="黑体" w:hint="eastAsia"/>
          <w:sz w:val="44"/>
          <w:szCs w:val="44"/>
        </w:rPr>
        <w:t>说</w:t>
      </w:r>
      <w:bookmarkEnd w:id="0"/>
      <w:bookmarkEnd w:id="1"/>
      <w:r>
        <w:rPr>
          <w:rFonts w:ascii="黑体" w:eastAsia="黑体" w:hint="eastAsia"/>
          <w:sz w:val="44"/>
          <w:szCs w:val="44"/>
        </w:rPr>
        <w:t> </w:t>
      </w:r>
      <w:r>
        <w:rPr>
          <w:rFonts w:ascii="黑体" w:eastAsia="黑体" w:hAnsi="黑体" w:cs="黑体" w:hint="eastAsia"/>
          <w:sz w:val="44"/>
          <w:szCs w:val="44"/>
        </w:rPr>
        <w:t>明</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4523415F" w14:textId="77777777" w:rsidR="00563220" w:rsidRDefault="00563220">
      <w:pPr>
        <w:pStyle w:val="ab"/>
        <w:ind w:firstLine="560"/>
        <w:jc w:val="center"/>
        <w:rPr>
          <w:rFonts w:ascii="黑体" w:eastAsia="黑体"/>
          <w:sz w:val="28"/>
          <w:szCs w:val="28"/>
        </w:rPr>
      </w:pPr>
    </w:p>
    <w:p w14:paraId="748FB020" w14:textId="77777777" w:rsidR="00563220" w:rsidRDefault="00563220">
      <w:pPr>
        <w:pStyle w:val="ab"/>
        <w:ind w:firstLine="560"/>
        <w:jc w:val="center"/>
        <w:rPr>
          <w:rFonts w:ascii="黑体" w:eastAsia="黑体"/>
          <w:sz w:val="28"/>
          <w:szCs w:val="28"/>
        </w:rPr>
      </w:pPr>
    </w:p>
    <w:p w14:paraId="4764BAEE" w14:textId="77777777" w:rsidR="00563220" w:rsidRDefault="00563220">
      <w:pPr>
        <w:pStyle w:val="ab"/>
        <w:sectPr w:rsidR="00563220">
          <w:headerReference w:type="even" r:id="rId8"/>
          <w:headerReference w:type="default" r:id="rId9"/>
          <w:footerReference w:type="default" r:id="rId10"/>
          <w:pgSz w:w="11906" w:h="16838"/>
          <w:pgMar w:top="567" w:right="1134" w:bottom="1134" w:left="1417" w:header="1418" w:footer="1134" w:gutter="0"/>
          <w:cols w:space="720"/>
          <w:formProt w:val="0"/>
          <w:docGrid w:type="lines" w:linePitch="312"/>
        </w:sectPr>
      </w:pPr>
    </w:p>
    <w:p w14:paraId="7E640750" w14:textId="78FCF125" w:rsidR="00563220" w:rsidRDefault="00BF4BDA">
      <w:pPr>
        <w:pStyle w:val="ad"/>
      </w:pPr>
      <w:bookmarkStart w:id="23" w:name="_Toc513731021"/>
      <w:bookmarkStart w:id="24" w:name="_Toc309992160"/>
      <w:bookmarkStart w:id="25" w:name="_Toc513731109"/>
      <w:bookmarkStart w:id="26" w:name="_Toc10669"/>
      <w:r>
        <w:rPr>
          <w:rFonts w:hint="eastAsia"/>
        </w:rPr>
        <w:lastRenderedPageBreak/>
        <w:t>目次</w:t>
      </w:r>
      <w:bookmarkEnd w:id="23"/>
      <w:bookmarkEnd w:id="24"/>
      <w:bookmarkEnd w:id="25"/>
      <w:bookmarkEnd w:id="26"/>
    </w:p>
    <w:p w14:paraId="5E797382" w14:textId="3C49AC47" w:rsidR="00563220" w:rsidRDefault="00BF4BDA">
      <w:pPr>
        <w:pStyle w:val="TOC1"/>
        <w:tabs>
          <w:tab w:val="clear" w:pos="9241"/>
          <w:tab w:val="right" w:leader="dot" w:pos="9355"/>
        </w:tabs>
        <w:spacing w:before="78" w:after="78"/>
      </w:pPr>
      <w:r>
        <w:rPr>
          <w:rFonts w:hAnsi="宋体"/>
        </w:rPr>
        <w:fldChar w:fldCharType="begin"/>
      </w:r>
      <w:r>
        <w:rPr>
          <w:rFonts w:hAnsi="宋体"/>
        </w:rPr>
        <w:instrText xml:space="preserve"> </w:instrText>
      </w:r>
      <w:r>
        <w:rPr>
          <w:rFonts w:hAnsi="宋体" w:hint="eastAsia"/>
        </w:rPr>
        <w:instrText>TOC \o "1-1" \h \z \u</w:instrText>
      </w:r>
      <w:r>
        <w:rPr>
          <w:rFonts w:hAnsi="宋体"/>
        </w:rPr>
        <w:instrText xml:space="preserve"> </w:instrText>
      </w:r>
      <w:r>
        <w:rPr>
          <w:rFonts w:hAnsi="宋体"/>
        </w:rPr>
        <w:fldChar w:fldCharType="separate"/>
      </w:r>
      <w:hyperlink w:anchor="_Toc10669" w:history="1">
        <w:r>
          <w:rPr>
            <w:rFonts w:hint="eastAsia"/>
          </w:rPr>
          <w:t>目次</w:t>
        </w:r>
        <w:r>
          <w:tab/>
        </w:r>
        <w:r>
          <w:fldChar w:fldCharType="begin"/>
        </w:r>
        <w:r>
          <w:instrText xml:space="preserve"> PAGEREF _Toc10669 \h </w:instrText>
        </w:r>
        <w:r>
          <w:fldChar w:fldCharType="separate"/>
        </w:r>
        <w:r>
          <w:t>28</w:t>
        </w:r>
        <w:r>
          <w:fldChar w:fldCharType="end"/>
        </w:r>
      </w:hyperlink>
    </w:p>
    <w:p w14:paraId="74512E58" w14:textId="716300BF" w:rsidR="00563220" w:rsidRDefault="00BF4BDA">
      <w:pPr>
        <w:pStyle w:val="TOC1"/>
        <w:tabs>
          <w:tab w:val="clear" w:pos="9241"/>
          <w:tab w:val="right" w:leader="dot" w:pos="9355"/>
        </w:tabs>
        <w:spacing w:before="78" w:after="78"/>
      </w:pPr>
      <w:hyperlink w:anchor="_Toc15294" w:history="1">
        <w:r>
          <w:rPr>
            <w:rFonts w:ascii="黑体" w:hAnsi="黑体" w:hint="eastAsia"/>
          </w:rPr>
          <w:t>1</w:t>
        </w:r>
        <w:r>
          <w:rPr>
            <w:rFonts w:ascii="黑体" w:hAnsi="黑体" w:hint="eastAsia"/>
          </w:rPr>
          <w:t>编制背景</w:t>
        </w:r>
        <w:r>
          <w:tab/>
        </w:r>
        <w:r>
          <w:fldChar w:fldCharType="begin"/>
        </w:r>
        <w:r>
          <w:instrText xml:space="preserve"> PAGEREF _Toc15294 \h </w:instrText>
        </w:r>
        <w:r>
          <w:fldChar w:fldCharType="separate"/>
        </w:r>
        <w:r>
          <w:t>29</w:t>
        </w:r>
        <w:r>
          <w:fldChar w:fldCharType="end"/>
        </w:r>
      </w:hyperlink>
    </w:p>
    <w:p w14:paraId="696BEA4A" w14:textId="77777777" w:rsidR="00563220" w:rsidRDefault="00BF4BDA">
      <w:pPr>
        <w:pStyle w:val="TOC1"/>
        <w:tabs>
          <w:tab w:val="clear" w:pos="9241"/>
          <w:tab w:val="right" w:leader="dot" w:pos="9355"/>
        </w:tabs>
        <w:spacing w:before="78" w:after="78"/>
      </w:pPr>
      <w:hyperlink w:anchor="_Toc74" w:history="1">
        <w:r>
          <w:rPr>
            <w:rFonts w:ascii="黑体" w:hAnsi="黑体" w:hint="eastAsia"/>
          </w:rPr>
          <w:t>2</w:t>
        </w:r>
        <w:r>
          <w:rPr>
            <w:rFonts w:ascii="黑体" w:hAnsi="黑体" w:hint="eastAsia"/>
          </w:rPr>
          <w:t>编制主要原则</w:t>
        </w:r>
        <w:r>
          <w:tab/>
        </w:r>
        <w:r>
          <w:fldChar w:fldCharType="begin"/>
        </w:r>
        <w:r>
          <w:instrText xml:space="preserve"> PAGEREF _Toc74 \h </w:instrText>
        </w:r>
        <w:r>
          <w:fldChar w:fldCharType="separate"/>
        </w:r>
        <w:r>
          <w:t>29</w:t>
        </w:r>
        <w:r>
          <w:fldChar w:fldCharType="end"/>
        </w:r>
      </w:hyperlink>
    </w:p>
    <w:p w14:paraId="6C0810B1" w14:textId="77777777" w:rsidR="00563220" w:rsidRDefault="00BF4BDA">
      <w:pPr>
        <w:pStyle w:val="TOC1"/>
        <w:tabs>
          <w:tab w:val="clear" w:pos="9241"/>
          <w:tab w:val="right" w:leader="dot" w:pos="9355"/>
        </w:tabs>
        <w:spacing w:before="78" w:after="78"/>
      </w:pPr>
      <w:hyperlink w:anchor="_Toc29019" w:history="1">
        <w:r>
          <w:rPr>
            <w:rFonts w:ascii="黑体" w:eastAsia="黑体" w:hAnsi="黑体" w:cs="黑体" w:hint="eastAsia"/>
          </w:rPr>
          <w:t>3</w:t>
        </w:r>
        <w:r>
          <w:rPr>
            <w:rFonts w:hAnsi="宋体" w:hint="eastAsia"/>
          </w:rPr>
          <w:t>主要工作过程</w:t>
        </w:r>
        <w:r>
          <w:tab/>
        </w:r>
        <w:r>
          <w:fldChar w:fldCharType="begin"/>
        </w:r>
        <w:r>
          <w:instrText xml:space="preserve"> PAGEREF _Toc29019 \h </w:instrText>
        </w:r>
        <w:r>
          <w:fldChar w:fldCharType="separate"/>
        </w:r>
        <w:r>
          <w:t>30</w:t>
        </w:r>
        <w:r>
          <w:fldChar w:fldCharType="end"/>
        </w:r>
      </w:hyperlink>
    </w:p>
    <w:p w14:paraId="0C754127" w14:textId="77777777" w:rsidR="00563220" w:rsidRDefault="00BF4BDA">
      <w:pPr>
        <w:pStyle w:val="TOC1"/>
        <w:tabs>
          <w:tab w:val="clear" w:pos="9241"/>
          <w:tab w:val="right" w:leader="dot" w:pos="9355"/>
        </w:tabs>
        <w:spacing w:before="78" w:after="78"/>
      </w:pPr>
      <w:hyperlink w:anchor="_Toc5437" w:history="1">
        <w:r>
          <w:rPr>
            <w:rFonts w:hAnsi="宋体" w:hint="eastAsia"/>
          </w:rPr>
          <w:t>4</w:t>
        </w:r>
        <w:r>
          <w:rPr>
            <w:rFonts w:hint="eastAsia"/>
          </w:rPr>
          <w:t>标准结构和内容说明</w:t>
        </w:r>
        <w:r>
          <w:tab/>
        </w:r>
        <w:r>
          <w:fldChar w:fldCharType="begin"/>
        </w:r>
        <w:r>
          <w:instrText xml:space="preserve"> PAGEREF _Toc5437 \h </w:instrText>
        </w:r>
        <w:r>
          <w:fldChar w:fldCharType="separate"/>
        </w:r>
        <w:r>
          <w:t>32</w:t>
        </w:r>
        <w:r>
          <w:fldChar w:fldCharType="end"/>
        </w:r>
      </w:hyperlink>
    </w:p>
    <w:p w14:paraId="0951298C" w14:textId="77777777" w:rsidR="00563220" w:rsidRDefault="00BF4BDA">
      <w:pPr>
        <w:pStyle w:val="TOC1"/>
        <w:tabs>
          <w:tab w:val="clear" w:pos="9241"/>
          <w:tab w:val="right" w:leader="dot" w:pos="9355"/>
        </w:tabs>
        <w:spacing w:before="78" w:after="78"/>
      </w:pPr>
      <w:hyperlink w:anchor="_Toc27332" w:history="1">
        <w:r>
          <w:rPr>
            <w:rFonts w:hAnsi="宋体" w:hint="eastAsia"/>
          </w:rPr>
          <w:t>5相关</w:t>
        </w:r>
        <w:r>
          <w:rPr>
            <w:rFonts w:hint="eastAsia"/>
          </w:rPr>
          <w:t>标准对比说明</w:t>
        </w:r>
        <w:r>
          <w:tab/>
        </w:r>
        <w:r>
          <w:fldChar w:fldCharType="begin"/>
        </w:r>
        <w:r>
          <w:instrText xml:space="preserve"> PAGEREF _Toc27332 \h </w:instrText>
        </w:r>
        <w:r>
          <w:fldChar w:fldCharType="separate"/>
        </w:r>
        <w:r>
          <w:t>35</w:t>
        </w:r>
        <w:r>
          <w:fldChar w:fldCharType="end"/>
        </w:r>
      </w:hyperlink>
    </w:p>
    <w:p w14:paraId="09B39211" w14:textId="77777777" w:rsidR="00563220" w:rsidRDefault="00BF4BDA">
      <w:pPr>
        <w:pStyle w:val="TOC1"/>
        <w:tabs>
          <w:tab w:val="clear" w:pos="9241"/>
          <w:tab w:val="right" w:leader="dot" w:pos="9355"/>
        </w:tabs>
        <w:spacing w:before="78" w:after="78"/>
      </w:pPr>
      <w:hyperlink w:anchor="_Toc29533" w:history="1">
        <w:r>
          <w:rPr>
            <w:rFonts w:hAnsi="宋体" w:hint="eastAsia"/>
          </w:rPr>
          <w:t>6标准实施措施说明</w:t>
        </w:r>
        <w:r>
          <w:tab/>
        </w:r>
        <w:r>
          <w:fldChar w:fldCharType="begin"/>
        </w:r>
        <w:r>
          <w:instrText xml:space="preserve"> PAGEREF _Toc29533 \h </w:instrText>
        </w:r>
        <w:r>
          <w:fldChar w:fldCharType="separate"/>
        </w:r>
        <w:r>
          <w:t>35</w:t>
        </w:r>
        <w:r>
          <w:fldChar w:fldCharType="end"/>
        </w:r>
      </w:hyperlink>
    </w:p>
    <w:p w14:paraId="48F73E1D" w14:textId="77777777" w:rsidR="00563220" w:rsidRDefault="00BF4BDA">
      <w:pPr>
        <w:pStyle w:val="ab"/>
        <w:rPr>
          <w:rFonts w:hAnsi="宋体" w:hint="eastAsia"/>
          <w:szCs w:val="21"/>
        </w:rPr>
      </w:pPr>
      <w:r>
        <w:rPr>
          <w:rFonts w:hAnsi="宋体"/>
          <w:szCs w:val="21"/>
        </w:rPr>
        <w:fldChar w:fldCharType="end"/>
      </w:r>
    </w:p>
    <w:p w14:paraId="5016B141" w14:textId="77777777" w:rsidR="00563220" w:rsidRDefault="00563220">
      <w:pPr>
        <w:pStyle w:val="ab"/>
        <w:rPr>
          <w:rFonts w:hAnsi="宋体" w:hint="eastAsia"/>
          <w:szCs w:val="21"/>
        </w:rPr>
      </w:pPr>
    </w:p>
    <w:p w14:paraId="119AF8D6" w14:textId="77777777" w:rsidR="00563220" w:rsidRDefault="00563220">
      <w:pPr>
        <w:pStyle w:val="ab"/>
        <w:rPr>
          <w:rFonts w:hAnsi="宋体" w:hint="eastAsia"/>
          <w:szCs w:val="21"/>
        </w:rPr>
      </w:pPr>
    </w:p>
    <w:p w14:paraId="0148E4A4" w14:textId="77777777" w:rsidR="00563220" w:rsidRDefault="00563220">
      <w:pPr>
        <w:pStyle w:val="ab"/>
        <w:rPr>
          <w:rFonts w:hAnsi="宋体" w:hint="eastAsia"/>
          <w:szCs w:val="21"/>
        </w:rPr>
      </w:pPr>
    </w:p>
    <w:p w14:paraId="64781236" w14:textId="77777777" w:rsidR="00563220" w:rsidRDefault="00563220">
      <w:pPr>
        <w:pStyle w:val="ab"/>
        <w:rPr>
          <w:rFonts w:hAnsi="宋体" w:hint="eastAsia"/>
          <w:szCs w:val="21"/>
        </w:rPr>
        <w:sectPr w:rsidR="00563220">
          <w:headerReference w:type="default" r:id="rId11"/>
          <w:footerReference w:type="default" r:id="rId12"/>
          <w:pgSz w:w="11906" w:h="16838"/>
          <w:pgMar w:top="567" w:right="1134" w:bottom="1134" w:left="1417" w:header="1418" w:footer="1134" w:gutter="0"/>
          <w:pgNumType w:start="28"/>
          <w:cols w:space="720"/>
          <w:formProt w:val="0"/>
          <w:docGrid w:type="lines" w:linePitch="312"/>
        </w:sectPr>
      </w:pPr>
    </w:p>
    <w:p w14:paraId="6D5F8904" w14:textId="7E20A13C" w:rsidR="00563220" w:rsidRDefault="00BF4BDA">
      <w:pPr>
        <w:pStyle w:val="11"/>
        <w:spacing w:before="312" w:after="312"/>
        <w:rPr>
          <w:rFonts w:ascii="黑体" w:hAnsi="黑体" w:hint="eastAsia"/>
          <w:szCs w:val="21"/>
        </w:rPr>
      </w:pPr>
      <w:bookmarkStart w:id="27" w:name="_Toc15294"/>
      <w:r>
        <w:rPr>
          <w:rFonts w:ascii="黑体" w:hAnsi="黑体" w:hint="eastAsia"/>
          <w:szCs w:val="21"/>
        </w:rPr>
        <w:lastRenderedPageBreak/>
        <w:t>1编制背景</w:t>
      </w:r>
      <w:bookmarkEnd w:id="27"/>
    </w:p>
    <w:p w14:paraId="05185D3C" w14:textId="71FD4EF8" w:rsidR="00563220" w:rsidRDefault="00BF4BDA">
      <w:pPr>
        <w:pStyle w:val="ab"/>
        <w:spacing w:line="360" w:lineRule="auto"/>
      </w:pPr>
      <w:r>
        <w:rPr>
          <w:rFonts w:hint="eastAsia"/>
        </w:rPr>
        <w:t>本标准是根据电机</w:t>
      </w:r>
      <w:proofErr w:type="gramStart"/>
      <w:r>
        <w:rPr>
          <w:rFonts w:hint="eastAsia"/>
        </w:rPr>
        <w:t>咨</w:t>
      </w:r>
      <w:proofErr w:type="gramEnd"/>
      <w:r>
        <w:rPr>
          <w:rFonts w:hint="eastAsia"/>
        </w:rPr>
        <w:t>〔2025〕738号文，关于印发“中国电机工程学会2025年标准计划(第二批)”的通知</w:t>
      </w:r>
      <w:r>
        <w:t>下达</w:t>
      </w:r>
      <w:r>
        <w:rPr>
          <w:rFonts w:hint="eastAsia"/>
        </w:rPr>
        <w:t>的制定</w:t>
      </w:r>
      <w:r>
        <w:t>任务</w:t>
      </w:r>
      <w:r>
        <w:rPr>
          <w:rFonts w:hint="eastAsia"/>
        </w:rPr>
        <w:t>，项目序号：9。对“光伏电站太阳能板巡检清洁一体化设备技术要求标准”进行制定的</w:t>
      </w:r>
      <w:r>
        <w:t>。</w:t>
      </w:r>
      <w:r>
        <w:rPr>
          <w:rFonts w:hint="eastAsia"/>
        </w:rPr>
        <w:t>由大唐陕西发电有限公司新能源分公司单位</w:t>
      </w:r>
      <w:r>
        <w:t>负责起草。</w:t>
      </w:r>
    </w:p>
    <w:p w14:paraId="12BD872A" w14:textId="77777777" w:rsidR="00563220" w:rsidRDefault="00BF4BDA">
      <w:pPr>
        <w:pStyle w:val="ab"/>
        <w:spacing w:line="360" w:lineRule="auto"/>
      </w:pPr>
      <w:r>
        <w:rPr>
          <w:rFonts w:hint="eastAsia"/>
        </w:rPr>
        <w:t>当前光伏电站巡检清洁设备市场存在多维度严峻挑战，一是设备功能整合度低，据行业调研，近60%的光伏电站需分别购置独立巡检设备（如手持式组件性能检测仪）和清洁设备（如传统高压水枪清洗机），不同厂家设备参数体系、通信协议、安装接口不统一，导致设备适配性极差，部分复杂场景下设备闲置率超25%，大幅增加电站采购成本与仓储压力；二是巡检清洁一体化设备发展无序，该类设备依托光伏阵列近距离作业，但因缺乏专项标准，各厂商核心性能指标参差不齐，如部分设备移动定位</w:t>
      </w:r>
      <w:proofErr w:type="gramStart"/>
      <w:r>
        <w:rPr>
          <w:rFonts w:hint="eastAsia"/>
        </w:rPr>
        <w:t>误差超</w:t>
      </w:r>
      <w:proofErr w:type="gramEnd"/>
      <w:r>
        <w:rPr>
          <w:rFonts w:hint="eastAsia"/>
        </w:rPr>
        <w:t>10mm、清洁系统水耗差异显著、巡检模块检测分辨率不统一，不仅增加电站选型难度，还易引发组件物理损伤，影响电站发电效率与使用寿命。</w:t>
      </w:r>
    </w:p>
    <w:p w14:paraId="0BF70ADC" w14:textId="77777777" w:rsidR="00563220" w:rsidRDefault="00BF4BDA">
      <w:pPr>
        <w:pStyle w:val="ab"/>
        <w:spacing w:line="360" w:lineRule="auto"/>
      </w:pPr>
      <w:r>
        <w:rPr>
          <w:rFonts w:hint="eastAsia"/>
        </w:rPr>
        <w:t>在此背景下，制定本标准具有重要意义：从社会效益看，可将光伏电站人工高空作业占比降至5%以下，减少80%</w:t>
      </w:r>
      <w:proofErr w:type="gramStart"/>
      <w:r>
        <w:rPr>
          <w:rFonts w:hint="eastAsia"/>
        </w:rPr>
        <w:t>以上运</w:t>
      </w:r>
      <w:proofErr w:type="gramEnd"/>
      <w:r>
        <w:rPr>
          <w:rFonts w:hint="eastAsia"/>
        </w:rPr>
        <w:t>维安全事故，单座100MW电站年均减少2000吨水资源消耗、5万kWh运维能耗（</w:t>
      </w:r>
      <w:proofErr w:type="gramStart"/>
      <w:r>
        <w:rPr>
          <w:rFonts w:hint="eastAsia"/>
        </w:rPr>
        <w:t>等效减碳36吨</w:t>
      </w:r>
      <w:proofErr w:type="gramEnd"/>
      <w:r>
        <w:rPr>
          <w:rFonts w:hint="eastAsia"/>
        </w:rPr>
        <w:t>），同时缓解10万人</w:t>
      </w:r>
      <w:proofErr w:type="gramStart"/>
      <w:r>
        <w:rPr>
          <w:rFonts w:hint="eastAsia"/>
        </w:rPr>
        <w:t>光伏运维</w:t>
      </w:r>
      <w:proofErr w:type="gramEnd"/>
      <w:r>
        <w:rPr>
          <w:rFonts w:hint="eastAsia"/>
        </w:rPr>
        <w:t>人才缺口；从经济效益看，单座100MW电站年均可减少运</w:t>
      </w:r>
      <w:proofErr w:type="gramStart"/>
      <w:r>
        <w:rPr>
          <w:rFonts w:hint="eastAsia"/>
        </w:rPr>
        <w:t>维成本</w:t>
      </w:r>
      <w:proofErr w:type="gramEnd"/>
      <w:r>
        <w:rPr>
          <w:rFonts w:hint="eastAsia"/>
        </w:rPr>
        <w:t>400-600万元，增加发电收益378万-570万元，还能推动上游核心部件国产化率从60%提升至85%以上，未来5年带动设备市场规模从50亿元/年增至150亿元/年，创造2万个以上就业岗位。</w:t>
      </w:r>
    </w:p>
    <w:p w14:paraId="1F686108" w14:textId="77777777" w:rsidR="00563220" w:rsidRDefault="00BF4BDA">
      <w:pPr>
        <w:pStyle w:val="11"/>
        <w:spacing w:before="312" w:after="312"/>
        <w:rPr>
          <w:rFonts w:ascii="黑体" w:hAnsi="黑体" w:hint="eastAsia"/>
          <w:szCs w:val="21"/>
        </w:rPr>
      </w:pPr>
      <w:bookmarkStart w:id="28" w:name="_Toc74"/>
      <w:r>
        <w:rPr>
          <w:rFonts w:ascii="黑体" w:hAnsi="黑体" w:hint="eastAsia"/>
          <w:szCs w:val="21"/>
        </w:rPr>
        <w:t>2编制主要原则</w:t>
      </w:r>
      <w:bookmarkEnd w:id="28"/>
    </w:p>
    <w:p w14:paraId="025F31D9" w14:textId="77777777" w:rsidR="00563220" w:rsidRDefault="00BF4BDA">
      <w:pPr>
        <w:pStyle w:val="a0"/>
        <w:numPr>
          <w:ilvl w:val="0"/>
          <w:numId w:val="0"/>
        </w:numPr>
        <w:spacing w:beforeLines="50" w:before="156" w:afterLines="50" w:after="156"/>
      </w:pPr>
      <w:r>
        <w:rPr>
          <w:rFonts w:hint="eastAsia"/>
        </w:rPr>
        <w:t>2.1合</w:t>
      </w:r>
      <w:proofErr w:type="gramStart"/>
      <w:r>
        <w:rPr>
          <w:rFonts w:hint="eastAsia"/>
        </w:rPr>
        <w:t>规</w:t>
      </w:r>
      <w:proofErr w:type="gramEnd"/>
      <w:r>
        <w:rPr>
          <w:rFonts w:hint="eastAsia"/>
        </w:rPr>
        <w:t>性原则</w:t>
      </w:r>
    </w:p>
    <w:p w14:paraId="1907FF51" w14:textId="33A098CC" w:rsidR="00563220" w:rsidRDefault="00BF4BDA">
      <w:pPr>
        <w:pStyle w:val="ab"/>
        <w:spacing w:line="360" w:lineRule="auto"/>
      </w:pPr>
      <w:r>
        <w:t>本标准严格遵循GB/T</w:t>
      </w:r>
      <w:r w:rsidR="00DA4CA8">
        <w:rPr>
          <w:rFonts w:hint="eastAsia"/>
        </w:rPr>
        <w:t xml:space="preserve"> </w:t>
      </w:r>
      <w:r>
        <w:t>1.1-2020《标准化工作导则第1部分：标准化文件的结构和起草规则》的格式要求，确保标准文本结构清晰、逻辑严谨、表述规范，同时符合《中华人民共和国可再生能源法》等现行法律法规及GB</w:t>
      </w:r>
      <w:r w:rsidR="00DA4CA8">
        <w:rPr>
          <w:rFonts w:hint="eastAsia"/>
        </w:rPr>
        <w:t xml:space="preserve"> </w:t>
      </w:r>
      <w:r>
        <w:t>5226.1-2019等强制性国家标准的技术要求。</w:t>
      </w:r>
    </w:p>
    <w:p w14:paraId="62DA83B8" w14:textId="77777777" w:rsidR="00563220" w:rsidRDefault="00BF4BDA">
      <w:pPr>
        <w:pStyle w:val="a0"/>
        <w:numPr>
          <w:ilvl w:val="0"/>
          <w:numId w:val="0"/>
        </w:numPr>
        <w:spacing w:beforeLines="50" w:before="156" w:afterLines="50" w:after="156"/>
      </w:pPr>
      <w:r>
        <w:t>2.2实用性原则</w:t>
      </w:r>
    </w:p>
    <w:p w14:paraId="73FC0AA6" w14:textId="77777777" w:rsidR="00563220" w:rsidRDefault="00BF4BDA">
      <w:pPr>
        <w:pStyle w:val="ab"/>
        <w:spacing w:line="360" w:lineRule="auto"/>
      </w:pPr>
      <w:r>
        <w:t>标准内容紧密结合我国光伏电站</w:t>
      </w:r>
      <w:proofErr w:type="gramStart"/>
      <w:r>
        <w:t>实际运</w:t>
      </w:r>
      <w:proofErr w:type="gramEnd"/>
      <w:r>
        <w:t>维场景，充分考虑西北沙尘区、南方多雨区、东部沿海高湿区等不同气候区域的差异化需求，以及地面电站、工商业分布式电站的应用差异，</w:t>
      </w:r>
      <w:r>
        <w:lastRenderedPageBreak/>
        <w:t>制定的技术指标与作业规范可直接指导设备设计、生产、检验及运维，兼顾设备制造商生产能力与电站使用成本。</w:t>
      </w:r>
    </w:p>
    <w:p w14:paraId="27317638" w14:textId="77777777" w:rsidR="00563220" w:rsidRDefault="00BF4BDA">
      <w:pPr>
        <w:pStyle w:val="a0"/>
        <w:numPr>
          <w:ilvl w:val="0"/>
          <w:numId w:val="0"/>
        </w:numPr>
        <w:spacing w:beforeLines="50" w:before="156" w:afterLines="50" w:after="156"/>
      </w:pPr>
      <w:r>
        <w:t>2.3先进性原则</w:t>
      </w:r>
    </w:p>
    <w:p w14:paraId="2F911C2F" w14:textId="77777777" w:rsidR="00563220" w:rsidRDefault="00BF4BDA">
      <w:pPr>
        <w:pStyle w:val="ab"/>
        <w:spacing w:line="360" w:lineRule="auto"/>
      </w:pPr>
      <w:r>
        <w:t>立足</w:t>
      </w:r>
      <w:proofErr w:type="gramStart"/>
      <w:r>
        <w:t>光伏运维</w:t>
      </w:r>
      <w:proofErr w:type="gramEnd"/>
      <w:r>
        <w:t>智能化、</w:t>
      </w:r>
      <w:proofErr w:type="gramStart"/>
      <w:r>
        <w:t>无人化</w:t>
      </w:r>
      <w:proofErr w:type="gramEnd"/>
      <w:r>
        <w:t>发展趋势，融入智能协同控制、精准数据交互、多场景适配等先进技术要求，如明确设备</w:t>
      </w:r>
      <w:proofErr w:type="gramStart"/>
      <w:r>
        <w:t>需支持</w:t>
      </w:r>
      <w:proofErr w:type="gramEnd"/>
      <w:r>
        <w:t>Modbus-RTU、MQTT通信协议，具备自动防护膜收放、清洁后30分钟内复检等功能，为行业技术升级提供标准引领。</w:t>
      </w:r>
    </w:p>
    <w:p w14:paraId="6CF308BE" w14:textId="77777777" w:rsidR="00563220" w:rsidRDefault="00BF4BDA">
      <w:pPr>
        <w:pStyle w:val="a0"/>
        <w:numPr>
          <w:ilvl w:val="0"/>
          <w:numId w:val="0"/>
        </w:numPr>
        <w:spacing w:beforeLines="50" w:before="156" w:afterLines="50" w:after="156"/>
      </w:pPr>
      <w:r>
        <w:t>2.4安全性原则</w:t>
      </w:r>
    </w:p>
    <w:p w14:paraId="42A360C7" w14:textId="77777777" w:rsidR="00563220" w:rsidRDefault="00BF4BDA">
      <w:pPr>
        <w:pStyle w:val="ab"/>
        <w:spacing w:line="360" w:lineRule="auto"/>
      </w:pPr>
      <w:r>
        <w:t>突出设备全环节安全防护要求，针对电气、机械运动、高压清洁等风险点，制定绝缘电阻</w:t>
      </w:r>
      <w:r>
        <w:t>≥</w:t>
      </w:r>
      <w:r>
        <w:t>100M</w:t>
      </w:r>
      <w:r>
        <w:t>Ω</w:t>
      </w:r>
      <w:r>
        <w:t>、外壳防护等级</w:t>
      </w:r>
      <w:r>
        <w:t>≥</w:t>
      </w:r>
      <w:r>
        <w:t>IP65、漏电动作电流</w:t>
      </w:r>
      <w:r>
        <w:t>≤</w:t>
      </w:r>
      <w:r>
        <w:t>30mA等量化指标，同时规范操作人员安全距离（高压清洁时</w:t>
      </w:r>
      <w:r>
        <w:t>≥</w:t>
      </w:r>
      <w:r>
        <w:t>1.5m），保障设备自身及光伏组件、运</w:t>
      </w:r>
      <w:proofErr w:type="gramStart"/>
      <w:r>
        <w:t>维人员</w:t>
      </w:r>
      <w:proofErr w:type="gramEnd"/>
      <w:r>
        <w:t>的安全。</w:t>
      </w:r>
    </w:p>
    <w:p w14:paraId="10C48099" w14:textId="77777777" w:rsidR="00563220" w:rsidRDefault="00BF4BDA">
      <w:pPr>
        <w:pStyle w:val="a0"/>
        <w:numPr>
          <w:ilvl w:val="0"/>
          <w:numId w:val="0"/>
        </w:numPr>
        <w:spacing w:beforeLines="50" w:before="156" w:afterLines="50" w:after="156"/>
      </w:pPr>
      <w:r>
        <w:t>2.5兼容性原则</w:t>
      </w:r>
    </w:p>
    <w:p w14:paraId="5D8619F0" w14:textId="3312A646" w:rsidR="00563220" w:rsidRDefault="00BF4BDA">
      <w:pPr>
        <w:pStyle w:val="ab"/>
        <w:spacing w:line="360" w:lineRule="auto"/>
      </w:pPr>
      <w:r>
        <w:t>注重与现有光</w:t>
      </w:r>
      <w:proofErr w:type="gramStart"/>
      <w:r>
        <w:t>伏行业</w:t>
      </w:r>
      <w:proofErr w:type="gramEnd"/>
      <w:r>
        <w:t>标准的衔接协调，引用GB/T</w:t>
      </w:r>
      <w:r w:rsidR="00DA4CA8">
        <w:rPr>
          <w:rFonts w:hint="eastAsia"/>
        </w:rPr>
        <w:t xml:space="preserve"> </w:t>
      </w:r>
      <w:r>
        <w:t>44264-2024电气安全条款等核心内容，同时统一</w:t>
      </w:r>
      <w:r>
        <w:t>“</w:t>
      </w:r>
      <w:r>
        <w:t>巡检清洁一体化设备</w:t>
      </w:r>
      <w:r>
        <w:t>”</w:t>
      </w:r>
      <w:r>
        <w:t>术语表述，避免标准碎片化，确保与现有标准体系无冲突。</w:t>
      </w:r>
    </w:p>
    <w:p w14:paraId="7C9DFA67" w14:textId="77777777" w:rsidR="00563220" w:rsidRDefault="00BF4BDA">
      <w:pPr>
        <w:pStyle w:val="11"/>
        <w:spacing w:before="312" w:after="312"/>
        <w:rPr>
          <w:rFonts w:ascii="宋体" w:hAnsi="宋体" w:hint="eastAsia"/>
          <w:szCs w:val="21"/>
        </w:rPr>
      </w:pPr>
      <w:bookmarkStart w:id="29" w:name="_Toc29019"/>
      <w:r>
        <w:rPr>
          <w:rFonts w:ascii="黑体" w:hAnsi="黑体" w:cs="黑体" w:hint="eastAsia"/>
          <w:szCs w:val="21"/>
        </w:rPr>
        <w:t>3</w:t>
      </w:r>
      <w:r>
        <w:rPr>
          <w:rFonts w:ascii="宋体" w:hAnsi="宋体" w:hint="eastAsia"/>
          <w:szCs w:val="21"/>
        </w:rPr>
        <w:t>主要工作过程</w:t>
      </w:r>
      <w:bookmarkEnd w:id="29"/>
    </w:p>
    <w:p w14:paraId="539C490A" w14:textId="77777777" w:rsidR="00563220" w:rsidRPr="000F5B5F" w:rsidRDefault="00BF4BDA">
      <w:pPr>
        <w:pStyle w:val="a0"/>
        <w:numPr>
          <w:ilvl w:val="0"/>
          <w:numId w:val="0"/>
        </w:numPr>
        <w:spacing w:beforeLines="50" w:before="156" w:afterLines="50" w:after="156"/>
      </w:pPr>
      <w:r w:rsidRPr="000F5B5F">
        <w:rPr>
          <w:rFonts w:hint="eastAsia"/>
        </w:rPr>
        <w:t>3.1立项阶段</w:t>
      </w:r>
    </w:p>
    <w:p w14:paraId="2DAAD5C8" w14:textId="090DBB91" w:rsidR="00563220" w:rsidRDefault="00BF4BDA">
      <w:pPr>
        <w:pStyle w:val="ab"/>
        <w:spacing w:line="360" w:lineRule="auto"/>
      </w:pPr>
      <w:r>
        <w:rPr>
          <w:rFonts w:hint="eastAsia"/>
        </w:rPr>
        <w:t>2025年11月初，</w:t>
      </w:r>
      <w:r>
        <w:t>大唐陕西发电有限公司新能源分公司牵头</w:t>
      </w:r>
      <w:r w:rsidR="00FE455E">
        <w:rPr>
          <w:rFonts w:hint="eastAsia"/>
        </w:rPr>
        <w:t>，</w:t>
      </w:r>
      <w:r w:rsidR="00FE455E" w:rsidRPr="00FE455E">
        <w:t>联合大唐定边风力发电有限责任公司、大唐澄城风力发电有限责任公司、深圳江</w:t>
      </w:r>
      <w:proofErr w:type="gramStart"/>
      <w:r w:rsidR="00FE455E" w:rsidRPr="00FE455E">
        <w:t>行联加智能</w:t>
      </w:r>
      <w:proofErr w:type="gramEnd"/>
      <w:r w:rsidR="00FE455E" w:rsidRPr="00FE455E">
        <w:t>科技有限公司、广东科凯达智能机器人有限公司等单位</w:t>
      </w:r>
      <w:r w:rsidR="00FE455E">
        <w:rPr>
          <w:rFonts w:hint="eastAsia"/>
        </w:rPr>
        <w:t>，</w:t>
      </w:r>
      <w:r w:rsidR="00FE455E" w:rsidRPr="00FE455E">
        <w:t>组织行业技术专家成立</w:t>
      </w:r>
      <w:r>
        <w:t>预研小组，开展光伏电站巡检清洁一体化设备行业现状、技术痛点、标准空白等方面的调研分析，系统研究国内外相关政策法规、现有标准及先进技术经验，多次组织召开标准专题讨论会，完成标准草案初稿的起草与多轮修改完善，并向中国电机工程学会提交标准制定项目立项申请。</w:t>
      </w:r>
    </w:p>
    <w:p w14:paraId="0DD828A2" w14:textId="77777777" w:rsidR="00563220" w:rsidRDefault="00BF4BDA">
      <w:pPr>
        <w:pStyle w:val="ab"/>
        <w:spacing w:line="360" w:lineRule="auto"/>
      </w:pPr>
      <w:r>
        <w:rPr>
          <w:rFonts w:hint="eastAsia"/>
        </w:rPr>
        <w:t>2025年</w:t>
      </w:r>
      <w:r>
        <w:t>11</w:t>
      </w:r>
      <w:r>
        <w:rPr>
          <w:rFonts w:hint="eastAsia"/>
        </w:rPr>
        <w:t>月1</w:t>
      </w:r>
      <w:r>
        <w:t>6</w:t>
      </w:r>
      <w:r>
        <w:rPr>
          <w:rFonts w:hint="eastAsia"/>
        </w:rPr>
        <w:t>号，参加由智能电力设备与系统专委会组织的标准立项评审会，由牵头起草单位</w:t>
      </w:r>
      <w:r>
        <w:t>完成标准立项专题汇报并顺利通过初步审核，会后根据工作组成员单位专家提出的修改意见，组织编制组开展专题研讨，对标准草案内容进行进一步优化完善</w:t>
      </w:r>
      <w:r>
        <w:rPr>
          <w:rFonts w:hint="eastAsia"/>
        </w:rPr>
        <w:t>。</w:t>
      </w:r>
    </w:p>
    <w:p w14:paraId="389B9390" w14:textId="0AE30A2E" w:rsidR="00563220" w:rsidRDefault="00BF4BDA">
      <w:pPr>
        <w:pStyle w:val="ab"/>
        <w:spacing w:line="360" w:lineRule="auto"/>
      </w:pPr>
      <w:r>
        <w:t>2025年12月11日，中国电机工程学会召开2025年第二批拟立项标准及送审稿审查会，对本标准进行再次审核</w:t>
      </w:r>
      <w:r>
        <w:rPr>
          <w:rFonts w:hint="eastAsia"/>
        </w:rPr>
        <w:t>。</w:t>
      </w:r>
    </w:p>
    <w:p w14:paraId="4378C471" w14:textId="2FD44EC1" w:rsidR="00563220" w:rsidRDefault="00BF4BDA">
      <w:pPr>
        <w:pStyle w:val="ab"/>
        <w:spacing w:line="360" w:lineRule="auto"/>
      </w:pPr>
      <w:r>
        <w:t>2025年12月25日，中国电机工程学会召开2025年第三次标准工作委员会会议，对第二批拟立项标准进行最终审议。</w:t>
      </w:r>
    </w:p>
    <w:p w14:paraId="0B1507AF" w14:textId="752C19A9" w:rsidR="00563220" w:rsidRDefault="00BF4BDA">
      <w:pPr>
        <w:pStyle w:val="ab"/>
        <w:spacing w:line="360" w:lineRule="auto"/>
      </w:pPr>
      <w:r>
        <w:lastRenderedPageBreak/>
        <w:t>编制组根据三次评审会的专家意见，对标准草案进行多轮打磨、反复修改，确保标准立项的科学性与必要性。经多级评审与修改完善，本标准最终获批立项，中国电机工程学会以《关于印发</w:t>
      </w:r>
      <w:r>
        <w:t>“</w:t>
      </w:r>
      <w:r>
        <w:t>中国电机工程学会2025年标准计划(第二批)</w:t>
      </w:r>
      <w:r>
        <w:t>”</w:t>
      </w:r>
      <w:r>
        <w:t>的通知》（电机</w:t>
      </w:r>
      <w:proofErr w:type="gramStart"/>
      <w:r>
        <w:t>咨</w:t>
      </w:r>
      <w:proofErr w:type="gramEnd"/>
      <w:r>
        <w:t>〔2025〕738号）正式下达标准制定任务，</w:t>
      </w:r>
      <w:r>
        <w:rPr>
          <w:rFonts w:hint="eastAsia"/>
        </w:rPr>
        <w:t>编号：202511190001</w:t>
      </w:r>
      <w:r>
        <w:t>，标志着本标准进入正式起草阶段。</w:t>
      </w:r>
    </w:p>
    <w:p w14:paraId="40D475E1" w14:textId="77777777" w:rsidR="00563220" w:rsidRDefault="00BF4BDA">
      <w:pPr>
        <w:pStyle w:val="a0"/>
        <w:numPr>
          <w:ilvl w:val="0"/>
          <w:numId w:val="0"/>
        </w:numPr>
        <w:spacing w:beforeLines="50" w:before="156" w:afterLines="50" w:after="156"/>
      </w:pPr>
      <w:r>
        <w:rPr>
          <w:rFonts w:hint="eastAsia"/>
        </w:rPr>
        <w:t>3.2起草阶段</w:t>
      </w:r>
    </w:p>
    <w:p w14:paraId="31BB0025" w14:textId="77777777" w:rsidR="00563220" w:rsidRDefault="00BF4BDA">
      <w:pPr>
        <w:pStyle w:val="ab"/>
        <w:spacing w:line="360" w:lineRule="auto"/>
      </w:pPr>
      <w:r>
        <w:rPr>
          <w:rFonts w:hint="eastAsia"/>
        </w:rPr>
        <w:t>2026年01月，</w:t>
      </w:r>
      <w:r>
        <w:t>牵头单位大唐陕西发电有限公司新能源分公司面向光</w:t>
      </w:r>
      <w:proofErr w:type="gramStart"/>
      <w:r>
        <w:t>伏设备</w:t>
      </w:r>
      <w:proofErr w:type="gramEnd"/>
      <w:r>
        <w:t>制造、电站运维、科研院所等领域征集标准参编单位，组建形成由多领域单位、多专业专家构成的标准编制工作组，召开项目启动会，明确各参编单位的工作职责、任务分工及标准制定整体进度安排，为提高编制人员的编制能力，对相关编制人员进行标准化基础知识专项培训，对团体标准编制项目进行指导培训，同时组织专业技术人员在国内外标准信息平台、行业数据库开展相关标准、文献资料、技术成果的全面收集与整理，重点研究先进技术经验及国内现有相关标准的核心内容，为标准编制提供充足的技术支撑。</w:t>
      </w:r>
    </w:p>
    <w:p w14:paraId="6E016940" w14:textId="77777777" w:rsidR="00563220" w:rsidRDefault="00BF4BDA">
      <w:pPr>
        <w:pStyle w:val="ab"/>
        <w:spacing w:line="360" w:lineRule="auto"/>
      </w:pPr>
      <w:bookmarkStart w:id="30" w:name="OLE_LINK2"/>
      <w:r>
        <w:t>编制工作组结合资料收集、实地调研结果，制定详细的标准编制工作计划，围绕设备技术基准、多场景适配、运维规范、标准体系衔接四大核心研究方向，完成标准草案的编制；多次组织召开团体标准研讨会，对草案内容进行逐章、逐条研讨，深入咨询行业主管部门及相关领域专家意见，根据研讨结果与专家建议对草案进行多轮修改、完善与优化，形成标准讨论稿。</w:t>
      </w:r>
      <w:bookmarkEnd w:id="30"/>
    </w:p>
    <w:p w14:paraId="472FA5F9" w14:textId="77777777" w:rsidR="00563220" w:rsidRDefault="00BF4BDA">
      <w:pPr>
        <w:pStyle w:val="a0"/>
        <w:numPr>
          <w:ilvl w:val="0"/>
          <w:numId w:val="0"/>
        </w:numPr>
        <w:spacing w:beforeLines="50" w:before="156" w:afterLines="50" w:after="156"/>
      </w:pPr>
      <w:r>
        <w:rPr>
          <w:rFonts w:hint="eastAsia"/>
        </w:rPr>
        <w:t>3.3征求意见阶段</w:t>
      </w:r>
    </w:p>
    <w:p w14:paraId="09FF26B0" w14:textId="60144C34" w:rsidR="00563220" w:rsidRDefault="00BF4BDA">
      <w:pPr>
        <w:pStyle w:val="ab"/>
        <w:spacing w:line="360" w:lineRule="auto"/>
      </w:pPr>
      <w:r>
        <w:t>2026年</w:t>
      </w:r>
      <w:r w:rsidR="005B1EC3">
        <w:rPr>
          <w:rFonts w:hint="eastAsia"/>
        </w:rPr>
        <w:t>0</w:t>
      </w:r>
      <w:r>
        <w:t>3月，编制工作组在标准讨论稿的基础上，结合前期试验验证结果、专家研讨意见及行业实际需求，对标准条款进行最终梳理、完善与规范，完成《光伏电站太阳能板巡检清洁一体化设备技术要求》团体标准征求意见稿的编制；同时同步编写标准编制说明，系统阐述标准编制背景、原则、工作过程、结构内容、相关标准对比等核心内容，确保编制说明与征求意见</w:t>
      </w:r>
      <w:proofErr w:type="gramStart"/>
      <w:r>
        <w:t>稿内容</w:t>
      </w:r>
      <w:proofErr w:type="gramEnd"/>
      <w:r>
        <w:t>一致、逻辑衔接。</w:t>
      </w:r>
    </w:p>
    <w:p w14:paraId="3B29EA94" w14:textId="77777777" w:rsidR="0015208B" w:rsidRDefault="0015208B">
      <w:pPr>
        <w:pStyle w:val="ab"/>
        <w:spacing w:line="360" w:lineRule="auto"/>
      </w:pPr>
    </w:p>
    <w:p w14:paraId="1C7BF0A0" w14:textId="77777777" w:rsidR="00563220" w:rsidRDefault="00BF4BDA">
      <w:pPr>
        <w:pStyle w:val="a0"/>
        <w:numPr>
          <w:ilvl w:val="0"/>
          <w:numId w:val="0"/>
        </w:numPr>
        <w:spacing w:beforeLines="50" w:before="156" w:afterLines="50" w:after="156"/>
      </w:pPr>
      <w:r>
        <w:rPr>
          <w:rFonts w:hint="eastAsia"/>
        </w:rPr>
        <w:t>3.4送审阶段</w:t>
      </w:r>
    </w:p>
    <w:p w14:paraId="59CAF6ED" w14:textId="77777777" w:rsidR="00563220" w:rsidRDefault="00563220">
      <w:pPr>
        <w:pStyle w:val="ab"/>
      </w:pPr>
    </w:p>
    <w:p w14:paraId="5A6FC2E7" w14:textId="77777777" w:rsidR="00563220" w:rsidRDefault="00BF4BDA">
      <w:pPr>
        <w:pStyle w:val="a0"/>
        <w:numPr>
          <w:ilvl w:val="0"/>
          <w:numId w:val="0"/>
        </w:numPr>
        <w:spacing w:beforeLines="50" w:before="156" w:afterLines="50" w:after="156"/>
      </w:pPr>
      <w:r>
        <w:rPr>
          <w:rFonts w:hint="eastAsia"/>
        </w:rPr>
        <w:t>3.5报批阶段</w:t>
      </w:r>
    </w:p>
    <w:p w14:paraId="0C950BD6" w14:textId="77777777" w:rsidR="00563220" w:rsidRDefault="00563220">
      <w:pPr>
        <w:pStyle w:val="ae"/>
        <w:ind w:left="360"/>
        <w:rPr>
          <w:color w:val="FF0000"/>
        </w:rPr>
      </w:pPr>
    </w:p>
    <w:p w14:paraId="4CF3C424" w14:textId="77777777" w:rsidR="00563220" w:rsidRDefault="00BF4BDA">
      <w:pPr>
        <w:pStyle w:val="11"/>
        <w:spacing w:before="312" w:after="312"/>
      </w:pPr>
      <w:bookmarkStart w:id="31" w:name="_Toc5437"/>
      <w:r>
        <w:rPr>
          <w:rFonts w:ascii="宋体" w:hAnsi="宋体" w:hint="eastAsia"/>
          <w:szCs w:val="21"/>
        </w:rPr>
        <w:lastRenderedPageBreak/>
        <w:t>4</w:t>
      </w:r>
      <w:r>
        <w:rPr>
          <w:rFonts w:hint="eastAsia"/>
        </w:rPr>
        <w:t>标准结构和内容说明</w:t>
      </w:r>
      <w:bookmarkEnd w:id="31"/>
    </w:p>
    <w:p w14:paraId="3EB88A25" w14:textId="77777777" w:rsidR="00563220" w:rsidRDefault="00BF4BDA">
      <w:pPr>
        <w:pStyle w:val="a0"/>
        <w:numPr>
          <w:ilvl w:val="0"/>
          <w:numId w:val="0"/>
        </w:numPr>
        <w:spacing w:beforeLines="50" w:before="156" w:afterLines="50" w:after="156"/>
      </w:pPr>
      <w:r>
        <w:rPr>
          <w:rFonts w:hint="eastAsia"/>
        </w:rPr>
        <w:t>4.1研究内容的确定和说明</w:t>
      </w:r>
    </w:p>
    <w:p w14:paraId="48988AF4" w14:textId="77777777" w:rsidR="00563220" w:rsidRDefault="00BF4BDA">
      <w:pPr>
        <w:pStyle w:val="ab"/>
        <w:spacing w:line="360" w:lineRule="auto"/>
      </w:pPr>
      <w:r>
        <w:rPr>
          <w:rFonts w:hint="eastAsia"/>
        </w:rPr>
        <w:t>本标准研究内容的确定，主要基于光伏电站巡检清洁一体化设备的行业应用痛点及技术发展需求，结合前期行业调研、设备试点应用数据及现有标准空白，经编制组多轮研讨最终明确，核心研究方向可归纳为四大类：</w:t>
      </w:r>
    </w:p>
    <w:p w14:paraId="1F17807E" w14:textId="77777777" w:rsidR="00563220" w:rsidRDefault="00BF4BDA">
      <w:pPr>
        <w:pStyle w:val="ab"/>
        <w:spacing w:line="360" w:lineRule="auto"/>
        <w:ind w:firstLine="422"/>
      </w:pPr>
      <w:r>
        <w:rPr>
          <w:rFonts w:hint="eastAsia"/>
          <w:b/>
          <w:bCs/>
        </w:rPr>
        <w:t>设备全维度技术基准构建：</w:t>
      </w:r>
      <w:r>
        <w:rPr>
          <w:rFonts w:hint="eastAsia"/>
        </w:rPr>
        <w:t>针对行业内设备功能模块参数不统一、适配性差的问题，确定研究一体化设备的核心组件技术要求，包括巡检模块的检测精度、清洁系统的水循环效率、移动部件的定位偏差等量化指标，同时明确设备的整体结构设计规范，确保各模块协同运行无冲突。</w:t>
      </w:r>
    </w:p>
    <w:p w14:paraId="63A9310C" w14:textId="77777777" w:rsidR="00563220" w:rsidRDefault="00BF4BDA">
      <w:pPr>
        <w:pStyle w:val="ab"/>
        <w:spacing w:line="360" w:lineRule="auto"/>
        <w:ind w:firstLine="422"/>
      </w:pPr>
      <w:r>
        <w:rPr>
          <w:rFonts w:hint="eastAsia"/>
          <w:b/>
          <w:bCs/>
        </w:rPr>
        <w:t>多场景适配性技术研究：</w:t>
      </w:r>
      <w:r>
        <w:rPr>
          <w:rFonts w:hint="eastAsia"/>
        </w:rPr>
        <w:t>结合我国西北沙尘区、南方多雨区、东部沿海盐雾区等不同气候区域的光伏电站运维需求，以及地面电站、工商业分布式电站的应用差异，确定研究差异化的设备性能指标，如沙尘</w:t>
      </w:r>
      <w:proofErr w:type="gramStart"/>
      <w:r>
        <w:rPr>
          <w:rFonts w:hint="eastAsia"/>
        </w:rPr>
        <w:t>区设备</w:t>
      </w:r>
      <w:proofErr w:type="gramEnd"/>
      <w:r>
        <w:rPr>
          <w:rFonts w:hint="eastAsia"/>
        </w:rPr>
        <w:t>防尘等级、沿海设备防腐蚀材质要求、屋顶电站设备防滑牵引力设计等。</w:t>
      </w:r>
    </w:p>
    <w:p w14:paraId="1943BC8E" w14:textId="56A555F9" w:rsidR="00DA4CA8" w:rsidRDefault="00DA4CA8">
      <w:pPr>
        <w:pStyle w:val="ab"/>
        <w:spacing w:line="360" w:lineRule="auto"/>
        <w:ind w:firstLine="422"/>
        <w:rPr>
          <w:b/>
          <w:bCs/>
        </w:rPr>
      </w:pPr>
      <w:r w:rsidRPr="00DA4CA8">
        <w:rPr>
          <w:rFonts w:hint="eastAsia"/>
          <w:b/>
          <w:bCs/>
        </w:rPr>
        <w:t>设备全生命周期安全与可靠性要求研究：</w:t>
      </w:r>
      <w:r w:rsidRPr="00DA4CA8">
        <w:rPr>
          <w:rFonts w:hint="eastAsia"/>
        </w:rPr>
        <w:t>针对一体化设备在多场景、长周期作业中的安全风险与可靠性短板，明确设备的电气安全、机械安全、高压清洁作业安全、环境适应性及可靠性要求，制定绝缘性能、外壳防护等级、漏电保护、防腐蚀、平均无故障工作时间（MTBF）等量化指标，保障设备在设计、制造、运行各环节的安全性与稳定性。</w:t>
      </w:r>
    </w:p>
    <w:p w14:paraId="5511F18F" w14:textId="0EBA1562" w:rsidR="00563220" w:rsidRDefault="00BF4BDA">
      <w:pPr>
        <w:pStyle w:val="ab"/>
        <w:spacing w:line="360" w:lineRule="auto"/>
        <w:ind w:firstLine="422"/>
      </w:pPr>
      <w:r>
        <w:rPr>
          <w:rFonts w:hint="eastAsia"/>
          <w:b/>
          <w:bCs/>
        </w:rPr>
        <w:t>标准体系衔接性研究：</w:t>
      </w:r>
      <w:r>
        <w:rPr>
          <w:rFonts w:hint="eastAsia"/>
        </w:rPr>
        <w:t>为避免标准碎片化，确定研究本标准与现有光</w:t>
      </w:r>
      <w:proofErr w:type="gramStart"/>
      <w:r>
        <w:rPr>
          <w:rFonts w:hint="eastAsia"/>
        </w:rPr>
        <w:t>伏行业</w:t>
      </w:r>
      <w:proofErr w:type="gramEnd"/>
      <w:r>
        <w:rPr>
          <w:rFonts w:hint="eastAsia"/>
        </w:rPr>
        <w:t>标准（如GB/T</w:t>
      </w:r>
      <w:r w:rsidR="001C60D0">
        <w:rPr>
          <w:rFonts w:hint="eastAsia"/>
        </w:rPr>
        <w:t xml:space="preserve"> </w:t>
      </w:r>
      <w:r>
        <w:rPr>
          <w:rFonts w:hint="eastAsia"/>
        </w:rPr>
        <w:t>44264-2024、T/CPIA</w:t>
      </w:r>
      <w:r w:rsidR="001C60D0">
        <w:rPr>
          <w:rFonts w:hint="eastAsia"/>
        </w:rPr>
        <w:t xml:space="preserve"> </w:t>
      </w:r>
      <w:r>
        <w:rPr>
          <w:rFonts w:hint="eastAsia"/>
        </w:rPr>
        <w:t>0074—2024）的衔接逻辑，统一术语定义，引用核心指标并补充空白内容，确保与现有标准体系无冲突。</w:t>
      </w:r>
    </w:p>
    <w:p w14:paraId="2C6CE114" w14:textId="77777777" w:rsidR="00563220" w:rsidRDefault="00BF4BDA">
      <w:pPr>
        <w:pStyle w:val="a0"/>
        <w:numPr>
          <w:ilvl w:val="0"/>
          <w:numId w:val="0"/>
        </w:numPr>
        <w:spacing w:beforeLines="50" w:before="156" w:afterLines="50" w:after="156"/>
      </w:pPr>
      <w:r>
        <w:rPr>
          <w:rFonts w:hint="eastAsia"/>
        </w:rPr>
        <w:t>4.2主要内容的试验、验证及论述情况</w:t>
      </w:r>
    </w:p>
    <w:p w14:paraId="680385D8" w14:textId="77777777" w:rsidR="00563220" w:rsidRDefault="00BF4BDA">
      <w:pPr>
        <w:pStyle w:val="ab"/>
        <w:spacing w:line="360" w:lineRule="auto"/>
      </w:pPr>
      <w:r>
        <w:rPr>
          <w:rFonts w:hint="eastAsia"/>
        </w:rPr>
        <w:t>为保障标准条款的科学性与实用性，编制组结合设备研发及试点应用经验，针对核心技术内容开展了多维度试验验证，具体如下：</w:t>
      </w:r>
    </w:p>
    <w:p w14:paraId="6A32978B" w14:textId="77777777" w:rsidR="00563220" w:rsidRDefault="00BF4BDA">
      <w:pPr>
        <w:pStyle w:val="ab"/>
        <w:numPr>
          <w:ilvl w:val="0"/>
          <w:numId w:val="3"/>
        </w:numPr>
        <w:spacing w:line="360" w:lineRule="auto"/>
        <w:ind w:firstLineChars="0"/>
        <w:rPr>
          <w:b/>
          <w:bCs/>
        </w:rPr>
      </w:pPr>
      <w:r>
        <w:rPr>
          <w:rFonts w:hint="eastAsia"/>
          <w:b/>
          <w:bCs/>
        </w:rPr>
        <w:t>多场景适应性试验</w:t>
      </w:r>
    </w:p>
    <w:p w14:paraId="31EC94CD" w14:textId="77777777" w:rsidR="00563220" w:rsidRDefault="00BF4BDA">
      <w:pPr>
        <w:pStyle w:val="ab"/>
        <w:spacing w:line="360" w:lineRule="auto"/>
        <w:ind w:firstLine="422"/>
      </w:pPr>
      <w:r>
        <w:rPr>
          <w:rFonts w:hint="eastAsia"/>
          <w:b/>
          <w:bCs/>
        </w:rPr>
        <w:t>沙漠场景防尘试验：</w:t>
      </w:r>
      <w:r>
        <w:rPr>
          <w:rFonts w:hint="eastAsia"/>
        </w:rPr>
        <w:t>在模拟沙尘环境中对设备连续运行1000h，测试巡检传感器精度漂移及清洁刷头磨损程度，验证设备外壳IP65防尘等级的有效性，结果显示传感器精度衰减≤0.5%，刷头磨损量≤0.05mm，符合标准指标。</w:t>
      </w:r>
    </w:p>
    <w:p w14:paraId="5C154620" w14:textId="77777777" w:rsidR="00563220" w:rsidRDefault="00BF4BDA">
      <w:pPr>
        <w:pStyle w:val="ab"/>
        <w:spacing w:line="360" w:lineRule="auto"/>
        <w:ind w:firstLine="422"/>
      </w:pPr>
      <w:r>
        <w:rPr>
          <w:rFonts w:hint="eastAsia"/>
          <w:b/>
          <w:bCs/>
        </w:rPr>
        <w:lastRenderedPageBreak/>
        <w:t>沿海盐雾腐蚀试验：</w:t>
      </w:r>
      <w:r>
        <w:rPr>
          <w:rFonts w:hint="eastAsia"/>
        </w:rPr>
        <w:t>对设备金属部件开展1000h中性盐雾试验，500h酸性盐雾试验，试验后金属部件腐蚀面积≤3%，螺纹连接部件无卡死现象，验证了不锈钢316L材质及防腐涂层的防护效果。</w:t>
      </w:r>
    </w:p>
    <w:p w14:paraId="373028AB" w14:textId="77777777" w:rsidR="00563220" w:rsidRDefault="00BF4BDA">
      <w:pPr>
        <w:pStyle w:val="ab"/>
        <w:spacing w:line="360" w:lineRule="auto"/>
        <w:ind w:firstLine="422"/>
      </w:pPr>
      <w:r>
        <w:rPr>
          <w:rFonts w:hint="eastAsia"/>
          <w:b/>
          <w:bCs/>
        </w:rPr>
        <w:t>山地电站越障试验：</w:t>
      </w:r>
      <w:r>
        <w:rPr>
          <w:rFonts w:hint="eastAsia"/>
        </w:rPr>
        <w:t>在坡度15°-20°、含随机障碍物的模拟山地光伏阵列中测试设备路径规划能力，设备任务中断次数≤2次/100块板，无遗漏巡检清洁区域，验证了路径规划算法的可靠性。</w:t>
      </w:r>
    </w:p>
    <w:p w14:paraId="4D95094D" w14:textId="77777777" w:rsidR="00563220" w:rsidRDefault="00BF4BDA">
      <w:pPr>
        <w:pStyle w:val="ab"/>
        <w:numPr>
          <w:ilvl w:val="0"/>
          <w:numId w:val="3"/>
        </w:numPr>
        <w:spacing w:line="360" w:lineRule="auto"/>
        <w:ind w:firstLineChars="0"/>
        <w:rPr>
          <w:b/>
          <w:bCs/>
        </w:rPr>
      </w:pPr>
      <w:r>
        <w:rPr>
          <w:rFonts w:hint="eastAsia"/>
          <w:b/>
          <w:bCs/>
        </w:rPr>
        <w:t>功能协同与兼容性试验</w:t>
      </w:r>
    </w:p>
    <w:p w14:paraId="6992BF5D" w14:textId="77777777" w:rsidR="00563220" w:rsidRDefault="00BF4BDA">
      <w:pPr>
        <w:pStyle w:val="ab"/>
        <w:spacing w:line="360" w:lineRule="auto"/>
        <w:ind w:firstLine="422"/>
      </w:pPr>
      <w:r>
        <w:rPr>
          <w:rFonts w:hint="eastAsia"/>
          <w:b/>
          <w:bCs/>
        </w:rPr>
        <w:t>时序协同试验：</w:t>
      </w:r>
      <w:r>
        <w:rPr>
          <w:rFonts w:hint="eastAsia"/>
        </w:rPr>
        <w:t>模拟不同污染程度的光伏组件，测试清洁后不同间隔时</w:t>
      </w:r>
      <w:proofErr w:type="gramStart"/>
      <w:r>
        <w:rPr>
          <w:rFonts w:hint="eastAsia"/>
        </w:rPr>
        <w:t>长启动</w:t>
      </w:r>
      <w:proofErr w:type="gramEnd"/>
      <w:r>
        <w:rPr>
          <w:rFonts w:hint="eastAsia"/>
        </w:rPr>
        <w:t>巡检对数据准确性的影响，最终确定30min为最佳复检间隔，此时污渍残留对检测精度的影响≤1%。</w:t>
      </w:r>
    </w:p>
    <w:p w14:paraId="3DC43E4F" w14:textId="77777777" w:rsidR="00563220" w:rsidRDefault="00BF4BDA">
      <w:pPr>
        <w:pStyle w:val="ab"/>
        <w:spacing w:line="360" w:lineRule="auto"/>
        <w:ind w:firstLine="422"/>
      </w:pPr>
      <w:r>
        <w:rPr>
          <w:rFonts w:hint="eastAsia"/>
          <w:b/>
          <w:bCs/>
        </w:rPr>
        <w:t>电磁兼容性试验：</w:t>
      </w:r>
      <w:r>
        <w:rPr>
          <w:rFonts w:hint="eastAsia"/>
        </w:rPr>
        <w:t>模拟设备内部模块运行电磁环境，测试清洁电机运转时巡检传感器的数据失真情况，经优化电路布局后，传感器数据误差≤0.3%，满足检测要求。</w:t>
      </w:r>
    </w:p>
    <w:p w14:paraId="2C972947" w14:textId="77777777" w:rsidR="00563220" w:rsidRDefault="00BF4BDA">
      <w:pPr>
        <w:pStyle w:val="ab"/>
        <w:numPr>
          <w:ilvl w:val="0"/>
          <w:numId w:val="3"/>
        </w:numPr>
        <w:spacing w:line="360" w:lineRule="auto"/>
        <w:ind w:firstLineChars="0"/>
        <w:rPr>
          <w:b/>
          <w:bCs/>
        </w:rPr>
      </w:pPr>
      <w:r>
        <w:rPr>
          <w:rFonts w:hint="eastAsia"/>
          <w:b/>
          <w:bCs/>
        </w:rPr>
        <w:t>可靠性与耐久性试验</w:t>
      </w:r>
    </w:p>
    <w:p w14:paraId="3E1754B2" w14:textId="77777777" w:rsidR="00563220" w:rsidRDefault="00BF4BDA">
      <w:pPr>
        <w:pStyle w:val="ab"/>
        <w:spacing w:line="360" w:lineRule="auto"/>
        <w:ind w:firstLine="422"/>
      </w:pPr>
      <w:r>
        <w:rPr>
          <w:rFonts w:hint="eastAsia"/>
          <w:b/>
          <w:bCs/>
        </w:rPr>
        <w:t>关键部件加速寿命试验：</w:t>
      </w:r>
      <w:r>
        <w:rPr>
          <w:rFonts w:hint="eastAsia"/>
        </w:rPr>
        <w:t>对巡检相机、清洁电机、防护膜收放装置开展加速寿命试验，电机累计运转10000次后无故障，防护</w:t>
      </w:r>
      <w:proofErr w:type="gramStart"/>
      <w:r>
        <w:rPr>
          <w:rFonts w:hint="eastAsia"/>
        </w:rPr>
        <w:t>膜连续</w:t>
      </w:r>
      <w:proofErr w:type="gramEnd"/>
      <w:r>
        <w:rPr>
          <w:rFonts w:hint="eastAsia"/>
        </w:rPr>
        <w:t>收放500次后边缘对齐偏差≤5mm，透光率衰减≤5%，验证了设备长期运行稳定性。</w:t>
      </w:r>
    </w:p>
    <w:p w14:paraId="20190A95" w14:textId="77777777" w:rsidR="00563220" w:rsidRDefault="00BF4BDA">
      <w:pPr>
        <w:pStyle w:val="ab"/>
        <w:numPr>
          <w:ilvl w:val="0"/>
          <w:numId w:val="3"/>
        </w:numPr>
        <w:spacing w:line="360" w:lineRule="auto"/>
        <w:ind w:firstLineChars="0"/>
        <w:rPr>
          <w:b/>
          <w:bCs/>
        </w:rPr>
      </w:pPr>
      <w:r>
        <w:rPr>
          <w:rFonts w:hint="eastAsia"/>
          <w:b/>
          <w:bCs/>
        </w:rPr>
        <w:t>清洗策略与污染评估研究</w:t>
      </w:r>
    </w:p>
    <w:p w14:paraId="7BB7A867" w14:textId="77777777" w:rsidR="00563220" w:rsidRDefault="00BF4BDA">
      <w:pPr>
        <w:pStyle w:val="ab"/>
        <w:spacing w:line="360" w:lineRule="auto"/>
      </w:pPr>
      <w:r>
        <w:rPr>
          <w:rFonts w:hint="eastAsia"/>
        </w:rPr>
        <w:t>建立国内典型区域光伏组件污染数据库，结合发电效率损失模型，确定灰尘残留量＞3g/m²时为清洗阈值，此时发电损失超2%，该阈值可实现运</w:t>
      </w:r>
      <w:proofErr w:type="gramStart"/>
      <w:r>
        <w:rPr>
          <w:rFonts w:hint="eastAsia"/>
        </w:rPr>
        <w:t>维成本</w:t>
      </w:r>
      <w:proofErr w:type="gramEnd"/>
      <w:r>
        <w:rPr>
          <w:rFonts w:hint="eastAsia"/>
        </w:rPr>
        <w:t>与发电收益的最优平衡。</w:t>
      </w:r>
    </w:p>
    <w:p w14:paraId="4FC4730D" w14:textId="77777777" w:rsidR="00563220" w:rsidRDefault="00BF4BDA">
      <w:pPr>
        <w:pStyle w:val="a0"/>
        <w:numPr>
          <w:ilvl w:val="0"/>
          <w:numId w:val="0"/>
        </w:numPr>
        <w:spacing w:beforeLines="50" w:before="156" w:afterLines="50" w:after="156" w:line="360" w:lineRule="auto"/>
      </w:pPr>
      <w:r>
        <w:rPr>
          <w:rFonts w:hint="eastAsia"/>
        </w:rPr>
        <w:t>4.3主要内容及条款的说明</w:t>
      </w:r>
    </w:p>
    <w:p w14:paraId="3E7E8879" w14:textId="77777777" w:rsidR="00563220" w:rsidRDefault="00BF4BDA">
      <w:pPr>
        <w:pStyle w:val="ab"/>
        <w:spacing w:line="360" w:lineRule="auto"/>
      </w:pPr>
      <w:r>
        <w:rPr>
          <w:rFonts w:hint="eastAsia"/>
        </w:rPr>
        <w:t>本标准共设9个章节，各章节核心内容及条款的设计逻辑如下：</w:t>
      </w:r>
    </w:p>
    <w:p w14:paraId="76C6AE41" w14:textId="77777777" w:rsidR="0095238B" w:rsidRDefault="00BF4BDA">
      <w:pPr>
        <w:pStyle w:val="af0"/>
        <w:spacing w:line="360" w:lineRule="auto"/>
        <w:ind w:firstLine="422"/>
        <w:rPr>
          <w:b/>
          <w:bCs/>
        </w:rPr>
      </w:pPr>
      <w:r>
        <w:rPr>
          <w:rFonts w:hint="eastAsia"/>
          <w:b/>
          <w:bCs/>
        </w:rPr>
        <w:t>范围：</w:t>
      </w:r>
    </w:p>
    <w:p w14:paraId="17466021" w14:textId="048ED67A" w:rsidR="00563220" w:rsidRDefault="00BF4BDA">
      <w:pPr>
        <w:pStyle w:val="af0"/>
        <w:spacing w:line="360" w:lineRule="auto"/>
        <w:ind w:firstLine="420"/>
        <w:rPr>
          <w:rFonts w:ascii="Segoe UI" w:hAnsi="Segoe UI" w:cs="Segoe UI"/>
          <w:shd w:val="clear" w:color="auto" w:fill="FFFFFF"/>
        </w:rPr>
      </w:pPr>
      <w:r>
        <w:rPr>
          <w:rFonts w:ascii="Segoe UI" w:hAnsi="Segoe UI" w:cs="Segoe UI"/>
          <w:shd w:val="clear" w:color="auto" w:fill="FFFFFF"/>
        </w:rPr>
        <w:t>本文件规定了光伏电站太阳能板巡检清洁一体化设备（以下简称</w:t>
      </w:r>
      <w:r>
        <w:rPr>
          <w:rFonts w:ascii="Segoe UI" w:hAnsi="Segoe UI" w:cs="Segoe UI"/>
          <w:shd w:val="clear" w:color="auto" w:fill="FFFFFF"/>
        </w:rPr>
        <w:t>“</w:t>
      </w:r>
      <w:r>
        <w:rPr>
          <w:rFonts w:ascii="Segoe UI" w:hAnsi="Segoe UI" w:cs="Segoe UI"/>
          <w:shd w:val="clear" w:color="auto" w:fill="FFFFFF"/>
        </w:rPr>
        <w:t>设备</w:t>
      </w:r>
      <w:r>
        <w:rPr>
          <w:rFonts w:ascii="Segoe UI" w:hAnsi="Segoe UI" w:cs="Segoe UI"/>
          <w:shd w:val="clear" w:color="auto" w:fill="FFFFFF"/>
        </w:rPr>
        <w:t>”</w:t>
      </w:r>
      <w:r>
        <w:rPr>
          <w:rFonts w:ascii="Segoe UI" w:hAnsi="Segoe UI" w:cs="Segoe UI"/>
          <w:shd w:val="clear" w:color="auto" w:fill="FFFFFF"/>
        </w:rPr>
        <w:t>）的术语和定义、缩略语、设备结构、功能要求、性能要求、试验方法及检验规则等内容。</w:t>
      </w:r>
    </w:p>
    <w:p w14:paraId="01E2811F" w14:textId="77777777" w:rsidR="00563220" w:rsidRDefault="00BF4BDA">
      <w:pPr>
        <w:pStyle w:val="af0"/>
        <w:spacing w:line="360" w:lineRule="auto"/>
        <w:ind w:firstLine="420"/>
      </w:pPr>
      <w:r>
        <w:rPr>
          <w:rFonts w:ascii="Segoe UI" w:hAnsi="Segoe UI" w:cs="Segoe UI"/>
          <w:shd w:val="clear" w:color="auto" w:fill="FFFFFF"/>
        </w:rPr>
        <w:t>本文件适用于依托光伏电站太阳能板阵列结构运行，集成巡检、清洁、防护功能的一体化设备，涵盖设备的设计、生产、检验及安装调试；不适用于无人机巡检设备、独立式人工清洁</w:t>
      </w:r>
      <w:proofErr w:type="gramStart"/>
      <w:r>
        <w:rPr>
          <w:rFonts w:ascii="Segoe UI" w:hAnsi="Segoe UI" w:cs="Segoe UI"/>
          <w:shd w:val="clear" w:color="auto" w:fill="FFFFFF"/>
        </w:rPr>
        <w:t>工具及仅具备</w:t>
      </w:r>
      <w:proofErr w:type="gramEnd"/>
      <w:r>
        <w:rPr>
          <w:rFonts w:ascii="Segoe UI" w:hAnsi="Segoe UI" w:cs="Segoe UI"/>
          <w:shd w:val="clear" w:color="auto" w:fill="FFFFFF"/>
        </w:rPr>
        <w:t>单一巡检或清洁功能的设备，可适配地面光</w:t>
      </w:r>
      <w:proofErr w:type="gramStart"/>
      <w:r>
        <w:rPr>
          <w:rFonts w:ascii="Segoe UI" w:hAnsi="Segoe UI" w:cs="Segoe UI"/>
          <w:shd w:val="clear" w:color="auto" w:fill="FFFFFF"/>
        </w:rPr>
        <w:t>伏</w:t>
      </w:r>
      <w:proofErr w:type="gramEnd"/>
      <w:r>
        <w:rPr>
          <w:rFonts w:ascii="Segoe UI" w:hAnsi="Segoe UI" w:cs="Segoe UI"/>
          <w:shd w:val="clear" w:color="auto" w:fill="FFFFFF"/>
        </w:rPr>
        <w:t>电站及工商业分布式光伏电站的主流类型太阳能板组件</w:t>
      </w:r>
      <w:r>
        <w:rPr>
          <w:rFonts w:hint="eastAsia"/>
        </w:rPr>
        <w:t>。</w:t>
      </w:r>
    </w:p>
    <w:p w14:paraId="69803F67" w14:textId="77777777" w:rsidR="00563220" w:rsidRDefault="00BF4BDA">
      <w:pPr>
        <w:pStyle w:val="ab"/>
        <w:spacing w:line="360" w:lineRule="auto"/>
        <w:ind w:firstLine="422"/>
      </w:pPr>
      <w:r>
        <w:rPr>
          <w:rFonts w:hint="eastAsia"/>
          <w:b/>
          <w:bCs/>
        </w:rPr>
        <w:t>规范性引用文件：</w:t>
      </w:r>
    </w:p>
    <w:p w14:paraId="50A06020" w14:textId="77777777" w:rsidR="0095238B" w:rsidRDefault="0095238B" w:rsidP="0095238B">
      <w:pPr>
        <w:pStyle w:val="ab"/>
        <w:spacing w:line="360" w:lineRule="auto"/>
      </w:pPr>
      <w:r>
        <w:rPr>
          <w:rFonts w:hint="eastAsia"/>
        </w:rPr>
        <w:t>GB/T 1408.1  绝缘材料 电气强度试验方法 第 1 部分：工频下试验</w:t>
      </w:r>
    </w:p>
    <w:p w14:paraId="33948816" w14:textId="77777777" w:rsidR="0095238B" w:rsidRDefault="0095238B" w:rsidP="0095238B">
      <w:pPr>
        <w:pStyle w:val="ab"/>
        <w:spacing w:line="360" w:lineRule="auto"/>
      </w:pPr>
      <w:r>
        <w:rPr>
          <w:rFonts w:hint="eastAsia"/>
        </w:rPr>
        <w:lastRenderedPageBreak/>
        <w:t>GB/T 3216  回转动力泵 水力性能验收试验 1 级和 2 级</w:t>
      </w:r>
    </w:p>
    <w:p w14:paraId="64359360" w14:textId="77777777" w:rsidR="0095238B" w:rsidRDefault="0095238B" w:rsidP="0095238B">
      <w:pPr>
        <w:pStyle w:val="ab"/>
        <w:spacing w:line="360" w:lineRule="auto"/>
      </w:pPr>
      <w:r>
        <w:rPr>
          <w:rFonts w:hint="eastAsia"/>
        </w:rPr>
        <w:t>GB/T 4208  外壳防护等级（IP代码）</w:t>
      </w:r>
    </w:p>
    <w:p w14:paraId="7663AC7A" w14:textId="77777777" w:rsidR="0095238B" w:rsidRDefault="0095238B" w:rsidP="0095238B">
      <w:pPr>
        <w:pStyle w:val="ab"/>
        <w:spacing w:line="360" w:lineRule="auto"/>
      </w:pPr>
      <w:r>
        <w:rPr>
          <w:rFonts w:hint="eastAsia"/>
        </w:rPr>
        <w:t>GB 5226.1  机械安全  机械电气设备  第1部分：通用技术条件</w:t>
      </w:r>
    </w:p>
    <w:p w14:paraId="68DCC605" w14:textId="77777777" w:rsidR="0095238B" w:rsidRDefault="0095238B" w:rsidP="0095238B">
      <w:pPr>
        <w:pStyle w:val="ab"/>
        <w:spacing w:line="360" w:lineRule="auto"/>
      </w:pPr>
      <w:r>
        <w:rPr>
          <w:rFonts w:hint="eastAsia"/>
        </w:rPr>
        <w:t>GB/T 18912  光伏组件盐雾腐蚀试验</w:t>
      </w:r>
    </w:p>
    <w:p w14:paraId="78A597D6" w14:textId="529845BC" w:rsidR="0095238B" w:rsidRDefault="0095238B" w:rsidP="0095238B">
      <w:pPr>
        <w:pStyle w:val="ab"/>
        <w:spacing w:line="360" w:lineRule="auto"/>
      </w:pPr>
      <w:r>
        <w:rPr>
          <w:rFonts w:hint="eastAsia"/>
        </w:rPr>
        <w:t>GB/T 19582.1</w:t>
      </w:r>
      <w:r w:rsidR="001C60D0">
        <w:rPr>
          <w:rFonts w:hint="eastAsia"/>
        </w:rPr>
        <w:t xml:space="preserve">  </w:t>
      </w:r>
      <w:r>
        <w:rPr>
          <w:rFonts w:hint="eastAsia"/>
        </w:rPr>
        <w:t>基于 Modbus 协议的工业自动化网络规范 第 1 部分：Modbus 应用协议</w:t>
      </w:r>
    </w:p>
    <w:p w14:paraId="03BEEDC6" w14:textId="77777777" w:rsidR="0095238B" w:rsidRDefault="0095238B" w:rsidP="0095238B">
      <w:pPr>
        <w:pStyle w:val="ab"/>
        <w:spacing w:line="360" w:lineRule="auto"/>
      </w:pPr>
      <w:r>
        <w:rPr>
          <w:rFonts w:hint="eastAsia"/>
        </w:rPr>
        <w:t>GB/T 44264  光伏组件清洁机器人通用技术条件</w:t>
      </w:r>
    </w:p>
    <w:p w14:paraId="1F666511" w14:textId="77777777" w:rsidR="0095238B" w:rsidRDefault="0095238B" w:rsidP="0095238B">
      <w:pPr>
        <w:pStyle w:val="ab"/>
        <w:spacing w:line="360" w:lineRule="auto"/>
      </w:pPr>
      <w:r>
        <w:rPr>
          <w:rFonts w:hint="eastAsia"/>
        </w:rPr>
        <w:t>T/CSEE 0371  集中式光伏发电站智慧运维规范</w:t>
      </w:r>
    </w:p>
    <w:p w14:paraId="1BCAD702" w14:textId="4E9E0659" w:rsidR="00563220" w:rsidRDefault="00BF4BDA" w:rsidP="0095238B">
      <w:pPr>
        <w:pStyle w:val="ab"/>
        <w:spacing w:line="360" w:lineRule="auto"/>
        <w:ind w:firstLine="422"/>
      </w:pPr>
      <w:r>
        <w:rPr>
          <w:rFonts w:hint="eastAsia"/>
          <w:b/>
          <w:bCs/>
        </w:rPr>
        <w:t>术语和定义：</w:t>
      </w:r>
      <w:r>
        <w:rPr>
          <w:rFonts w:hint="eastAsia"/>
        </w:rPr>
        <w:t>界定“太阳能板巡检清洁一体化设备”“功能机构”“清洁机构”等核心术语，统一行业认知。</w:t>
      </w:r>
    </w:p>
    <w:p w14:paraId="4FA72458" w14:textId="77777777" w:rsidR="00563220" w:rsidRDefault="00BF4BDA">
      <w:pPr>
        <w:pStyle w:val="ab"/>
        <w:spacing w:line="360" w:lineRule="auto"/>
        <w:ind w:firstLine="422"/>
      </w:pPr>
      <w:r>
        <w:rPr>
          <w:rFonts w:hint="eastAsia"/>
          <w:b/>
          <w:bCs/>
        </w:rPr>
        <w:t>设备结构：</w:t>
      </w:r>
      <w:r>
        <w:rPr>
          <w:rFonts w:hint="eastAsia"/>
        </w:rPr>
        <w:t>规定设备由功能机构（收卷、移动、调节部件）和清洁机构（</w:t>
      </w:r>
      <w:proofErr w:type="gramStart"/>
      <w:r>
        <w:rPr>
          <w:rFonts w:hint="eastAsia"/>
        </w:rPr>
        <w:t>集液框</w:t>
      </w:r>
      <w:proofErr w:type="gramEnd"/>
      <w:r>
        <w:rPr>
          <w:rFonts w:hint="eastAsia"/>
        </w:rPr>
        <w:t>、增压泵、雾化喷管）组成，明确各部件的结构参数，如调节部件螺纹</w:t>
      </w:r>
      <w:proofErr w:type="gramStart"/>
      <w:r>
        <w:rPr>
          <w:rFonts w:hint="eastAsia"/>
        </w:rPr>
        <w:t>杆采用</w:t>
      </w:r>
      <w:proofErr w:type="gramEnd"/>
      <w:r>
        <w:rPr>
          <w:rFonts w:hint="eastAsia"/>
        </w:rPr>
        <w:t>6g级精度螺纹，雾化</w:t>
      </w:r>
      <w:proofErr w:type="gramStart"/>
      <w:r>
        <w:rPr>
          <w:rFonts w:hint="eastAsia"/>
        </w:rPr>
        <w:t>喷管沿板宽</w:t>
      </w:r>
      <w:proofErr w:type="gramEnd"/>
      <w:r>
        <w:rPr>
          <w:rFonts w:hint="eastAsia"/>
        </w:rPr>
        <w:t>均匀布置，确保设备结构设计的合理性。</w:t>
      </w:r>
    </w:p>
    <w:p w14:paraId="5A2A1BC9" w14:textId="77777777" w:rsidR="00563220" w:rsidRDefault="00BF4BDA">
      <w:pPr>
        <w:pStyle w:val="ab"/>
        <w:spacing w:line="360" w:lineRule="auto"/>
        <w:ind w:firstLine="422"/>
      </w:pPr>
      <w:r>
        <w:rPr>
          <w:rFonts w:hint="eastAsia"/>
          <w:b/>
          <w:bCs/>
        </w:rPr>
        <w:t>功能要求：</w:t>
      </w:r>
      <w:r>
        <w:rPr>
          <w:rFonts w:hint="eastAsia"/>
        </w:rPr>
        <w:t>从防护膜收放（灰尘浓度＞50μg/m³自动释放，收放耗时≤45s/30s）、移动定位（定位偏差≤2mm）、面板清洁（水压0.3-0.8MPa，水循环利用率≥80%）、面板巡检（隐裂识别准确率≥98%）、协同控制（按“防护-清洁-巡检-复位”流程运行）、数据交互（传输速率≥10Mbps，支持Modbus-RTU/MQTT协议）6个维度，提出设备核心功能的强制要求，解决功能协同脱节问题。</w:t>
      </w:r>
    </w:p>
    <w:p w14:paraId="1C78C35E" w14:textId="77777777" w:rsidR="00563220" w:rsidRDefault="00BF4BDA">
      <w:pPr>
        <w:pStyle w:val="ab"/>
        <w:spacing w:line="360" w:lineRule="auto"/>
        <w:ind w:firstLine="422"/>
      </w:pPr>
      <w:r>
        <w:rPr>
          <w:rFonts w:hint="eastAsia"/>
          <w:b/>
          <w:bCs/>
        </w:rPr>
        <w:t>性能要求：</w:t>
      </w:r>
      <w:r>
        <w:rPr>
          <w:rFonts w:hint="eastAsia"/>
        </w:rPr>
        <w:t>分功能机构、清洁机构、巡检模块、整体性能4类，制定量化指标，如收卷部件连续500次收放后边缘偏差≤5mm，巡检模块温度检测误差≤±2℃，设备平均无故障工作时间≥500h，为设备性能管</w:t>
      </w:r>
      <w:proofErr w:type="gramStart"/>
      <w:r>
        <w:rPr>
          <w:rFonts w:hint="eastAsia"/>
        </w:rPr>
        <w:t>控提供</w:t>
      </w:r>
      <w:proofErr w:type="gramEnd"/>
      <w:r>
        <w:rPr>
          <w:rFonts w:hint="eastAsia"/>
        </w:rPr>
        <w:t>明确标准。</w:t>
      </w:r>
    </w:p>
    <w:p w14:paraId="5FEB9C5A" w14:textId="77777777" w:rsidR="00563220" w:rsidRDefault="00BF4BDA">
      <w:pPr>
        <w:pStyle w:val="ab"/>
        <w:spacing w:line="360" w:lineRule="auto"/>
        <w:ind w:firstLine="422"/>
      </w:pPr>
      <w:r>
        <w:rPr>
          <w:rFonts w:hint="eastAsia"/>
          <w:b/>
          <w:bCs/>
        </w:rPr>
        <w:t>试验方法：</w:t>
      </w:r>
      <w:r>
        <w:rPr>
          <w:rFonts w:hint="eastAsia"/>
        </w:rPr>
        <w:t>对应性能要求，制定功能试验、功能机构试验、清洁机构试验、巡检模块试验、整体性能试验的具体流程，如通过高低温试验箱测试调节部件-30℃～70℃滑动阻力，通过盐雾试验箱验证防腐蚀性能，确保指标可验证、可复现。</w:t>
      </w:r>
    </w:p>
    <w:p w14:paraId="6CDA132A" w14:textId="77777777" w:rsidR="00563220" w:rsidRDefault="00BF4BDA">
      <w:pPr>
        <w:pStyle w:val="ab"/>
        <w:spacing w:line="360" w:lineRule="auto"/>
        <w:ind w:firstLine="422"/>
      </w:pPr>
      <w:r>
        <w:rPr>
          <w:rFonts w:hint="eastAsia"/>
          <w:b/>
          <w:bCs/>
        </w:rPr>
        <w:t>检验规则：</w:t>
      </w:r>
      <w:r>
        <w:rPr>
          <w:rFonts w:hint="eastAsia"/>
        </w:rPr>
        <w:t>区分出厂检验（外观、功能、整体性能）和型式检验（新设备定型、批量生产满1年等场景），明确抽样方式与合格判定准则，如出厂检验项目全部合格方可出厂，型式检验不合格需加倍抽样复检，规范设备质量管控流程。</w:t>
      </w:r>
    </w:p>
    <w:p w14:paraId="051E36BC" w14:textId="77777777" w:rsidR="00563220" w:rsidRDefault="00BF4BDA">
      <w:pPr>
        <w:pStyle w:val="ab"/>
        <w:spacing w:line="360" w:lineRule="auto"/>
        <w:ind w:firstLine="422"/>
      </w:pPr>
      <w:r>
        <w:rPr>
          <w:rFonts w:hint="eastAsia"/>
          <w:b/>
          <w:bCs/>
        </w:rPr>
        <w:t>标志、包装、运输及贮存：</w:t>
      </w:r>
      <w:r>
        <w:rPr>
          <w:rFonts w:hint="eastAsia"/>
        </w:rPr>
        <w:t>规定铭牌需包含产品名称、型号、额定参数等信息，包装需附装箱清单、合格证、操作说明书，设备需贮存于干燥通风、无强磁场的室内，保障设备</w:t>
      </w:r>
      <w:proofErr w:type="gramStart"/>
      <w:r>
        <w:rPr>
          <w:rFonts w:hint="eastAsia"/>
        </w:rPr>
        <w:t>全流通</w:t>
      </w:r>
      <w:proofErr w:type="gramEnd"/>
      <w:r>
        <w:rPr>
          <w:rFonts w:hint="eastAsia"/>
        </w:rPr>
        <w:t>环节的规范性。</w:t>
      </w:r>
    </w:p>
    <w:p w14:paraId="7326832A" w14:textId="77777777" w:rsidR="00563220" w:rsidRDefault="00BF4BDA">
      <w:pPr>
        <w:pStyle w:val="a0"/>
        <w:numPr>
          <w:ilvl w:val="0"/>
          <w:numId w:val="0"/>
        </w:numPr>
        <w:spacing w:beforeLines="50" w:before="156" w:afterLines="50" w:after="156"/>
      </w:pPr>
      <w:r>
        <w:rPr>
          <w:rFonts w:hint="eastAsia"/>
        </w:rPr>
        <w:lastRenderedPageBreak/>
        <w:t>4.4对各阶段征求意见的处理情况说明</w:t>
      </w:r>
    </w:p>
    <w:p w14:paraId="2782DD4B" w14:textId="77777777" w:rsidR="00563220" w:rsidRPr="0015208B" w:rsidRDefault="00BF4BDA" w:rsidP="0015208B">
      <w:pPr>
        <w:pStyle w:val="ab"/>
        <w:spacing w:line="360" w:lineRule="auto"/>
      </w:pPr>
      <w:r w:rsidRPr="0015208B">
        <w:rPr>
          <w:rFonts w:hint="eastAsia"/>
        </w:rPr>
        <w:t>本标准目前处于征求意见稿阶段，相关处理计划及前期意见处理情况如下：</w:t>
      </w:r>
    </w:p>
    <w:p w14:paraId="6270439C" w14:textId="1961F3E3" w:rsidR="00563220" w:rsidRPr="0015208B" w:rsidRDefault="00BF4BDA" w:rsidP="0015208B">
      <w:pPr>
        <w:pStyle w:val="ab"/>
        <w:spacing w:line="360" w:lineRule="auto"/>
        <w:ind w:firstLine="422"/>
      </w:pPr>
      <w:r w:rsidRPr="0015208B">
        <w:rPr>
          <w:rFonts w:hint="eastAsia"/>
          <w:b/>
          <w:bCs/>
        </w:rPr>
        <w:t>征求意见稿发送范围：</w:t>
      </w:r>
      <w:r w:rsidRPr="0015208B">
        <w:rPr>
          <w:rFonts w:hint="eastAsia"/>
        </w:rPr>
        <w:t>已拟定向国内</w:t>
      </w:r>
      <w:r w:rsidR="0015208B">
        <w:rPr>
          <w:rFonts w:hint="eastAsia"/>
        </w:rPr>
        <w:t>多家</w:t>
      </w:r>
      <w:r w:rsidRPr="0015208B">
        <w:rPr>
          <w:rFonts w:hint="eastAsia"/>
        </w:rPr>
        <w:t>光</w:t>
      </w:r>
      <w:proofErr w:type="gramStart"/>
      <w:r w:rsidRPr="0015208B">
        <w:rPr>
          <w:rFonts w:hint="eastAsia"/>
        </w:rPr>
        <w:t>伏设备</w:t>
      </w:r>
      <w:proofErr w:type="gramEnd"/>
      <w:r w:rsidRPr="0015208B">
        <w:rPr>
          <w:rFonts w:hint="eastAsia"/>
        </w:rPr>
        <w:t>生产企业、大型光伏电站运营单位、科研院所及行业协会发送征求意见稿，覆盖设备研发、应用、</w:t>
      </w:r>
      <w:proofErr w:type="gramStart"/>
      <w:r w:rsidRPr="0015208B">
        <w:rPr>
          <w:rFonts w:hint="eastAsia"/>
        </w:rPr>
        <w:t>检测全</w:t>
      </w:r>
      <w:proofErr w:type="gramEnd"/>
      <w:r w:rsidRPr="0015208B">
        <w:rPr>
          <w:rFonts w:hint="eastAsia"/>
        </w:rPr>
        <w:t>产业链，确保意见征集的全面性。</w:t>
      </w:r>
    </w:p>
    <w:p w14:paraId="07DEAED0" w14:textId="77777777" w:rsidR="00563220" w:rsidRPr="0015208B" w:rsidRDefault="00BF4BDA" w:rsidP="0015208B">
      <w:pPr>
        <w:pStyle w:val="ab"/>
        <w:spacing w:line="360" w:lineRule="auto"/>
        <w:ind w:firstLine="422"/>
      </w:pPr>
      <w:r w:rsidRPr="00165F93">
        <w:rPr>
          <w:rFonts w:hint="eastAsia"/>
          <w:b/>
          <w:bCs/>
        </w:rPr>
        <w:t>前期内部研讨意见处理：</w:t>
      </w:r>
      <w:r w:rsidRPr="0015208B">
        <w:rPr>
          <w:rFonts w:hint="eastAsia"/>
        </w:rPr>
        <w:t>在标准草案编制阶段，编制组内部针对“清洁系统压力阈值”“巡检数据传输协议”等条款产生分歧，经专家论证及试验验证，最终确定清洁系统压力阈值为0.3MPa-0.8MPa（兼顾清洁效果与组件防护），数据传输协议增加MQTT协议（适配电站智能运维需求），并已纳入征求意见稿。</w:t>
      </w:r>
    </w:p>
    <w:p w14:paraId="04E50DB3" w14:textId="6FE4CA92" w:rsidR="00563220" w:rsidRPr="0015208B" w:rsidRDefault="00BF4BDA" w:rsidP="0015208B">
      <w:pPr>
        <w:pStyle w:val="ab"/>
        <w:spacing w:line="360" w:lineRule="auto"/>
        <w:ind w:firstLine="422"/>
      </w:pPr>
      <w:r w:rsidRPr="00165F93">
        <w:rPr>
          <w:rFonts w:hint="eastAsia"/>
          <w:b/>
          <w:bCs/>
        </w:rPr>
        <w:t>后续意见处理计划：</w:t>
      </w:r>
      <w:r w:rsidRPr="0015208B">
        <w:rPr>
          <w:rFonts w:hint="eastAsia"/>
        </w:rPr>
        <w:t>对回收的征求意见，将按“技术指标类”“条款表述类”“体系衔接类”分类整理，组织专家召开论证会，对合理意见予以采纳并修改标准文本；对分歧较大的条款，将补充试验验证后再确定最终方案，同时形成</w:t>
      </w:r>
      <w:r w:rsidR="0015208B" w:rsidRPr="0015208B">
        <w:rPr>
          <w:rFonts w:hint="eastAsia"/>
        </w:rPr>
        <w:t>征求</w:t>
      </w:r>
      <w:r w:rsidRPr="0015208B">
        <w:rPr>
          <w:rFonts w:hint="eastAsia"/>
        </w:rPr>
        <w:t>意见处理汇总表，</w:t>
      </w:r>
      <w:proofErr w:type="gramStart"/>
      <w:r w:rsidRPr="0015208B">
        <w:rPr>
          <w:rFonts w:hint="eastAsia"/>
        </w:rPr>
        <w:t>随标准</w:t>
      </w:r>
      <w:proofErr w:type="gramEnd"/>
      <w:r w:rsidRPr="0015208B">
        <w:rPr>
          <w:rFonts w:hint="eastAsia"/>
        </w:rPr>
        <w:t>送审稿一并上报。</w:t>
      </w:r>
    </w:p>
    <w:p w14:paraId="624B3EFA" w14:textId="77777777" w:rsidR="00563220" w:rsidRDefault="00BF4BDA">
      <w:pPr>
        <w:pStyle w:val="11"/>
        <w:spacing w:before="312" w:after="312"/>
      </w:pPr>
      <w:bookmarkStart w:id="32" w:name="_Toc27332"/>
      <w:r>
        <w:rPr>
          <w:rFonts w:ascii="宋体" w:hAnsi="宋体" w:hint="eastAsia"/>
          <w:szCs w:val="21"/>
        </w:rPr>
        <w:t>5</w:t>
      </w:r>
      <w:r>
        <w:rPr>
          <w:rFonts w:ascii="宋体" w:hAnsi="宋体" w:hint="eastAsia"/>
          <w:szCs w:val="21"/>
        </w:rPr>
        <w:t>相关</w:t>
      </w:r>
      <w:r>
        <w:rPr>
          <w:rFonts w:hint="eastAsia"/>
        </w:rPr>
        <w:t>标准对比说明</w:t>
      </w:r>
      <w:bookmarkEnd w:id="32"/>
    </w:p>
    <w:p w14:paraId="7BBBEA70" w14:textId="77777777" w:rsidR="00563220" w:rsidRDefault="00BF4BDA">
      <w:pPr>
        <w:pStyle w:val="a0"/>
        <w:numPr>
          <w:ilvl w:val="0"/>
          <w:numId w:val="0"/>
        </w:numPr>
        <w:spacing w:beforeLines="50" w:before="156" w:afterLines="50" w:after="156"/>
      </w:pPr>
      <w:r>
        <w:rPr>
          <w:rFonts w:hint="eastAsia"/>
        </w:rPr>
        <w:t>5.1与国际标准对比</w:t>
      </w:r>
    </w:p>
    <w:p w14:paraId="731DC0EC" w14:textId="58A9C17A" w:rsidR="00563220" w:rsidRDefault="00BF4BDA">
      <w:pPr>
        <w:pStyle w:val="ab"/>
        <w:spacing w:line="360" w:lineRule="auto"/>
      </w:pPr>
      <w:r>
        <w:rPr>
          <w:rFonts w:hint="eastAsia"/>
        </w:rPr>
        <w:t>国际电工委员会（IEC）发布的IEC</w:t>
      </w:r>
      <w:r w:rsidR="00CF69A8">
        <w:rPr>
          <w:rFonts w:hint="eastAsia"/>
        </w:rPr>
        <w:t xml:space="preserve"> </w:t>
      </w:r>
      <w:r>
        <w:rPr>
          <w:rFonts w:hint="eastAsia"/>
        </w:rPr>
        <w:t>62446-2:2020《</w:t>
      </w:r>
      <w:r w:rsidR="006D1BF1" w:rsidRPr="006D1BF1">
        <w:rPr>
          <w:rFonts w:hint="eastAsia"/>
        </w:rPr>
        <w:t xml:space="preserve">光伏（PV）系统 测试、文档和维护要求 </w:t>
      </w:r>
      <w:r w:rsidR="006D1BF1">
        <w:rPr>
          <w:rFonts w:hint="eastAsia"/>
        </w:rPr>
        <w:t>并网系统 光伏系统的维护</w:t>
      </w:r>
      <w:r>
        <w:rPr>
          <w:rFonts w:hint="eastAsia"/>
        </w:rPr>
        <w:t>》，聚焦光伏电站整体运维，将定期测试分为3类，明确安全检定与故障排查流程，但未针对“巡检+清洁+防护”一体化设备制定专属规范，缺乏功能模块协同机制、近距离作业性能指标等针对性内容，无法满足一体化设备的技术管控需求。本标准填补了国际层面该类设备专项标准的空白，其多场景适配、功能协同等条款为国际同类标准提供了技术参考。</w:t>
      </w:r>
    </w:p>
    <w:p w14:paraId="577F0FD9" w14:textId="77777777" w:rsidR="00563220" w:rsidRDefault="00BF4BDA">
      <w:pPr>
        <w:pStyle w:val="a0"/>
        <w:numPr>
          <w:ilvl w:val="0"/>
          <w:numId w:val="0"/>
        </w:numPr>
        <w:spacing w:beforeLines="50" w:before="156" w:afterLines="50" w:after="156"/>
      </w:pPr>
      <w:r>
        <w:rPr>
          <w:rFonts w:hint="eastAsia"/>
        </w:rPr>
        <w:t>5.2与国内标准对比</w:t>
      </w:r>
    </w:p>
    <w:p w14:paraId="408FEA3F" w14:textId="479C7D51" w:rsidR="00563220" w:rsidRDefault="00BF4BDA">
      <w:pPr>
        <w:pStyle w:val="ab"/>
        <w:spacing w:line="360" w:lineRule="auto"/>
      </w:pPr>
      <w:r>
        <w:rPr>
          <w:rFonts w:hint="eastAsia"/>
        </w:rPr>
        <w:t>国内现行标准多聚焦单一功能，如GB/T</w:t>
      </w:r>
      <w:r w:rsidR="00CF69A8">
        <w:rPr>
          <w:rFonts w:hint="eastAsia"/>
        </w:rPr>
        <w:t xml:space="preserve"> </w:t>
      </w:r>
      <w:r>
        <w:rPr>
          <w:rFonts w:hint="eastAsia"/>
        </w:rPr>
        <w:t>44264-2024《光伏组件清洁机器人通用技术条件》规范了清洁机器人的机械结构、清洁效果等指标，T/CPIA</w:t>
      </w:r>
      <w:r w:rsidR="00CF69A8">
        <w:rPr>
          <w:rFonts w:hint="eastAsia"/>
        </w:rPr>
        <w:t xml:space="preserve"> </w:t>
      </w:r>
      <w:r>
        <w:rPr>
          <w:rFonts w:hint="eastAsia"/>
        </w:rPr>
        <w:t>0074-2024《光伏组件清扫机器人规范》侧重清扫机器人的物理属性与智能指标，T/CAPE</w:t>
      </w:r>
      <w:r w:rsidR="00CF69A8">
        <w:rPr>
          <w:rFonts w:hint="eastAsia"/>
        </w:rPr>
        <w:t xml:space="preserve"> </w:t>
      </w:r>
      <w:r>
        <w:rPr>
          <w:rFonts w:hint="eastAsia"/>
        </w:rPr>
        <w:t>11005-2023《光伏电站光伏组件清洗技术规范》仅针对水清洗作业流程，均未覆盖巡检与防护功能，也未明确多模块协同逻辑。本标准在吸收上述标准核心指标的基础上，新增巡检性能、防护功能、多模块协同等</w:t>
      </w:r>
      <w:r>
        <w:rPr>
          <w:rFonts w:hint="eastAsia"/>
        </w:rPr>
        <w:lastRenderedPageBreak/>
        <w:t>要求，构建了一体化设备的</w:t>
      </w:r>
      <w:proofErr w:type="gramStart"/>
      <w:r>
        <w:rPr>
          <w:rFonts w:hint="eastAsia"/>
        </w:rPr>
        <w:t>完整技术</w:t>
      </w:r>
      <w:proofErr w:type="gramEnd"/>
      <w:r>
        <w:rPr>
          <w:rFonts w:hint="eastAsia"/>
        </w:rPr>
        <w:t>体系，实现从“单一清洁”到“巡检-清洁-防护协同”的标准升级。</w:t>
      </w:r>
    </w:p>
    <w:p w14:paraId="6C1A5ABC" w14:textId="77777777" w:rsidR="00563220" w:rsidRDefault="00BF4BDA">
      <w:pPr>
        <w:pStyle w:val="11"/>
        <w:spacing w:before="312" w:after="312"/>
        <w:rPr>
          <w:rFonts w:ascii="宋体" w:hAnsi="宋体" w:hint="eastAsia"/>
          <w:szCs w:val="21"/>
        </w:rPr>
      </w:pPr>
      <w:bookmarkStart w:id="33" w:name="_Toc29533"/>
      <w:r>
        <w:rPr>
          <w:rFonts w:ascii="宋体" w:hAnsi="宋体" w:hint="eastAsia"/>
          <w:szCs w:val="21"/>
        </w:rPr>
        <w:t>6</w:t>
      </w:r>
      <w:r>
        <w:rPr>
          <w:rFonts w:ascii="宋体" w:hAnsi="宋体" w:hint="eastAsia"/>
          <w:szCs w:val="21"/>
        </w:rPr>
        <w:t>标准实施措施说明</w:t>
      </w:r>
      <w:bookmarkEnd w:id="33"/>
    </w:p>
    <w:p w14:paraId="4A17D50F" w14:textId="77777777" w:rsidR="00563220" w:rsidRDefault="00BF4BDA">
      <w:pPr>
        <w:pStyle w:val="a0"/>
        <w:numPr>
          <w:ilvl w:val="0"/>
          <w:numId w:val="0"/>
        </w:numPr>
        <w:spacing w:beforeLines="50" w:before="156" w:afterLines="50" w:after="156"/>
      </w:pPr>
      <w:r>
        <w:t>6.1宣贯培训</w:t>
      </w:r>
    </w:p>
    <w:p w14:paraId="0F55768C" w14:textId="77777777" w:rsidR="00563220" w:rsidRDefault="00BF4BDA">
      <w:pPr>
        <w:pStyle w:val="ab"/>
        <w:spacing w:line="360" w:lineRule="auto"/>
      </w:pPr>
      <w:r>
        <w:t>由牵头单位联合中国电机工程学会，组织行业宣贯会，面向设备制造商、光伏电站运维单位、检测机构开展标准解读，重点培训技术指标、试验方法、检验规则等核心内容，确保相关单位准确理解并执行标准。</w:t>
      </w:r>
    </w:p>
    <w:p w14:paraId="5CB18105" w14:textId="77777777" w:rsidR="00563220" w:rsidRDefault="00BF4BDA">
      <w:pPr>
        <w:pStyle w:val="a0"/>
        <w:numPr>
          <w:ilvl w:val="0"/>
          <w:numId w:val="0"/>
        </w:numPr>
        <w:spacing w:beforeLines="50" w:before="156" w:afterLines="50" w:after="156"/>
      </w:pPr>
      <w:r>
        <w:t>6.2监督执行</w:t>
      </w:r>
    </w:p>
    <w:p w14:paraId="20AF8472" w14:textId="77777777" w:rsidR="00563220" w:rsidRDefault="00BF4BDA">
      <w:pPr>
        <w:pStyle w:val="ab"/>
        <w:spacing w:line="360" w:lineRule="auto"/>
      </w:pPr>
      <w:r>
        <w:t>建议行业主管部门及光</w:t>
      </w:r>
      <w:proofErr w:type="gramStart"/>
      <w:r>
        <w:t>伏行业</w:t>
      </w:r>
      <w:proofErr w:type="gramEnd"/>
      <w:r>
        <w:t>协会，将本标准纳入光伏电站智能运</w:t>
      </w:r>
      <w:proofErr w:type="gramStart"/>
      <w:r>
        <w:t>维设备</w:t>
      </w:r>
      <w:proofErr w:type="gramEnd"/>
      <w:r>
        <w:t>选型与验收的参考依据，推动电站在设备采购、运</w:t>
      </w:r>
      <w:proofErr w:type="gramStart"/>
      <w:r>
        <w:t>维考核</w:t>
      </w:r>
      <w:proofErr w:type="gramEnd"/>
      <w:r>
        <w:t>中采用标准指标，同时建立标准执行情况反馈机制，及时收集实施中的问题。</w:t>
      </w:r>
    </w:p>
    <w:p w14:paraId="0878C4E9" w14:textId="77777777" w:rsidR="00563220" w:rsidRDefault="00BF4BDA">
      <w:pPr>
        <w:pStyle w:val="a0"/>
        <w:numPr>
          <w:ilvl w:val="0"/>
          <w:numId w:val="0"/>
        </w:numPr>
        <w:spacing w:beforeLines="50" w:before="156" w:afterLines="50" w:after="156"/>
      </w:pPr>
      <w:r>
        <w:t>6.3配套服务</w:t>
      </w:r>
    </w:p>
    <w:p w14:paraId="1C26DAAA" w14:textId="77777777" w:rsidR="00563220" w:rsidRDefault="00BF4BDA">
      <w:pPr>
        <w:pStyle w:val="ab"/>
        <w:spacing w:line="360" w:lineRule="auto"/>
      </w:pPr>
      <w:r>
        <w:t>组织编制标准实施指南，细化复杂条款的操作流程；搭建技术交流平台，促进设备厂商、电站、科研机构的协同，推动标准落地转化，</w:t>
      </w:r>
      <w:proofErr w:type="gramStart"/>
      <w:r>
        <w:t>助力光伏运</w:t>
      </w:r>
      <w:proofErr w:type="gramEnd"/>
      <w:r>
        <w:t>维行业向高效、智能、安全的一体化模式转型升级。</w:t>
      </w:r>
    </w:p>
    <w:p w14:paraId="199F7231" w14:textId="77777777" w:rsidR="00563220" w:rsidRDefault="00563220">
      <w:pPr>
        <w:spacing w:line="360" w:lineRule="auto"/>
      </w:pPr>
    </w:p>
    <w:sectPr w:rsidR="005632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6758C" w14:textId="77777777" w:rsidR="004134FF" w:rsidRDefault="004134FF">
      <w:r>
        <w:separator/>
      </w:r>
    </w:p>
  </w:endnote>
  <w:endnote w:type="continuationSeparator" w:id="0">
    <w:p w14:paraId="093A6ED4" w14:textId="77777777" w:rsidR="004134FF" w:rsidRDefault="00413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19B7B" w14:textId="77777777" w:rsidR="00563220" w:rsidRDefault="00BF4BDA">
    <w:pPr>
      <w:pStyle w:val="af"/>
      <w:jc w:val="center"/>
    </w:pPr>
    <w:r>
      <w:rPr>
        <w:kern w:val="2"/>
      </w:rPr>
      <w:fldChar w:fldCharType="begin"/>
    </w:r>
    <w:r>
      <w:rPr>
        <w:rStyle w:val="a9"/>
        <w:kern w:val="2"/>
      </w:rPr>
      <w:instrText xml:space="preserve"> PAGE </w:instrText>
    </w:r>
    <w:r>
      <w:rPr>
        <w:kern w:val="2"/>
      </w:rPr>
      <w:fldChar w:fldCharType="separate"/>
    </w:r>
    <w:r>
      <w:rPr>
        <w:rStyle w:val="a9"/>
        <w:kern w:val="2"/>
      </w:rPr>
      <w:t>27</w:t>
    </w:r>
    <w:r>
      <w:rPr>
        <w:kern w:val="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0C503" w14:textId="77777777" w:rsidR="00563220" w:rsidRDefault="00BF4BDA">
    <w:pPr>
      <w:pStyle w:val="a5"/>
    </w:pPr>
    <w:r>
      <w:rPr>
        <w:noProof/>
      </w:rPr>
      <mc:AlternateContent>
        <mc:Choice Requires="wps">
          <w:drawing>
            <wp:anchor distT="0" distB="0" distL="114300" distR="114300" simplePos="0" relativeHeight="251659264" behindDoc="0" locked="0" layoutInCell="1" allowOverlap="1" wp14:anchorId="41AF7960" wp14:editId="03D0304B">
              <wp:simplePos x="0" y="0"/>
              <wp:positionH relativeFrom="margin">
                <wp:align>center</wp:align>
              </wp:positionH>
              <wp:positionV relativeFrom="paragraph">
                <wp:posOffset>0</wp:posOffset>
              </wp:positionV>
              <wp:extent cx="1828800" cy="182880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64D96D9C" w14:textId="77777777" w:rsidR="00563220" w:rsidRDefault="00BF4BDA">
                          <w:pPr>
                            <w:pStyle w:val="a5"/>
                          </w:pPr>
                          <w:r>
                            <w:fldChar w:fldCharType="begin"/>
                          </w:r>
                          <w:r>
                            <w:instrText xml:space="preserve"> PAGE  \* MERGEFORMAT </w:instrText>
                          </w:r>
                          <w:r>
                            <w:fldChar w:fldCharType="separate"/>
                          </w:r>
                          <w:r>
                            <w:t>33</w:t>
                          </w:r>
                          <w:r>
                            <w:fldChar w:fldCharType="end"/>
                          </w:r>
                        </w:p>
                      </w:txbxContent>
                    </wps:txbx>
                    <wps:bodyPr rot="0" vert="horz" wrap="none" lIns="0" tIns="0" rIns="0" bIns="0" anchor="t" anchorCtr="0" upright="1">
                      <a:spAutoFit/>
                    </wps:bodyPr>
                  </wps:wsp>
                </a:graphicData>
              </a:graphic>
            </wp:anchor>
          </w:drawing>
        </mc:Choice>
        <mc:Fallback>
          <w:pict>
            <v:shapetype w14:anchorId="41AF7960"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3aczAEAAJADAAAOAAAAZHJzL2Uyb0RvYy54bWysU01v2zAMvQ/ofxB0b+zkMARGnKJrkaFA&#10;uw3o9gNkWbaF2aJAKrGzXz9KjtN93IZdBEqUHt97pHZ309CLk0Gy4Eq5XuVSGKehtq4t5bevh9ut&#10;FBSUq1UPzpTybEje7W/e7UZfmA100NcGBYM4KkZfyi4EX2QZ6c4MilbgjeNkAziowFtssxrVyOhD&#10;n23y/H02AtYeQRsiPn2ck3Kf8JvG6PC5acgE0ZeSuYW0YlqruGb7nSpaVL6z+kJD/QOLQVnHRa9Q&#10;jyoocUT7F9RgNQJBE1YahgyaxmqTNLCadf6HmtdOeZO0sDnkrzbR/4PVn06v/guKMH2AiRuYRJB/&#10;Bv2dhIOHTrnW3CPC2BlVc+F1tCwbPRWXp9FqKiiCVOML1NxkdQyQgKYGh+gK6xSMzg04X003UxA6&#10;ltxuttucU5pzyybWUMXy3COFjwYGEYNSInc1wavTM4X56nIlVnNwsH2fOtu73w4YM54k+pHxzD1M&#10;1cS3o4wK6jMLQZgHhQebgw7whxQjD0kpHU+xFP2TYyviPC0BLkG1BMppfljKIMUcPoR57o4ebdsx&#10;7mL2Pdt1sEnIG4cLS257suIyonGuft2nW28faf8TAAD//wMAUEsDBBQABgAIAAAAIQAMSvDu1gAA&#10;AAUBAAAPAAAAZHJzL2Rvd25yZXYueG1sTI9Ba8MwDIXvg/4Ho8Juq9MetpDFKaXQS2/rxmA3N1bj&#10;MFsOtpsm/37aGGwXoccTT9+rt5N3YsSY+kAK1qsCBFIbTE+dgrfXw0MJImVNRrtAqGDGBNtmcVfr&#10;yoQbveB4yp3gEEqVVmBzHiopU2vR67QKAxJ7lxC9zixjJ03UNw73Tm6K4lF63RN/sHrAvcX283T1&#10;Cp6m94BDwj1+XMY22n4u3XFW6n457Z5BZJzy3zF84zM6NMx0DlcySTgFXCT/TPY2Zcny/LvIppb/&#10;6ZsvAAAA//8DAFBLAQItABQABgAIAAAAIQC2gziS/gAAAOEBAAATAAAAAAAAAAAAAAAAAAAAAABb&#10;Q29udGVudF9UeXBlc10ueG1sUEsBAi0AFAAGAAgAAAAhADj9If/WAAAAlAEAAAsAAAAAAAAAAAAA&#10;AAAALwEAAF9yZWxzLy5yZWxzUEsBAi0AFAAGAAgAAAAhAFQfdpzMAQAAkAMAAA4AAAAAAAAAAAAA&#10;AAAALgIAAGRycy9lMm9Eb2MueG1sUEsBAi0AFAAGAAgAAAAhAAxK8O7WAAAABQEAAA8AAAAAAAAA&#10;AAAAAAAAJgQAAGRycy9kb3ducmV2LnhtbFBLBQYAAAAABAAEAPMAAAApBQAAAAA=&#10;" filled="f" stroked="f">
              <v:textbox style="mso-fit-shape-to-text:t" inset="0,0,0,0">
                <w:txbxContent>
                  <w:p w14:paraId="64D96D9C" w14:textId="77777777" w:rsidR="00563220" w:rsidRDefault="00BF4BDA">
                    <w:pPr>
                      <w:pStyle w:val="a5"/>
                    </w:pPr>
                    <w:r>
                      <w:fldChar w:fldCharType="begin"/>
                    </w:r>
                    <w:r>
                      <w:instrText xml:space="preserve"> PAGE  \* MERGEFORMAT </w:instrText>
                    </w:r>
                    <w:r>
                      <w:fldChar w:fldCharType="separate"/>
                    </w:r>
                    <w:r>
                      <w:t>33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BBBF1" w14:textId="77777777" w:rsidR="004134FF" w:rsidRDefault="004134FF">
      <w:r>
        <w:separator/>
      </w:r>
    </w:p>
  </w:footnote>
  <w:footnote w:type="continuationSeparator" w:id="0">
    <w:p w14:paraId="039A7704" w14:textId="77777777" w:rsidR="004134FF" w:rsidRDefault="00413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4C829" w14:textId="77777777" w:rsidR="00563220" w:rsidRDefault="00BF4BDA">
    <w:pPr>
      <w:pStyle w:val="ac"/>
      <w:spacing w:before="120" w:after="120"/>
      <w:jc w:val="both"/>
    </w:pPr>
    <w:r>
      <w:t>Q/</w:t>
    </w:r>
    <w:r>
      <w:rPr>
        <w:rFonts w:hint="eastAsia"/>
      </w:rPr>
      <w:t>GDW</w:t>
    </w:r>
    <w:r>
      <w:rPr>
        <w:rFonts w:hAnsi="宋体" w:hint="eastAsia"/>
      </w:rPr>
      <w:t xml:space="preserve"> </w:t>
    </w:r>
    <w:r>
      <w:rPr>
        <w:rFonts w:hAnsi="黑体" w:hint="eastAsia"/>
      </w:rPr>
      <w:t>XX-XXX</w:t>
    </w:r>
    <w:r>
      <w:rPr>
        <w:rFonts w:hAnsi="黑体"/>
      </w:rPr>
      <w:t>—</w:t>
    </w:r>
    <w:r>
      <w:rPr>
        <w:rFonts w:hAnsi="黑体" w:hint="eastAsia"/>
      </w:rPr>
      <w:t>2012-1XXXX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1EAAE" w14:textId="77777777" w:rsidR="00563220" w:rsidRDefault="00BF4BDA">
    <w:pPr>
      <w:pStyle w:val="ac"/>
      <w:wordWrap w:val="0"/>
    </w:pPr>
    <w:r>
      <w:rPr>
        <w:rFonts w:hint="eastAsia"/>
      </w:rPr>
      <w:t>T</w:t>
    </w:r>
    <w:r>
      <w:t>/</w:t>
    </w:r>
    <w:r>
      <w:rPr>
        <w:rFonts w:hint="eastAsia"/>
      </w:rPr>
      <w:t>CSEE</w:t>
    </w:r>
    <w:r>
      <w:rPr>
        <w:rFonts w:hAnsi="黑体" w:hint="eastAsia"/>
      </w:rPr>
      <w:t xml:space="preserve"> XXXX-YYYY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3A648" w14:textId="77777777" w:rsidR="00563220" w:rsidRDefault="00563220">
    <w:pPr>
      <w:pStyle w:val="ac"/>
      <w:wordWrap w:val="0"/>
      <w:spacing w:before="120"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91163"/>
    <w:multiLevelType w:val="multilevel"/>
    <w:tmpl w:val="1FC91163"/>
    <w:lvl w:ilvl="0">
      <w:start w:val="1"/>
      <w:numFmt w:val="decimal"/>
      <w:pStyle w:val="a"/>
      <w:suff w:val="nothing"/>
      <w:lvlText w:val="%1　"/>
      <w:lvlJc w:val="left"/>
      <w:pPr>
        <w:ind w:left="426" w:firstLine="0"/>
      </w:pPr>
      <w:rPr>
        <w:rFonts w:ascii="黑体" w:eastAsia="黑体" w:hAnsi="Times New Roman" w:hint="eastAsia"/>
        <w:b w:val="0"/>
        <w:i w:val="0"/>
        <w:sz w:val="21"/>
        <w:szCs w:val="21"/>
      </w:rPr>
    </w:lvl>
    <w:lvl w:ilvl="1">
      <w:start w:val="1"/>
      <w:numFmt w:val="decimal"/>
      <w:suff w:val="nothing"/>
      <w:lvlText w:val="%1.%2　"/>
      <w:lvlJc w:val="left"/>
      <w:pPr>
        <w:ind w:left="142"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suff w:val="nothing"/>
      <w:lvlText w:val="%1.%2.%3　"/>
      <w:lvlJc w:val="left"/>
      <w:pPr>
        <w:ind w:left="568"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 w15:restartNumberingAfterBreak="0">
    <w:nsid w:val="2B0D5E10"/>
    <w:multiLevelType w:val="multilevel"/>
    <w:tmpl w:val="2B0D5E10"/>
    <w:lvl w:ilvl="0">
      <w:start w:val="1"/>
      <w:numFmt w:val="decimal"/>
      <w:suff w:val="space"/>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657D3FBC"/>
    <w:multiLevelType w:val="multilevel"/>
    <w:tmpl w:val="657D3FBC"/>
    <w:lvl w:ilvl="0">
      <w:start w:val="1"/>
      <w:numFmt w:val="upperLetter"/>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0"/>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num w:numId="1" w16cid:durableId="510724227">
    <w:abstractNumId w:val="0"/>
  </w:num>
  <w:num w:numId="2" w16cid:durableId="1253006042">
    <w:abstractNumId w:val="2"/>
  </w:num>
  <w:num w:numId="3" w16cid:durableId="1759447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0FF"/>
    <w:rsid w:val="000C0A65"/>
    <w:rsid w:val="000F5B5F"/>
    <w:rsid w:val="00141DE4"/>
    <w:rsid w:val="0015208B"/>
    <w:rsid w:val="00165F93"/>
    <w:rsid w:val="0019125D"/>
    <w:rsid w:val="001B2999"/>
    <w:rsid w:val="001C60D0"/>
    <w:rsid w:val="001E33F1"/>
    <w:rsid w:val="00242D5B"/>
    <w:rsid w:val="00255E13"/>
    <w:rsid w:val="002720FF"/>
    <w:rsid w:val="0039791D"/>
    <w:rsid w:val="00406721"/>
    <w:rsid w:val="004134FF"/>
    <w:rsid w:val="004742F8"/>
    <w:rsid w:val="00541CCD"/>
    <w:rsid w:val="00563220"/>
    <w:rsid w:val="00577672"/>
    <w:rsid w:val="005B1EC3"/>
    <w:rsid w:val="005C174E"/>
    <w:rsid w:val="005C5720"/>
    <w:rsid w:val="00613087"/>
    <w:rsid w:val="00627CD0"/>
    <w:rsid w:val="006727BD"/>
    <w:rsid w:val="006D1BF1"/>
    <w:rsid w:val="006E2ADB"/>
    <w:rsid w:val="00762373"/>
    <w:rsid w:val="007A4E48"/>
    <w:rsid w:val="00803705"/>
    <w:rsid w:val="008D3BCE"/>
    <w:rsid w:val="008D7665"/>
    <w:rsid w:val="00910D19"/>
    <w:rsid w:val="0095238B"/>
    <w:rsid w:val="00974F1D"/>
    <w:rsid w:val="00A4744A"/>
    <w:rsid w:val="00AB6672"/>
    <w:rsid w:val="00AC76CC"/>
    <w:rsid w:val="00B33434"/>
    <w:rsid w:val="00B55EC2"/>
    <w:rsid w:val="00BF259C"/>
    <w:rsid w:val="00BF4BDA"/>
    <w:rsid w:val="00C73D5D"/>
    <w:rsid w:val="00CC1F90"/>
    <w:rsid w:val="00CC31A2"/>
    <w:rsid w:val="00CF69A8"/>
    <w:rsid w:val="00D070F0"/>
    <w:rsid w:val="00DA4CA8"/>
    <w:rsid w:val="00E314EA"/>
    <w:rsid w:val="00E642AF"/>
    <w:rsid w:val="00E90DB8"/>
    <w:rsid w:val="00F20DDB"/>
    <w:rsid w:val="00F2778D"/>
    <w:rsid w:val="00F6283A"/>
    <w:rsid w:val="00F72DF3"/>
    <w:rsid w:val="00FE455E"/>
    <w:rsid w:val="00FF56C9"/>
    <w:rsid w:val="017A53FC"/>
    <w:rsid w:val="02405F8A"/>
    <w:rsid w:val="0A434869"/>
    <w:rsid w:val="0B5D195B"/>
    <w:rsid w:val="171001C9"/>
    <w:rsid w:val="18CB134E"/>
    <w:rsid w:val="1C0227D6"/>
    <w:rsid w:val="2BAC2834"/>
    <w:rsid w:val="2E291E44"/>
    <w:rsid w:val="2E913546"/>
    <w:rsid w:val="315D5094"/>
    <w:rsid w:val="36F336D5"/>
    <w:rsid w:val="39D013C6"/>
    <w:rsid w:val="3F762A0F"/>
    <w:rsid w:val="441758EF"/>
    <w:rsid w:val="6B832283"/>
    <w:rsid w:val="739C7F8F"/>
    <w:rsid w:val="7E814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B1E4E2"/>
  <w15:docId w15:val="{A9C8B0D7-7509-472A-BE58-37DE8037F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jc w:val="both"/>
    </w:pPr>
    <w:rPr>
      <w:kern w:val="2"/>
      <w:sz w:val="21"/>
    </w:rPr>
  </w:style>
  <w:style w:type="paragraph" w:styleId="1">
    <w:name w:val="heading 1"/>
    <w:basedOn w:val="a1"/>
    <w:next w:val="a1"/>
    <w:link w:val="10"/>
    <w:uiPriority w:val="9"/>
    <w:qFormat/>
    <w:pPr>
      <w:keepNext/>
      <w:keepLines/>
      <w:spacing w:before="340" w:after="330" w:line="578" w:lineRule="auto"/>
      <w:outlineLvl w:val="0"/>
    </w:pPr>
    <w:rPr>
      <w:b/>
      <w:bCs/>
      <w:kern w:val="44"/>
      <w:sz w:val="44"/>
      <w:szCs w:val="44"/>
    </w:rPr>
  </w:style>
  <w:style w:type="paragraph" w:styleId="2">
    <w:name w:val="heading 2"/>
    <w:basedOn w:val="a1"/>
    <w:next w:val="a1"/>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1"/>
    <w:next w:val="a1"/>
    <w:link w:val="30"/>
    <w:uiPriority w:val="9"/>
    <w:semiHidden/>
    <w:unhideWhenUsed/>
    <w:qFormat/>
    <w:pPr>
      <w:keepNext/>
      <w:keepLines/>
      <w:spacing w:before="260" w:after="260" w:line="416" w:lineRule="auto"/>
      <w:outlineLvl w:val="2"/>
    </w:pPr>
    <w:rPr>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a6"/>
    <w:uiPriority w:val="99"/>
    <w:unhideWhenUsed/>
    <w:qFormat/>
    <w:pPr>
      <w:tabs>
        <w:tab w:val="center" w:pos="4153"/>
        <w:tab w:val="right" w:pos="8306"/>
      </w:tabs>
      <w:snapToGrid w:val="0"/>
      <w:jc w:val="left"/>
    </w:pPr>
    <w:rPr>
      <w:sz w:val="18"/>
      <w:szCs w:val="18"/>
    </w:rPr>
  </w:style>
  <w:style w:type="paragraph" w:styleId="a7">
    <w:name w:val="header"/>
    <w:basedOn w:val="a1"/>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1"/>
    <w:next w:val="a1"/>
    <w:uiPriority w:val="39"/>
    <w:qFormat/>
    <w:pPr>
      <w:tabs>
        <w:tab w:val="right" w:leader="dot" w:pos="9241"/>
      </w:tabs>
      <w:spacing w:beforeLines="25" w:before="25" w:afterLines="25" w:after="25"/>
      <w:jc w:val="left"/>
    </w:pPr>
    <w:rPr>
      <w:rFonts w:ascii="宋体"/>
      <w:szCs w:val="21"/>
    </w:rPr>
  </w:style>
  <w:style w:type="character" w:styleId="a9">
    <w:name w:val="page number"/>
    <w:qFormat/>
    <w:rPr>
      <w:rFonts w:ascii="Times New Roman" w:eastAsia="宋体" w:hAnsi="Times New Roman"/>
      <w:sz w:val="18"/>
    </w:rPr>
  </w:style>
  <w:style w:type="character" w:styleId="aa">
    <w:name w:val="Hyperlink"/>
    <w:uiPriority w:val="99"/>
    <w:unhideWhenUsed/>
    <w:qFormat/>
    <w:rPr>
      <w:color w:val="0000FF"/>
      <w:u w:val="single"/>
    </w:rPr>
  </w:style>
  <w:style w:type="character" w:customStyle="1" w:styleId="a8">
    <w:name w:val="页眉 字符"/>
    <w:basedOn w:val="a2"/>
    <w:link w:val="a7"/>
    <w:uiPriority w:val="99"/>
    <w:qFormat/>
    <w:rPr>
      <w:sz w:val="18"/>
      <w:szCs w:val="18"/>
    </w:rPr>
  </w:style>
  <w:style w:type="character" w:customStyle="1" w:styleId="a6">
    <w:name w:val="页脚 字符"/>
    <w:basedOn w:val="a2"/>
    <w:link w:val="a5"/>
    <w:uiPriority w:val="99"/>
    <w:qFormat/>
    <w:rPr>
      <w:sz w:val="18"/>
      <w:szCs w:val="18"/>
    </w:rPr>
  </w:style>
  <w:style w:type="paragraph" w:customStyle="1" w:styleId="ab">
    <w:name w:val="段"/>
    <w:qFormat/>
    <w:pPr>
      <w:tabs>
        <w:tab w:val="center" w:pos="4201"/>
        <w:tab w:val="right" w:leader="dot" w:pos="9298"/>
      </w:tabs>
      <w:autoSpaceDE w:val="0"/>
      <w:autoSpaceDN w:val="0"/>
      <w:ind w:firstLineChars="200" w:firstLine="420"/>
      <w:jc w:val="both"/>
    </w:pPr>
    <w:rPr>
      <w:rFonts w:ascii="宋体"/>
      <w:sz w:val="21"/>
    </w:rPr>
  </w:style>
  <w:style w:type="paragraph" w:customStyle="1" w:styleId="ac">
    <w:name w:val="标准书眉_奇数页"/>
    <w:next w:val="a1"/>
    <w:qFormat/>
    <w:pPr>
      <w:tabs>
        <w:tab w:val="center" w:pos="4154"/>
        <w:tab w:val="right" w:pos="8306"/>
      </w:tabs>
      <w:spacing w:after="220"/>
      <w:jc w:val="right"/>
    </w:pPr>
    <w:rPr>
      <w:rFonts w:ascii="黑体" w:eastAsia="黑体"/>
      <w:sz w:val="21"/>
      <w:szCs w:val="21"/>
    </w:rPr>
  </w:style>
  <w:style w:type="paragraph" w:customStyle="1" w:styleId="a">
    <w:name w:val="章标题"/>
    <w:next w:val="ab"/>
    <w:qFormat/>
    <w:pPr>
      <w:numPr>
        <w:numId w:val="1"/>
      </w:numPr>
      <w:spacing w:beforeLines="100" w:before="312" w:afterLines="100" w:after="312"/>
      <w:jc w:val="both"/>
      <w:outlineLvl w:val="1"/>
    </w:pPr>
    <w:rPr>
      <w:rFonts w:ascii="黑体" w:eastAsia="黑体"/>
      <w:sz w:val="21"/>
    </w:rPr>
  </w:style>
  <w:style w:type="paragraph" w:customStyle="1" w:styleId="11">
    <w:name w:val="样式 标题 1 + 非加粗"/>
    <w:basedOn w:val="1"/>
    <w:qFormat/>
    <w:pPr>
      <w:spacing w:beforeLines="100" w:before="100" w:afterLines="100" w:after="100" w:line="240" w:lineRule="auto"/>
    </w:pPr>
    <w:rPr>
      <w:rFonts w:eastAsia="黑体"/>
      <w:b w:val="0"/>
      <w:bCs w:val="0"/>
      <w:sz w:val="21"/>
    </w:rPr>
  </w:style>
  <w:style w:type="paragraph" w:customStyle="1" w:styleId="ad">
    <w:name w:val="目次、标准名称标题"/>
    <w:basedOn w:val="a1"/>
    <w:next w:val="ab"/>
    <w:qFormat/>
    <w:pPr>
      <w:keepNext/>
      <w:pageBreakBefore/>
      <w:widowControl/>
      <w:shd w:val="clear" w:color="FFFFFF" w:fill="FFFFFF"/>
      <w:spacing w:before="640" w:after="560" w:line="460" w:lineRule="exact"/>
      <w:jc w:val="center"/>
      <w:outlineLvl w:val="0"/>
    </w:pPr>
    <w:rPr>
      <w:rFonts w:ascii="黑体" w:eastAsia="黑体"/>
      <w:kern w:val="0"/>
      <w:sz w:val="32"/>
    </w:rPr>
  </w:style>
  <w:style w:type="paragraph" w:styleId="ae">
    <w:name w:val="List Paragraph"/>
    <w:basedOn w:val="a1"/>
    <w:uiPriority w:val="34"/>
    <w:qFormat/>
    <w:pPr>
      <w:ind w:firstLineChars="200" w:firstLine="420"/>
    </w:pPr>
    <w:rPr>
      <w:rFonts w:ascii="Calibri" w:hAnsi="Calibri"/>
      <w:szCs w:val="22"/>
    </w:rPr>
  </w:style>
  <w:style w:type="paragraph" w:customStyle="1" w:styleId="a0">
    <w:name w:val="附录章标题"/>
    <w:next w:val="ab"/>
    <w:qFormat/>
    <w:pPr>
      <w:numPr>
        <w:ilvl w:val="1"/>
        <w:numId w:val="2"/>
      </w:numPr>
      <w:tabs>
        <w:tab w:val="left" w:pos="360"/>
      </w:tabs>
      <w:wordWrap w:val="0"/>
      <w:overflowPunct w:val="0"/>
      <w:autoSpaceDE w:val="0"/>
      <w:spacing w:beforeLines="100" w:before="100" w:afterLines="100" w:after="100"/>
      <w:jc w:val="both"/>
      <w:textAlignment w:val="baseline"/>
      <w:outlineLvl w:val="1"/>
    </w:pPr>
    <w:rPr>
      <w:rFonts w:ascii="黑体" w:eastAsia="黑体"/>
      <w:kern w:val="21"/>
      <w:sz w:val="21"/>
    </w:rPr>
  </w:style>
  <w:style w:type="paragraph" w:customStyle="1" w:styleId="af">
    <w:name w:val="标准书脚_奇数页"/>
    <w:qFormat/>
    <w:pPr>
      <w:spacing w:before="120"/>
      <w:ind w:right="198"/>
      <w:jc w:val="right"/>
    </w:pPr>
    <w:rPr>
      <w:rFonts w:ascii="宋体"/>
      <w:sz w:val="18"/>
      <w:szCs w:val="18"/>
    </w:rPr>
  </w:style>
  <w:style w:type="character" w:customStyle="1" w:styleId="10">
    <w:name w:val="标题 1 字符"/>
    <w:basedOn w:val="a2"/>
    <w:link w:val="1"/>
    <w:uiPriority w:val="9"/>
    <w:qFormat/>
    <w:rPr>
      <w:rFonts w:ascii="Times New Roman" w:eastAsia="宋体" w:hAnsi="Times New Roman" w:cs="Times New Roman"/>
      <w:b/>
      <w:bCs/>
      <w:kern w:val="44"/>
      <w:sz w:val="44"/>
      <w:szCs w:val="44"/>
    </w:rPr>
  </w:style>
  <w:style w:type="character" w:customStyle="1" w:styleId="30">
    <w:name w:val="标题 3 字符"/>
    <w:basedOn w:val="a2"/>
    <w:link w:val="3"/>
    <w:uiPriority w:val="9"/>
    <w:semiHidden/>
    <w:qFormat/>
    <w:rPr>
      <w:rFonts w:ascii="Times New Roman" w:eastAsia="宋体" w:hAnsi="Times New Roman" w:cs="Times New Roman"/>
      <w:b/>
      <w:bCs/>
      <w:sz w:val="32"/>
      <w:szCs w:val="32"/>
    </w:rPr>
  </w:style>
  <w:style w:type="character" w:customStyle="1" w:styleId="20">
    <w:name w:val="标题 2 字符"/>
    <w:basedOn w:val="a2"/>
    <w:link w:val="2"/>
    <w:uiPriority w:val="9"/>
    <w:semiHidden/>
    <w:qFormat/>
    <w:rPr>
      <w:rFonts w:asciiTheme="majorHAnsi" w:eastAsiaTheme="majorEastAsia" w:hAnsiTheme="majorHAnsi" w:cstheme="majorBidi"/>
      <w:b/>
      <w:bCs/>
      <w:sz w:val="32"/>
      <w:szCs w:val="32"/>
    </w:rPr>
  </w:style>
  <w:style w:type="paragraph" w:customStyle="1" w:styleId="af0">
    <w:name w:val="标准文件_段"/>
    <w:link w:val="Char"/>
    <w:qFormat/>
    <w:pPr>
      <w:autoSpaceDE w:val="0"/>
      <w:autoSpaceDN w:val="0"/>
      <w:ind w:firstLineChars="200" w:firstLine="200"/>
      <w:jc w:val="both"/>
    </w:pPr>
    <w:rPr>
      <w:rFonts w:ascii="宋体"/>
      <w:sz w:val="21"/>
    </w:rPr>
  </w:style>
  <w:style w:type="character" w:customStyle="1" w:styleId="Char">
    <w:name w:val="标准文件_段 Char"/>
    <w:link w:val="af0"/>
    <w:qFormat/>
    <w:rPr>
      <w:rFonts w:ascii="宋体" w:eastAsia="宋体" w:hAnsi="Times New Roman"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10</Pages>
  <Words>3375</Words>
  <Characters>3646</Characters>
  <Application>Microsoft Office Word</Application>
  <DocSecurity>0</DocSecurity>
  <Lines>140</Lines>
  <Paragraphs>104</Paragraphs>
  <ScaleCrop>false</ScaleCrop>
  <Company/>
  <LinksUpToDate>false</LinksUpToDate>
  <CharactersWithSpaces>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hu'yun'xia</dc:creator>
  <cp:lastModifiedBy> </cp:lastModifiedBy>
  <cp:revision>42</cp:revision>
  <dcterms:created xsi:type="dcterms:W3CDTF">2025-12-05T02:52:00Z</dcterms:created>
  <dcterms:modified xsi:type="dcterms:W3CDTF">2026-05-22T01:37:00Z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eyJoZGlkIjoiMjI4OWM5NDY1ZWM4ZTJkNGY1ZDQ5OTdhOGNmYzQ5ZmUiLCJ1c2VySWQiOiIxNjA0MDM4ODIxIn0=</vt:lpwstr>
  </property>
  <property fmtid="{D5CDD505-2E9C-101B-9397-08002B2CF9AE}" pid="3" name="KSOProductBuildVer">
    <vt:lpwstr>2052-12.1.0.23542</vt:lpwstr>
  </property>
  <property fmtid="{D5CDD505-2E9C-101B-9397-08002B2CF9AE}" pid="4" name="ICV">
    <vt:lpwstr>7F90CA0D188D43278D49B8C23DA10408_12</vt:lpwstr>
  </property>
</Properties>
</file>